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2E7" w:rsidRPr="00660C38" w:rsidRDefault="009C32E7" w:rsidP="00AD70DE">
      <w:pPr>
        <w:spacing w:after="0" w:line="240" w:lineRule="auto"/>
        <w:rPr>
          <w:b/>
        </w:rPr>
      </w:pPr>
    </w:p>
    <w:tbl>
      <w:tblPr>
        <w:tblpPr w:leftFromText="141" w:rightFromText="141" w:vertAnchor="text" w:horzAnchor="margin" w:tblpY="414"/>
        <w:tblW w:w="92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1E0" w:firstRow="1" w:lastRow="1" w:firstColumn="1" w:lastColumn="1" w:noHBand="0" w:noVBand="0"/>
      </w:tblPr>
      <w:tblGrid>
        <w:gridCol w:w="9290"/>
      </w:tblGrid>
      <w:tr w:rsidR="009C32E7" w:rsidRPr="00AD70DE" w:rsidTr="008355A9">
        <w:trPr>
          <w:trHeight w:val="3534"/>
        </w:trPr>
        <w:tc>
          <w:tcPr>
            <w:tcW w:w="9290" w:type="dxa"/>
            <w:tcBorders>
              <w:top w:val="single" w:sz="4" w:space="0" w:color="auto"/>
              <w:bottom w:val="single" w:sz="4" w:space="0" w:color="auto"/>
            </w:tcBorders>
          </w:tcPr>
          <w:p w:rsidR="009C32E7" w:rsidRPr="00660C38" w:rsidRDefault="009C32E7" w:rsidP="00AD70DE">
            <w:pPr>
              <w:rPr>
                <w:b/>
                <w:bCs/>
              </w:rPr>
            </w:pPr>
          </w:p>
          <w:p w:rsidR="009C32E7" w:rsidRPr="00AD70DE" w:rsidRDefault="009C32E7" w:rsidP="00AD70DE">
            <w:pPr>
              <w:jc w:val="center"/>
              <w:rPr>
                <w:i/>
                <w:iCs/>
                <w:szCs w:val="24"/>
                <w:lang w:val="en-GB"/>
              </w:rPr>
            </w:pPr>
            <w:r w:rsidRPr="00AD70DE">
              <w:rPr>
                <w:i/>
                <w:iCs/>
                <w:szCs w:val="24"/>
                <w:lang w:val="en-GB"/>
              </w:rPr>
              <w:t>CLINICAL TRIAL PROTOCOL</w:t>
            </w:r>
          </w:p>
          <w:p w:rsidR="009C32E7" w:rsidRPr="00AD70DE" w:rsidRDefault="009C32E7" w:rsidP="00AD70DE">
            <w:pPr>
              <w:jc w:val="center"/>
              <w:rPr>
                <w:b/>
                <w:bCs/>
                <w:i/>
                <w:sz w:val="28"/>
                <w:lang w:val="en-GB"/>
              </w:rPr>
            </w:pPr>
            <w:r w:rsidRPr="00AD70DE">
              <w:rPr>
                <w:b/>
                <w:bCs/>
                <w:i/>
                <w:sz w:val="28"/>
                <w:lang w:val="en-GB"/>
              </w:rPr>
              <w:t>Impact of pantoprazole on absorption and disposition of hydroxychloroquine, a drug used in Corona Virus Disease-19</w:t>
            </w:r>
            <w:r w:rsidR="006A0533" w:rsidRPr="00AD70DE">
              <w:rPr>
                <w:b/>
                <w:bCs/>
                <w:i/>
                <w:sz w:val="28"/>
                <w:lang w:val="en-GB"/>
              </w:rPr>
              <w:t xml:space="preserve"> (Covid-19)</w:t>
            </w:r>
          </w:p>
          <w:p w:rsidR="009C32E7" w:rsidRPr="00AD70DE" w:rsidRDefault="009C32E7" w:rsidP="00AD70DE">
            <w:pPr>
              <w:jc w:val="center"/>
              <w:rPr>
                <w:bCs/>
                <w:i/>
              </w:rPr>
            </w:pPr>
            <w:r w:rsidRPr="00AD70DE">
              <w:rPr>
                <w:bCs/>
                <w:i/>
              </w:rPr>
              <w:t>Deutscher Titel:</w:t>
            </w:r>
          </w:p>
          <w:p w:rsidR="009C32E7" w:rsidRPr="00AD70DE" w:rsidRDefault="009C32E7" w:rsidP="00AD70DE">
            <w:pPr>
              <w:jc w:val="center"/>
              <w:rPr>
                <w:bCs/>
                <w:i/>
                <w:color w:val="000000"/>
              </w:rPr>
            </w:pPr>
            <w:r w:rsidRPr="00AD70DE">
              <w:rPr>
                <w:bCs/>
                <w:i/>
                <w:color w:val="000000"/>
              </w:rPr>
              <w:t>Einfluss von Pantoprazol auf Absorption und Disposition von Hydroxychloroquin als Wirkstoff für Corona-Virus-Disease-19</w:t>
            </w:r>
            <w:r w:rsidR="006A0533" w:rsidRPr="00AD70DE">
              <w:rPr>
                <w:bCs/>
                <w:i/>
                <w:color w:val="000000"/>
              </w:rPr>
              <w:t xml:space="preserve"> (Covid-19)</w:t>
            </w:r>
          </w:p>
          <w:p w:rsidR="009C32E7" w:rsidRPr="00AD70DE" w:rsidRDefault="009C32E7" w:rsidP="00AD70DE">
            <w:pPr>
              <w:jc w:val="center"/>
              <w:rPr>
                <w:i/>
                <w:lang w:val="en-US"/>
              </w:rPr>
            </w:pPr>
            <w:r w:rsidRPr="00AD70DE">
              <w:rPr>
                <w:i/>
                <w:lang w:val="en-US"/>
              </w:rPr>
              <w:t>EudraCT Number:</w:t>
            </w:r>
            <w:r w:rsidRPr="00AD70DE">
              <w:rPr>
                <w:lang w:val="en-US"/>
              </w:rPr>
              <w:t xml:space="preserve"> </w:t>
            </w:r>
            <w:r w:rsidRPr="00AD70DE">
              <w:rPr>
                <w:b/>
                <w:i/>
                <w:iCs/>
                <w:lang w:val="en-US"/>
              </w:rPr>
              <w:t>2020-001470-30</w:t>
            </w:r>
          </w:p>
          <w:p w:rsidR="009C32E7" w:rsidRPr="00AD70DE" w:rsidRDefault="009C32E7" w:rsidP="00AD70DE">
            <w:pPr>
              <w:jc w:val="center"/>
              <w:rPr>
                <w:b/>
                <w:i/>
                <w:lang w:val="en-US"/>
              </w:rPr>
            </w:pPr>
            <w:r w:rsidRPr="00AD70DE">
              <w:rPr>
                <w:i/>
                <w:lang w:val="en-US"/>
              </w:rPr>
              <w:t xml:space="preserve">Protocol code: </w:t>
            </w:r>
            <w:r w:rsidRPr="00AD70DE">
              <w:rPr>
                <w:i/>
                <w:iCs/>
                <w:lang w:val="en-US"/>
              </w:rPr>
              <w:t>K724</w:t>
            </w:r>
          </w:p>
        </w:tc>
      </w:tr>
    </w:tbl>
    <w:p w:rsidR="009C32E7" w:rsidRPr="00AD70DE" w:rsidRDefault="009C32E7" w:rsidP="00AD70DE">
      <w:pPr>
        <w:rPr>
          <w:lang w:val="en-US"/>
        </w:rPr>
      </w:pPr>
    </w:p>
    <w:p w:rsidR="009C32E7" w:rsidRPr="00AD70DE" w:rsidRDefault="009C32E7" w:rsidP="00AD70DE">
      <w:pPr>
        <w:rPr>
          <w:lang w:val="en-US"/>
        </w:rPr>
      </w:pPr>
    </w:p>
    <w:tbl>
      <w:tblPr>
        <w:tblW w:w="9361" w:type="dxa"/>
        <w:tblInd w:w="-39" w:type="dxa"/>
        <w:tblLayout w:type="fixed"/>
        <w:tblLook w:val="0000" w:firstRow="0" w:lastRow="0" w:firstColumn="0" w:lastColumn="0" w:noHBand="0" w:noVBand="0"/>
      </w:tblPr>
      <w:tblGrid>
        <w:gridCol w:w="3691"/>
        <w:gridCol w:w="5670"/>
      </w:tblGrid>
      <w:tr w:rsidR="009C32E7" w:rsidRPr="00AD70DE" w:rsidTr="008355A9">
        <w:trPr>
          <w:cantSplit/>
          <w:trHeight w:val="1580"/>
        </w:trPr>
        <w:tc>
          <w:tcPr>
            <w:tcW w:w="3691" w:type="dxa"/>
          </w:tcPr>
          <w:p w:rsidR="009C32E7" w:rsidRPr="00AD70DE" w:rsidRDefault="009C32E7" w:rsidP="00AD70DE">
            <w:pPr>
              <w:rPr>
                <w:b/>
                <w:bCs/>
                <w:lang w:val="en-GB"/>
              </w:rPr>
            </w:pPr>
            <w:r w:rsidRPr="00AD70DE">
              <w:rPr>
                <w:b/>
                <w:bCs/>
                <w:lang w:val="en-GB"/>
              </w:rPr>
              <w:t>SPONSOR</w:t>
            </w:r>
          </w:p>
        </w:tc>
        <w:tc>
          <w:tcPr>
            <w:tcW w:w="5670" w:type="dxa"/>
          </w:tcPr>
          <w:p w:rsidR="009C32E7" w:rsidRPr="00AD70DE" w:rsidRDefault="009C32E7" w:rsidP="00AD70DE">
            <w:pPr>
              <w:rPr>
                <w:lang w:val="en-GB"/>
              </w:rPr>
            </w:pPr>
            <w:proofErr w:type="spellStart"/>
            <w:r w:rsidRPr="00AD70DE">
              <w:rPr>
                <w:lang w:val="en-GB"/>
              </w:rPr>
              <w:t>Ruprecht</w:t>
            </w:r>
            <w:proofErr w:type="spellEnd"/>
            <w:r w:rsidRPr="00AD70DE">
              <w:rPr>
                <w:lang w:val="en-GB"/>
              </w:rPr>
              <w:t>-</w:t>
            </w:r>
            <w:proofErr w:type="spellStart"/>
            <w:r w:rsidRPr="00AD70DE">
              <w:rPr>
                <w:lang w:val="en-GB"/>
              </w:rPr>
              <w:t>Karls</w:t>
            </w:r>
            <w:proofErr w:type="spellEnd"/>
            <w:r w:rsidRPr="00AD70DE">
              <w:rPr>
                <w:lang w:val="en-GB"/>
              </w:rPr>
              <w:t>-University Heidelberg, Medical Faculty</w:t>
            </w:r>
          </w:p>
          <w:p w:rsidR="009C32E7" w:rsidRPr="00AD70DE" w:rsidRDefault="009C32E7" w:rsidP="00AD70DE">
            <w:pPr>
              <w:rPr>
                <w:lang w:val="en-GB"/>
              </w:rPr>
            </w:pPr>
            <w:r w:rsidRPr="00AD70DE">
              <w:rPr>
                <w:lang w:val="en-GB"/>
              </w:rPr>
              <w:t xml:space="preserve">represented in law by Heidelberg University Hospital </w:t>
            </w:r>
            <w:r w:rsidRPr="00AD70DE">
              <w:rPr>
                <w:lang w:val="en-GB"/>
              </w:rPr>
              <w:br/>
              <w:t xml:space="preserve">and its Commercial Managing Director Katrin </w:t>
            </w:r>
            <w:proofErr w:type="spellStart"/>
            <w:r w:rsidRPr="00AD70DE">
              <w:rPr>
                <w:lang w:val="en-GB"/>
              </w:rPr>
              <w:t>Erk</w:t>
            </w:r>
            <w:proofErr w:type="spellEnd"/>
            <w:r w:rsidRPr="00AD70DE">
              <w:rPr>
                <w:rFonts w:ascii="PMingLiU" w:eastAsia="PMingLiU" w:hAnsi="PMingLiU" w:cs="PMingLiU"/>
                <w:lang w:val="en-GB"/>
              </w:rPr>
              <w:br/>
            </w:r>
            <w:proofErr w:type="spellStart"/>
            <w:r w:rsidRPr="00AD70DE">
              <w:rPr>
                <w:lang w:val="en-GB"/>
              </w:rPr>
              <w:t>Im</w:t>
            </w:r>
            <w:proofErr w:type="spellEnd"/>
            <w:r w:rsidRPr="00AD70DE">
              <w:rPr>
                <w:lang w:val="en-GB"/>
              </w:rPr>
              <w:t xml:space="preserve"> Neuenheimer Feld 672</w:t>
            </w:r>
            <w:r w:rsidRPr="00AD70DE">
              <w:rPr>
                <w:rFonts w:ascii="PMingLiU" w:eastAsia="PMingLiU" w:hAnsi="PMingLiU" w:cs="PMingLiU"/>
                <w:lang w:val="en-GB"/>
              </w:rPr>
              <w:br/>
            </w:r>
            <w:r w:rsidRPr="00AD70DE">
              <w:rPr>
                <w:lang w:val="en-GB"/>
              </w:rPr>
              <w:t>69120 Heidelberg</w:t>
            </w:r>
          </w:p>
        </w:tc>
      </w:tr>
      <w:tr w:rsidR="009C32E7" w:rsidRPr="00AD70DE" w:rsidTr="008355A9">
        <w:trPr>
          <w:cantSplit/>
          <w:trHeight w:val="1423"/>
        </w:trPr>
        <w:tc>
          <w:tcPr>
            <w:tcW w:w="3691" w:type="dxa"/>
          </w:tcPr>
          <w:p w:rsidR="009C32E7" w:rsidRPr="00AD70DE" w:rsidRDefault="009C32E7" w:rsidP="00AD70DE">
            <w:pPr>
              <w:rPr>
                <w:b/>
                <w:bCs/>
                <w:lang w:val="en-GB"/>
              </w:rPr>
            </w:pPr>
            <w:r w:rsidRPr="00AD70DE">
              <w:rPr>
                <w:b/>
                <w:bCs/>
                <w:lang w:val="en-GB"/>
              </w:rPr>
              <w:t>PRINCIPAL INVESTIGATOR</w:t>
            </w:r>
          </w:p>
        </w:tc>
        <w:tc>
          <w:tcPr>
            <w:tcW w:w="5670" w:type="dxa"/>
          </w:tcPr>
          <w:p w:rsidR="009C32E7" w:rsidRPr="00AD70DE" w:rsidRDefault="009C32E7" w:rsidP="00AD70DE">
            <w:pPr>
              <w:rPr>
                <w:bCs/>
                <w:lang w:val="en-GB"/>
              </w:rPr>
            </w:pPr>
            <w:proofErr w:type="spellStart"/>
            <w:r w:rsidRPr="00AD70DE">
              <w:rPr>
                <w:bCs/>
                <w:lang w:val="en-GB"/>
              </w:rPr>
              <w:t>Prof.</w:t>
            </w:r>
            <w:proofErr w:type="spellEnd"/>
            <w:r w:rsidRPr="00AD70DE">
              <w:rPr>
                <w:bCs/>
                <w:lang w:val="en-GB"/>
              </w:rPr>
              <w:t xml:space="preserve"> </w:t>
            </w:r>
            <w:proofErr w:type="spellStart"/>
            <w:r w:rsidRPr="00AD70DE">
              <w:rPr>
                <w:bCs/>
                <w:lang w:val="en-GB"/>
              </w:rPr>
              <w:t>Dr.</w:t>
            </w:r>
            <w:proofErr w:type="spellEnd"/>
            <w:r w:rsidRPr="00AD70DE">
              <w:rPr>
                <w:bCs/>
                <w:lang w:val="en-GB"/>
              </w:rPr>
              <w:t xml:space="preserve"> med. Walter E. Haefeli</w:t>
            </w:r>
          </w:p>
          <w:p w:rsidR="009C32E7" w:rsidRPr="00AD70DE" w:rsidRDefault="009C32E7" w:rsidP="00AD70DE">
            <w:pPr>
              <w:rPr>
                <w:lang w:val="en-GB"/>
              </w:rPr>
            </w:pPr>
            <w:r w:rsidRPr="00AD70DE">
              <w:rPr>
                <w:lang w:val="en-GB"/>
              </w:rPr>
              <w:t>Heidelberg University Hospital</w:t>
            </w:r>
            <w:r w:rsidRPr="00AD70DE">
              <w:rPr>
                <w:lang w:val="en-GB"/>
              </w:rPr>
              <w:br/>
              <w:t>Department of Clinical Pharmacology and Pharmacoepidemiology</w:t>
            </w:r>
            <w:r w:rsidRPr="00AD70DE">
              <w:rPr>
                <w:lang w:val="en-GB"/>
              </w:rPr>
              <w:br/>
            </w:r>
            <w:proofErr w:type="spellStart"/>
            <w:r w:rsidRPr="00AD70DE">
              <w:rPr>
                <w:lang w:val="en-GB"/>
              </w:rPr>
              <w:t>Im</w:t>
            </w:r>
            <w:proofErr w:type="spellEnd"/>
            <w:r w:rsidRPr="00AD70DE">
              <w:rPr>
                <w:lang w:val="en-GB"/>
              </w:rPr>
              <w:t xml:space="preserve"> Neuenheimer Feld 410</w:t>
            </w:r>
            <w:r w:rsidRPr="00AD70DE">
              <w:rPr>
                <w:lang w:val="en-GB"/>
              </w:rPr>
              <w:br/>
              <w:t>69120 Heidelberg</w:t>
            </w:r>
            <w:r w:rsidRPr="00AD70DE">
              <w:rPr>
                <w:lang w:val="en-GB"/>
              </w:rPr>
              <w:br/>
              <w:t>Tel.:</w:t>
            </w:r>
            <w:r w:rsidRPr="00AD70DE">
              <w:rPr>
                <w:rFonts w:cs="Calibri"/>
                <w:szCs w:val="24"/>
                <w:lang w:val="en-GB"/>
              </w:rPr>
              <w:t xml:space="preserve"> </w:t>
            </w:r>
            <w:r w:rsidRPr="00AD70DE">
              <w:rPr>
                <w:rFonts w:cs="Calibri"/>
                <w:szCs w:val="24"/>
                <w:lang w:val="en-GB"/>
              </w:rPr>
              <w:tab/>
              <w:t xml:space="preserve">+49 (0) 6221 / </w:t>
            </w:r>
            <w:r w:rsidRPr="00AD70DE">
              <w:rPr>
                <w:lang w:val="en-GB"/>
              </w:rPr>
              <w:t>56- 8740</w:t>
            </w:r>
            <w:r w:rsidRPr="00AD70DE">
              <w:rPr>
                <w:lang w:val="en-GB"/>
              </w:rPr>
              <w:br/>
              <w:t xml:space="preserve">Fax: </w:t>
            </w:r>
            <w:r w:rsidRPr="00AD70DE">
              <w:rPr>
                <w:lang w:val="en-GB"/>
              </w:rPr>
              <w:tab/>
              <w:t>+49 (0) 6221 / 56-</w:t>
            </w:r>
            <w:r w:rsidRPr="00AD70DE">
              <w:rPr>
                <w:lang w:val="en-US"/>
              </w:rPr>
              <w:t xml:space="preserve"> </w:t>
            </w:r>
            <w:r w:rsidRPr="00AD70DE">
              <w:rPr>
                <w:lang w:val="en-GB"/>
              </w:rPr>
              <w:t>4642</w:t>
            </w:r>
            <w:r w:rsidRPr="00AD70DE">
              <w:rPr>
                <w:lang w:val="en-GB"/>
              </w:rPr>
              <w:br/>
              <w:t>Email:</w:t>
            </w:r>
            <w:r w:rsidRPr="00AD70DE">
              <w:rPr>
                <w:rFonts w:cs="Calibri"/>
                <w:szCs w:val="24"/>
                <w:lang w:val="en-GB"/>
              </w:rPr>
              <w:t xml:space="preserve"> </w:t>
            </w:r>
            <w:r w:rsidRPr="00AD70DE">
              <w:rPr>
                <w:rFonts w:cs="Calibri"/>
                <w:szCs w:val="24"/>
                <w:lang w:val="en-GB"/>
              </w:rPr>
              <w:tab/>
              <w:t>Walter.Emil.Haefeli@med.uni-heidelberg.de</w:t>
            </w:r>
          </w:p>
        </w:tc>
      </w:tr>
      <w:tr w:rsidR="009C32E7" w:rsidRPr="00AD70DE" w:rsidTr="008355A9">
        <w:trPr>
          <w:cantSplit/>
          <w:trHeight w:val="1423"/>
        </w:trPr>
        <w:tc>
          <w:tcPr>
            <w:tcW w:w="3691" w:type="dxa"/>
          </w:tcPr>
          <w:p w:rsidR="009C32E7" w:rsidRPr="00AD70DE" w:rsidRDefault="009C32E7" w:rsidP="00AD70DE">
            <w:pPr>
              <w:rPr>
                <w:b/>
                <w:bCs/>
                <w:lang w:val="en-GB"/>
              </w:rPr>
            </w:pPr>
            <w:r w:rsidRPr="00AD70DE">
              <w:rPr>
                <w:b/>
                <w:bCs/>
                <w:lang w:val="en-GB"/>
              </w:rPr>
              <w:lastRenderedPageBreak/>
              <w:t>DEPUTY INVESTIGATOR</w:t>
            </w:r>
          </w:p>
        </w:tc>
        <w:tc>
          <w:tcPr>
            <w:tcW w:w="5670" w:type="dxa"/>
          </w:tcPr>
          <w:p w:rsidR="009C32E7" w:rsidRPr="00AD70DE" w:rsidRDefault="009C32E7" w:rsidP="00AD70DE">
            <w:pPr>
              <w:ind w:left="34"/>
              <w:rPr>
                <w:bCs/>
                <w:lang w:val="en-US"/>
              </w:rPr>
            </w:pPr>
            <w:r w:rsidRPr="00AD70DE">
              <w:rPr>
                <w:bCs/>
                <w:lang w:val="en-US"/>
              </w:rPr>
              <w:t>Dr. med. Antje Blank</w:t>
            </w:r>
          </w:p>
          <w:p w:rsidR="009C32E7" w:rsidRPr="00AD70DE" w:rsidRDefault="009C32E7" w:rsidP="00AD70DE">
            <w:pPr>
              <w:ind w:left="34"/>
              <w:rPr>
                <w:lang w:val="en-GB"/>
              </w:rPr>
            </w:pPr>
            <w:r w:rsidRPr="00AD70DE">
              <w:rPr>
                <w:lang w:val="en-GB"/>
              </w:rPr>
              <w:t>Heidelberg University Hospital</w:t>
            </w:r>
            <w:r w:rsidRPr="00AD70DE">
              <w:rPr>
                <w:lang w:val="en-GB"/>
              </w:rPr>
              <w:br/>
              <w:t>Department of Clinical Pharmacology and Pharmacoepidemiology</w:t>
            </w:r>
            <w:r w:rsidRPr="00AD70DE">
              <w:rPr>
                <w:lang w:val="en-GB"/>
              </w:rPr>
              <w:br/>
            </w:r>
            <w:proofErr w:type="spellStart"/>
            <w:r w:rsidRPr="00AD70DE">
              <w:rPr>
                <w:lang w:val="en-GB"/>
              </w:rPr>
              <w:t>Im</w:t>
            </w:r>
            <w:proofErr w:type="spellEnd"/>
            <w:r w:rsidRPr="00AD70DE">
              <w:rPr>
                <w:lang w:val="en-GB"/>
              </w:rPr>
              <w:t xml:space="preserve"> Neuenheimer Feld 410</w:t>
            </w:r>
            <w:r w:rsidRPr="00AD70DE">
              <w:rPr>
                <w:lang w:val="en-GB"/>
              </w:rPr>
              <w:br/>
              <w:t>69120 Heidelberg</w:t>
            </w:r>
            <w:r w:rsidRPr="00AD70DE">
              <w:rPr>
                <w:lang w:val="en-GB"/>
              </w:rPr>
              <w:br/>
              <w:t>Tel.:</w:t>
            </w:r>
            <w:r w:rsidRPr="00AD70DE">
              <w:rPr>
                <w:rFonts w:cs="Calibri"/>
                <w:szCs w:val="24"/>
                <w:lang w:val="en-GB"/>
              </w:rPr>
              <w:t xml:space="preserve"> </w:t>
            </w:r>
            <w:r w:rsidRPr="00AD70DE">
              <w:rPr>
                <w:rFonts w:cs="Calibri"/>
                <w:szCs w:val="24"/>
                <w:lang w:val="en-GB"/>
              </w:rPr>
              <w:tab/>
              <w:t xml:space="preserve">+49 (0) 6221 / </w:t>
            </w:r>
            <w:r w:rsidRPr="00AD70DE">
              <w:rPr>
                <w:lang w:val="en-GB"/>
              </w:rPr>
              <w:t>56- 39537</w:t>
            </w:r>
            <w:r w:rsidRPr="00AD70DE">
              <w:rPr>
                <w:lang w:val="en-GB"/>
              </w:rPr>
              <w:br/>
              <w:t xml:space="preserve">Fax: </w:t>
            </w:r>
            <w:r w:rsidRPr="00AD70DE">
              <w:rPr>
                <w:lang w:val="en-GB"/>
              </w:rPr>
              <w:tab/>
              <w:t>+49 (0) 6221 / 56-</w:t>
            </w:r>
            <w:r w:rsidRPr="00AD70DE">
              <w:rPr>
                <w:lang w:val="en-US"/>
              </w:rPr>
              <w:t xml:space="preserve"> </w:t>
            </w:r>
            <w:r w:rsidRPr="00AD70DE">
              <w:rPr>
                <w:lang w:val="en-GB"/>
              </w:rPr>
              <w:t>8523</w:t>
            </w:r>
            <w:r w:rsidRPr="00AD70DE">
              <w:rPr>
                <w:lang w:val="en-GB"/>
              </w:rPr>
              <w:br/>
              <w:t>Email:</w:t>
            </w:r>
            <w:r w:rsidRPr="00AD70DE">
              <w:rPr>
                <w:rFonts w:cs="Calibri"/>
                <w:szCs w:val="24"/>
                <w:lang w:val="en-GB"/>
              </w:rPr>
              <w:t xml:space="preserve"> </w:t>
            </w:r>
            <w:r w:rsidRPr="00AD70DE">
              <w:rPr>
                <w:rFonts w:cs="Calibri"/>
                <w:szCs w:val="24"/>
                <w:lang w:val="en-GB"/>
              </w:rPr>
              <w:tab/>
              <w:t>antje.Blank@med.uni-heidelberg.de</w:t>
            </w:r>
          </w:p>
        </w:tc>
      </w:tr>
      <w:tr w:rsidR="009C32E7" w:rsidRPr="00AD70DE" w:rsidTr="008355A9">
        <w:trPr>
          <w:cantSplit/>
          <w:trHeight w:val="1423"/>
        </w:trPr>
        <w:tc>
          <w:tcPr>
            <w:tcW w:w="3691" w:type="dxa"/>
          </w:tcPr>
          <w:p w:rsidR="009C32E7" w:rsidRPr="00AD70DE" w:rsidRDefault="009C32E7" w:rsidP="00AD70DE">
            <w:pPr>
              <w:rPr>
                <w:b/>
                <w:bCs/>
                <w:lang w:val="en-GB"/>
              </w:rPr>
            </w:pPr>
            <w:r w:rsidRPr="00AD70DE">
              <w:rPr>
                <w:b/>
                <w:bCs/>
                <w:lang w:val="en-GB"/>
              </w:rPr>
              <w:t>DEPUTY INVESTIGATOR</w:t>
            </w:r>
          </w:p>
        </w:tc>
        <w:tc>
          <w:tcPr>
            <w:tcW w:w="5670" w:type="dxa"/>
          </w:tcPr>
          <w:p w:rsidR="009C32E7" w:rsidRPr="00AD70DE" w:rsidRDefault="009C32E7" w:rsidP="00AD70DE">
            <w:pPr>
              <w:rPr>
                <w:bCs/>
                <w:lang w:val="sv-SE"/>
              </w:rPr>
            </w:pPr>
            <w:r w:rsidRPr="00AD70DE">
              <w:rPr>
                <w:bCs/>
                <w:lang w:val="sv-SE"/>
              </w:rPr>
              <w:t>Dr. med. Dipl. Vw. Felicitas Stoll</w:t>
            </w:r>
          </w:p>
          <w:p w:rsidR="009C32E7" w:rsidRPr="00AD70DE" w:rsidRDefault="009C32E7" w:rsidP="00AD70DE">
            <w:pPr>
              <w:rPr>
                <w:bCs/>
                <w:lang w:val="en-GB"/>
              </w:rPr>
            </w:pPr>
            <w:r w:rsidRPr="00AD70DE">
              <w:rPr>
                <w:lang w:val="en-GB"/>
              </w:rPr>
              <w:t>Heidelberg University Hospital</w:t>
            </w:r>
            <w:r w:rsidRPr="00AD70DE">
              <w:rPr>
                <w:lang w:val="en-GB"/>
              </w:rPr>
              <w:br/>
              <w:t>Department of Clinical Pharmacology and Pharmacoepidemiology</w:t>
            </w:r>
            <w:r w:rsidRPr="00AD70DE">
              <w:rPr>
                <w:lang w:val="en-GB"/>
              </w:rPr>
              <w:br/>
            </w:r>
            <w:proofErr w:type="spellStart"/>
            <w:r w:rsidRPr="00AD70DE">
              <w:rPr>
                <w:lang w:val="en-GB"/>
              </w:rPr>
              <w:t>Im</w:t>
            </w:r>
            <w:proofErr w:type="spellEnd"/>
            <w:r w:rsidRPr="00AD70DE">
              <w:rPr>
                <w:lang w:val="en-GB"/>
              </w:rPr>
              <w:t xml:space="preserve"> Neuenheimer Feld 410</w:t>
            </w:r>
            <w:r w:rsidRPr="00AD70DE">
              <w:rPr>
                <w:lang w:val="en-GB"/>
              </w:rPr>
              <w:br/>
              <w:t>69120 Heidelberg</w:t>
            </w:r>
            <w:r w:rsidRPr="00AD70DE">
              <w:rPr>
                <w:lang w:val="en-GB"/>
              </w:rPr>
              <w:br/>
              <w:t>Tel.:</w:t>
            </w:r>
            <w:r w:rsidRPr="00AD70DE">
              <w:rPr>
                <w:rFonts w:cs="Calibri"/>
                <w:szCs w:val="24"/>
                <w:lang w:val="en-GB"/>
              </w:rPr>
              <w:t xml:space="preserve"> </w:t>
            </w:r>
            <w:r w:rsidRPr="00AD70DE">
              <w:rPr>
                <w:rFonts w:cs="Calibri"/>
                <w:szCs w:val="24"/>
                <w:lang w:val="en-GB"/>
              </w:rPr>
              <w:tab/>
              <w:t xml:space="preserve">+49 (0) 6221 / </w:t>
            </w:r>
            <w:r w:rsidRPr="00AD70DE">
              <w:rPr>
                <w:lang w:val="en-GB"/>
              </w:rPr>
              <w:t>56- 38423</w:t>
            </w:r>
            <w:r w:rsidRPr="00AD70DE">
              <w:rPr>
                <w:lang w:val="en-GB"/>
              </w:rPr>
              <w:br/>
              <w:t xml:space="preserve">Fax: </w:t>
            </w:r>
            <w:r w:rsidRPr="00AD70DE">
              <w:rPr>
                <w:lang w:val="en-GB"/>
              </w:rPr>
              <w:tab/>
              <w:t>+49 (0) 6221 / 56-</w:t>
            </w:r>
            <w:r w:rsidRPr="00AD70DE">
              <w:rPr>
                <w:lang w:val="en-US"/>
              </w:rPr>
              <w:t xml:space="preserve"> </w:t>
            </w:r>
            <w:r w:rsidRPr="00AD70DE">
              <w:rPr>
                <w:lang w:val="en-GB"/>
              </w:rPr>
              <w:t>8523</w:t>
            </w:r>
            <w:r w:rsidRPr="00AD70DE">
              <w:rPr>
                <w:lang w:val="en-GB"/>
              </w:rPr>
              <w:br/>
              <w:t>Email:</w:t>
            </w:r>
            <w:r w:rsidRPr="00AD70DE">
              <w:rPr>
                <w:rFonts w:cs="Calibri"/>
                <w:szCs w:val="24"/>
                <w:lang w:val="en-GB"/>
              </w:rPr>
              <w:t xml:space="preserve"> </w:t>
            </w:r>
            <w:r w:rsidRPr="00AD70DE">
              <w:rPr>
                <w:rFonts w:cs="Calibri"/>
                <w:szCs w:val="24"/>
                <w:lang w:val="en-GB"/>
              </w:rPr>
              <w:tab/>
              <w:t>felicitas.stoll@med.uni-heidelberg.de</w:t>
            </w:r>
          </w:p>
        </w:tc>
      </w:tr>
      <w:tr w:rsidR="009C32E7" w:rsidRPr="00AD70DE" w:rsidTr="008355A9">
        <w:trPr>
          <w:cantSplit/>
          <w:trHeight w:val="1423"/>
        </w:trPr>
        <w:tc>
          <w:tcPr>
            <w:tcW w:w="3691" w:type="dxa"/>
          </w:tcPr>
          <w:p w:rsidR="009C32E7" w:rsidRPr="00AD70DE" w:rsidRDefault="009C32E7" w:rsidP="00AD70DE">
            <w:pPr>
              <w:rPr>
                <w:b/>
                <w:bCs/>
                <w:lang w:val="en-GB"/>
              </w:rPr>
            </w:pPr>
            <w:r w:rsidRPr="00AD70DE">
              <w:rPr>
                <w:b/>
                <w:bCs/>
                <w:lang w:val="en-GB"/>
              </w:rPr>
              <w:t>Biostatistician</w:t>
            </w:r>
          </w:p>
        </w:tc>
        <w:tc>
          <w:tcPr>
            <w:tcW w:w="5670" w:type="dxa"/>
          </w:tcPr>
          <w:p w:rsidR="009C32E7" w:rsidRPr="00AD70DE" w:rsidRDefault="009C32E7" w:rsidP="00AD70DE">
            <w:pPr>
              <w:ind w:left="52"/>
              <w:rPr>
                <w:lang w:val="en-GB"/>
              </w:rPr>
            </w:pPr>
            <w:proofErr w:type="spellStart"/>
            <w:r w:rsidRPr="00AD70DE">
              <w:rPr>
                <w:lang w:val="en-GB"/>
              </w:rPr>
              <w:t>Prof.</w:t>
            </w:r>
            <w:proofErr w:type="spellEnd"/>
            <w:r w:rsidRPr="00AD70DE">
              <w:rPr>
                <w:lang w:val="en-GB"/>
              </w:rPr>
              <w:t xml:space="preserve"> </w:t>
            </w:r>
            <w:proofErr w:type="spellStart"/>
            <w:r w:rsidRPr="00AD70DE">
              <w:rPr>
                <w:lang w:val="en-GB"/>
              </w:rPr>
              <w:t>Dr.</w:t>
            </w:r>
            <w:proofErr w:type="spellEnd"/>
            <w:r w:rsidRPr="00AD70DE">
              <w:rPr>
                <w:lang w:val="en-GB"/>
              </w:rPr>
              <w:t xml:space="preserve"> med. Dipl. Phys. Gerd Mikus</w:t>
            </w:r>
          </w:p>
          <w:p w:rsidR="009C32E7" w:rsidRPr="00AD70DE" w:rsidRDefault="009C32E7" w:rsidP="00AD70DE">
            <w:pPr>
              <w:ind w:left="52"/>
              <w:rPr>
                <w:lang w:val="en-GB"/>
              </w:rPr>
            </w:pPr>
            <w:r w:rsidRPr="00AD70DE">
              <w:rPr>
                <w:lang w:val="en-GB"/>
              </w:rPr>
              <w:t>Heidelberg University Hospital</w:t>
            </w:r>
            <w:r w:rsidRPr="00AD70DE">
              <w:rPr>
                <w:lang w:val="en-GB"/>
              </w:rPr>
              <w:br/>
              <w:t>Department of Clinical Pharmacology and Pharmacoepidemiology</w:t>
            </w:r>
            <w:r w:rsidRPr="00AD70DE">
              <w:rPr>
                <w:lang w:val="en-GB"/>
              </w:rPr>
              <w:br/>
            </w:r>
            <w:proofErr w:type="spellStart"/>
            <w:r w:rsidRPr="00AD70DE">
              <w:rPr>
                <w:lang w:val="en-GB"/>
              </w:rPr>
              <w:t>Im</w:t>
            </w:r>
            <w:proofErr w:type="spellEnd"/>
            <w:r w:rsidRPr="00AD70DE">
              <w:rPr>
                <w:lang w:val="en-GB"/>
              </w:rPr>
              <w:t xml:space="preserve"> Neuenheimer Feld 410</w:t>
            </w:r>
            <w:r w:rsidRPr="00AD70DE">
              <w:rPr>
                <w:lang w:val="en-GB"/>
              </w:rPr>
              <w:br/>
              <w:t>69120 Heidelberg</w:t>
            </w:r>
            <w:r w:rsidRPr="00AD70DE">
              <w:rPr>
                <w:lang w:val="en-GB"/>
              </w:rPr>
              <w:br/>
              <w:t>Tel.:</w:t>
            </w:r>
            <w:r w:rsidRPr="00AD70DE">
              <w:rPr>
                <w:rFonts w:cs="Calibri"/>
                <w:szCs w:val="24"/>
                <w:lang w:val="en-GB"/>
              </w:rPr>
              <w:t xml:space="preserve"> </w:t>
            </w:r>
            <w:r w:rsidRPr="00AD70DE">
              <w:rPr>
                <w:rFonts w:cs="Calibri"/>
                <w:szCs w:val="24"/>
                <w:lang w:val="en-GB"/>
              </w:rPr>
              <w:tab/>
              <w:t xml:space="preserve">+49 (0) 6221 / </w:t>
            </w:r>
            <w:r w:rsidRPr="00AD70DE">
              <w:rPr>
                <w:lang w:val="en-GB"/>
              </w:rPr>
              <w:t>56- 39197</w:t>
            </w:r>
            <w:r w:rsidRPr="00AD70DE">
              <w:rPr>
                <w:lang w:val="en-GB"/>
              </w:rPr>
              <w:br/>
              <w:t xml:space="preserve">Fax: </w:t>
            </w:r>
            <w:r w:rsidRPr="00AD70DE">
              <w:rPr>
                <w:lang w:val="en-GB"/>
              </w:rPr>
              <w:tab/>
              <w:t>+49 (0) 6221 / 56- 8523</w:t>
            </w:r>
            <w:r w:rsidRPr="00AD70DE">
              <w:rPr>
                <w:lang w:val="en-GB"/>
              </w:rPr>
              <w:br/>
              <w:t>Email:</w:t>
            </w:r>
            <w:r w:rsidRPr="00AD70DE">
              <w:rPr>
                <w:rFonts w:cs="Calibri"/>
                <w:szCs w:val="24"/>
                <w:lang w:val="en-GB"/>
              </w:rPr>
              <w:t xml:space="preserve"> </w:t>
            </w:r>
            <w:r w:rsidRPr="00AD70DE">
              <w:rPr>
                <w:rFonts w:cs="Calibri"/>
                <w:szCs w:val="24"/>
                <w:lang w:val="en-GB"/>
              </w:rPr>
              <w:tab/>
              <w:t>gerd.mikus@med.uni-heidelberg.de</w:t>
            </w:r>
          </w:p>
        </w:tc>
      </w:tr>
    </w:tbl>
    <w:p w:rsidR="009C32E7" w:rsidRPr="00AD70DE" w:rsidRDefault="009C32E7" w:rsidP="00AD70DE">
      <w:pPr>
        <w:rPr>
          <w:lang w:val="en-GB"/>
        </w:rPr>
        <w:sectPr w:rsidR="009C32E7" w:rsidRPr="00AD70DE" w:rsidSect="008355A9">
          <w:headerReference w:type="default" r:id="rId8"/>
          <w:footerReference w:type="default" r:id="rId9"/>
          <w:pgSz w:w="11906" w:h="16838"/>
          <w:pgMar w:top="1417" w:right="1417" w:bottom="1134" w:left="1417" w:header="708" w:footer="708" w:gutter="0"/>
          <w:cols w:space="708"/>
          <w:docGrid w:linePitch="360"/>
        </w:sectPr>
      </w:pPr>
    </w:p>
    <w:p w:rsidR="009C32E7" w:rsidRPr="00AD70DE" w:rsidRDefault="009C32E7" w:rsidP="00AD70DE">
      <w:pPr>
        <w:rPr>
          <w:rFonts w:cs="Calibri"/>
          <w:b/>
          <w:sz w:val="24"/>
          <w:szCs w:val="24"/>
          <w:lang w:val="en-GB"/>
        </w:rPr>
      </w:pPr>
      <w:r w:rsidRPr="00AD70DE">
        <w:rPr>
          <w:rFonts w:cs="Calibri"/>
          <w:b/>
          <w:sz w:val="24"/>
          <w:szCs w:val="24"/>
          <w:lang w:val="en-GB"/>
        </w:rPr>
        <w:lastRenderedPageBreak/>
        <w:t>SIGNATURE PAGE</w:t>
      </w:r>
    </w:p>
    <w:p w:rsidR="009C32E7" w:rsidRPr="00AD70DE" w:rsidRDefault="009C32E7" w:rsidP="00AD70DE">
      <w:pPr>
        <w:jc w:val="both"/>
        <w:rPr>
          <w:rFonts w:cs="Calibri"/>
          <w:b/>
          <w:szCs w:val="24"/>
          <w:lang w:val="en-GB"/>
        </w:rPr>
      </w:pPr>
      <w:r w:rsidRPr="00AD70DE">
        <w:rPr>
          <w:rFonts w:cs="Calibri"/>
          <w:b/>
          <w:szCs w:val="24"/>
          <w:lang w:val="en-GB"/>
        </w:rPr>
        <w:t>The present trial protocol was subject to critical review and has been approved in the present version by the persons undersigned. The information contained is consistent with:</w:t>
      </w:r>
    </w:p>
    <w:p w:rsidR="009C32E7" w:rsidRPr="00AD70DE" w:rsidRDefault="009C32E7" w:rsidP="00AD70DE">
      <w:pPr>
        <w:numPr>
          <w:ilvl w:val="0"/>
          <w:numId w:val="4"/>
        </w:numPr>
        <w:spacing w:line="256" w:lineRule="auto"/>
        <w:ind w:left="720" w:hanging="360"/>
        <w:jc w:val="both"/>
        <w:rPr>
          <w:rFonts w:cs="Calibri"/>
          <w:b/>
          <w:szCs w:val="24"/>
          <w:lang w:val="en-GB"/>
        </w:rPr>
      </w:pPr>
      <w:r w:rsidRPr="00AD70DE">
        <w:rPr>
          <w:rFonts w:cs="Calibri"/>
          <w:b/>
          <w:szCs w:val="24"/>
          <w:lang w:val="en-GB"/>
        </w:rPr>
        <w:t>the current risk-to-benefit assessment of the investigational medicinal products (IMPs)</w:t>
      </w:r>
    </w:p>
    <w:p w:rsidR="009C32E7" w:rsidRPr="00AD70DE" w:rsidRDefault="009C32E7" w:rsidP="00AD70DE">
      <w:pPr>
        <w:numPr>
          <w:ilvl w:val="0"/>
          <w:numId w:val="4"/>
        </w:numPr>
        <w:spacing w:line="256" w:lineRule="auto"/>
        <w:ind w:left="720" w:hanging="360"/>
        <w:jc w:val="both"/>
        <w:rPr>
          <w:rFonts w:cs="Calibri"/>
          <w:b/>
          <w:szCs w:val="24"/>
          <w:lang w:val="en-GB"/>
        </w:rPr>
      </w:pPr>
      <w:proofErr w:type="gramStart"/>
      <w:r w:rsidRPr="00AD70DE">
        <w:rPr>
          <w:rFonts w:cs="Calibri"/>
          <w:b/>
          <w:szCs w:val="24"/>
          <w:lang w:val="en-GB"/>
        </w:rPr>
        <w:t>the</w:t>
      </w:r>
      <w:proofErr w:type="gramEnd"/>
      <w:r w:rsidRPr="00AD70DE">
        <w:rPr>
          <w:rFonts w:cs="Calibri"/>
          <w:b/>
          <w:szCs w:val="24"/>
          <w:lang w:val="en-GB"/>
        </w:rPr>
        <w:t xml:space="preserve"> moral, ethical, and scientific principles governing clinical research as set out in the applicable version of the Declaration of Helsinki and the principles of good clinical practice (GCP).</w:t>
      </w:r>
    </w:p>
    <w:p w:rsidR="009C32E7" w:rsidRPr="00AD70DE" w:rsidRDefault="009C32E7" w:rsidP="00AD70DE">
      <w:pPr>
        <w:jc w:val="both"/>
        <w:rPr>
          <w:rFonts w:cs="Calibri"/>
          <w:b/>
          <w:szCs w:val="24"/>
          <w:lang w:val="en-GB"/>
        </w:rPr>
      </w:pPr>
      <w:r w:rsidRPr="00AD70DE">
        <w:rPr>
          <w:rFonts w:cs="Calibri"/>
          <w:b/>
          <w:szCs w:val="24"/>
          <w:lang w:val="en-GB"/>
        </w:rPr>
        <w:t>The investigator and all members of the trial group will be supplied with details of any significant or new finding including adverse events relating to treatment with the IMPs.</w:t>
      </w:r>
    </w:p>
    <w:p w:rsidR="009C32E7" w:rsidRPr="00AD70DE" w:rsidRDefault="009C32E7" w:rsidP="00AD70DE">
      <w:pPr>
        <w:jc w:val="both"/>
        <w:outlineLvl w:val="0"/>
        <w:rPr>
          <w:rFonts w:cs="Calibri"/>
          <w:b/>
          <w:szCs w:val="24"/>
          <w:lang w:val="en-GB"/>
        </w:rPr>
      </w:pPr>
      <w:bookmarkStart w:id="1" w:name="_Toc381640353"/>
    </w:p>
    <w:p w:rsidR="009C32E7" w:rsidRPr="00AD70DE" w:rsidRDefault="009C32E7" w:rsidP="00AD70DE">
      <w:pPr>
        <w:jc w:val="both"/>
        <w:rPr>
          <w:b/>
          <w:sz w:val="24"/>
          <w:lang w:val="en-GB"/>
        </w:rPr>
      </w:pPr>
      <w:bookmarkStart w:id="2" w:name="_Toc434223595"/>
      <w:bookmarkStart w:id="3" w:name="_Toc399148226"/>
      <w:bookmarkStart w:id="4" w:name="_Toc256000001"/>
      <w:bookmarkStart w:id="5" w:name="_Toc256000047"/>
      <w:r w:rsidRPr="00AD70DE">
        <w:rPr>
          <w:b/>
          <w:sz w:val="24"/>
          <w:lang w:val="en-GB"/>
        </w:rPr>
        <w:t>DECLARATION OF INVESTIGATOR</w:t>
      </w:r>
      <w:bookmarkEnd w:id="1"/>
      <w:bookmarkEnd w:id="2"/>
      <w:bookmarkEnd w:id="3"/>
      <w:bookmarkEnd w:id="4"/>
      <w:bookmarkEnd w:id="5"/>
    </w:p>
    <w:p w:rsidR="009C32E7" w:rsidRPr="00AD70DE" w:rsidRDefault="009C32E7" w:rsidP="00AD70DE">
      <w:pPr>
        <w:jc w:val="both"/>
        <w:rPr>
          <w:rFonts w:cs="Calibri"/>
          <w:b/>
          <w:szCs w:val="24"/>
          <w:lang w:val="en-GB"/>
        </w:rPr>
      </w:pPr>
      <w:r w:rsidRPr="00AD70DE">
        <w:rPr>
          <w:rFonts w:cs="Calibri"/>
          <w:b/>
          <w:szCs w:val="24"/>
          <w:lang w:val="en-GB"/>
        </w:rPr>
        <w:t>I have read the trial protocol and confirm that it contains all information to conduct the clinical trial. I pledge to conduct the clinical trial according to the protocol and according to the standard operating procedures of the Department of Clinical Pharmacology and Pharmacoepidemiology.</w:t>
      </w:r>
    </w:p>
    <w:p w:rsidR="009C32E7" w:rsidRPr="00AD70DE" w:rsidRDefault="009C32E7" w:rsidP="00AD70DE">
      <w:pPr>
        <w:jc w:val="both"/>
        <w:rPr>
          <w:rFonts w:cs="Calibri"/>
          <w:b/>
          <w:szCs w:val="24"/>
          <w:lang w:val="en-GB"/>
        </w:rPr>
      </w:pPr>
      <w:r w:rsidRPr="00AD70DE">
        <w:rPr>
          <w:rFonts w:cs="Calibri"/>
          <w:b/>
          <w:szCs w:val="24"/>
          <w:lang w:val="en-GB"/>
        </w:rPr>
        <w:t>I will enrol the first participant only after all ethical and regulatory requirements are fulfilled. I will obtain written consent for trial participation from all participants after detailed oral and written information and according to the requirements of local law (AMG). According to GCP-V §7, Section 2 No 15, I declare that all trial participants will be informed on the type of encoding their personal data (</w:t>
      </w:r>
      <w:proofErr w:type="spellStart"/>
      <w:r w:rsidRPr="00AD70DE">
        <w:rPr>
          <w:rFonts w:cs="Calibri"/>
          <w:b/>
          <w:szCs w:val="24"/>
          <w:lang w:val="en-GB"/>
        </w:rPr>
        <w:t>pseudonymisation</w:t>
      </w:r>
      <w:proofErr w:type="spellEnd"/>
      <w:r w:rsidRPr="00AD70DE">
        <w:rPr>
          <w:rFonts w:cs="Calibri"/>
          <w:b/>
          <w:szCs w:val="24"/>
          <w:lang w:val="en-GB"/>
        </w:rPr>
        <w:t>/</w:t>
      </w:r>
      <w:proofErr w:type="spellStart"/>
      <w:r w:rsidRPr="00AD70DE">
        <w:rPr>
          <w:rFonts w:cs="Calibri"/>
          <w:b/>
          <w:szCs w:val="24"/>
          <w:lang w:val="en-GB"/>
        </w:rPr>
        <w:t>anonymisation</w:t>
      </w:r>
      <w:proofErr w:type="spellEnd"/>
      <w:r w:rsidRPr="00AD70DE">
        <w:rPr>
          <w:rFonts w:cs="Calibri"/>
          <w:b/>
          <w:szCs w:val="24"/>
          <w:lang w:val="en-GB"/>
        </w:rPr>
        <w:t>) and who receives or has access to such data. Participants who do not agree to this data encoding and transfer will not be enrolled into the trial. In this context I confirm (according to GCP-V §7, Section 3 No 15) that my investigational site complies with all local regulatory requirements for data protection.</w:t>
      </w:r>
    </w:p>
    <w:p w:rsidR="009C32E7" w:rsidRPr="00AD70DE" w:rsidRDefault="009C32E7" w:rsidP="00AD70DE">
      <w:pPr>
        <w:jc w:val="both"/>
        <w:rPr>
          <w:rFonts w:cs="Calibri"/>
          <w:b/>
          <w:szCs w:val="24"/>
          <w:lang w:val="en-GB"/>
        </w:rPr>
      </w:pPr>
      <w:r w:rsidRPr="00AD70DE">
        <w:rPr>
          <w:rFonts w:cs="Calibri"/>
          <w:b/>
          <w:szCs w:val="24"/>
          <w:lang w:val="en-GB"/>
        </w:rPr>
        <w:t>Furthermore I declare (according to GCP-V §7, Section 3 No 4) that to the best of my knowledge no participants in a relationship of any dependence to the investigator or sponsor will be included.</w:t>
      </w:r>
    </w:p>
    <w:p w:rsidR="009C32E7" w:rsidRPr="00AD70DE" w:rsidRDefault="009C32E7" w:rsidP="00AD70DE">
      <w:pPr>
        <w:jc w:val="both"/>
        <w:rPr>
          <w:rFonts w:cs="Calibri"/>
          <w:b/>
          <w:szCs w:val="24"/>
          <w:lang w:val="en-GB"/>
        </w:rPr>
      </w:pPr>
      <w:r w:rsidRPr="00AD70DE">
        <w:rPr>
          <w:rFonts w:cs="Calibri"/>
          <w:b/>
          <w:szCs w:val="24"/>
          <w:lang w:val="en-GB"/>
        </w:rPr>
        <w:t>I know the requirements for accurate notification of serious adverse events (SAE) and I pledge to document and notify such events as described in the protocol.</w:t>
      </w:r>
    </w:p>
    <w:p w:rsidR="009C32E7" w:rsidRPr="00AD70DE" w:rsidRDefault="009C32E7" w:rsidP="00AD70DE">
      <w:pPr>
        <w:jc w:val="both"/>
        <w:rPr>
          <w:rFonts w:cs="Calibri"/>
          <w:b/>
          <w:szCs w:val="24"/>
          <w:lang w:val="en-GB"/>
        </w:rPr>
      </w:pPr>
      <w:r w:rsidRPr="00AD70DE">
        <w:rPr>
          <w:rFonts w:cs="Calibri"/>
          <w:b/>
          <w:szCs w:val="24"/>
          <w:lang w:val="en-GB"/>
        </w:rPr>
        <w:t>I declare that I am informed about the pharmacological-toxicological assessments and results regarding the benefits and risks of the clinical trial by reading the description in the clinical trial protocol and in the current version of the summary of product characteristics (</w:t>
      </w:r>
      <w:proofErr w:type="spellStart"/>
      <w:r w:rsidRPr="00AD70DE">
        <w:rPr>
          <w:rFonts w:cs="Calibri"/>
          <w:b/>
          <w:szCs w:val="24"/>
          <w:lang w:val="en-GB"/>
        </w:rPr>
        <w:t>SmPC</w:t>
      </w:r>
      <w:proofErr w:type="spellEnd"/>
      <w:r w:rsidRPr="00AD70DE">
        <w:rPr>
          <w:rFonts w:cs="Calibri"/>
          <w:b/>
          <w:szCs w:val="24"/>
          <w:lang w:val="en-GB"/>
        </w:rPr>
        <w:t xml:space="preserve">). I ensure that all investigators/ relevant staff at my site will be informed of this results and possibly new risks that are forwarded by the sponsor later on (e.g. via new version of the </w:t>
      </w:r>
      <w:proofErr w:type="spellStart"/>
      <w:proofErr w:type="gramStart"/>
      <w:r w:rsidRPr="00AD70DE">
        <w:rPr>
          <w:rFonts w:cs="Calibri"/>
          <w:b/>
          <w:szCs w:val="24"/>
          <w:lang w:val="en-GB"/>
        </w:rPr>
        <w:t>SmPC</w:t>
      </w:r>
      <w:proofErr w:type="spellEnd"/>
      <w:r w:rsidRPr="00AD70DE" w:rsidDel="00E46A77">
        <w:rPr>
          <w:rFonts w:cs="Calibri"/>
          <w:b/>
          <w:szCs w:val="24"/>
          <w:lang w:val="en-GB"/>
        </w:rPr>
        <w:t xml:space="preserve"> </w:t>
      </w:r>
      <w:r w:rsidRPr="00AD70DE">
        <w:rPr>
          <w:rFonts w:cs="Calibri"/>
          <w:b/>
          <w:szCs w:val="24"/>
          <w:lang w:val="en-GB"/>
        </w:rPr>
        <w:t>)</w:t>
      </w:r>
      <w:proofErr w:type="gramEnd"/>
      <w:r w:rsidRPr="00AD70DE">
        <w:rPr>
          <w:rFonts w:cs="Calibri"/>
          <w:b/>
          <w:szCs w:val="24"/>
          <w:lang w:val="en-GB"/>
        </w:rPr>
        <w:t>.</w:t>
      </w:r>
    </w:p>
    <w:p w:rsidR="009C32E7" w:rsidRPr="00AD70DE" w:rsidRDefault="009C32E7" w:rsidP="00AD70DE">
      <w:pPr>
        <w:jc w:val="both"/>
        <w:rPr>
          <w:rFonts w:cs="Calibri"/>
          <w:b/>
          <w:szCs w:val="24"/>
          <w:lang w:val="en-GB"/>
        </w:rPr>
      </w:pPr>
      <w:r w:rsidRPr="00AD70DE">
        <w:rPr>
          <w:rFonts w:cs="Calibri"/>
          <w:b/>
          <w:szCs w:val="24"/>
          <w:lang w:val="en-GB"/>
        </w:rPr>
        <w:t>I confirm that every staff member will be adequately trained to guarantee compliance with the trial protocol incl. subsequent amendments.</w:t>
      </w:r>
    </w:p>
    <w:p w:rsidR="009C32E7" w:rsidRPr="00AD70DE" w:rsidRDefault="009C32E7" w:rsidP="00AD70DE">
      <w:pPr>
        <w:jc w:val="both"/>
        <w:rPr>
          <w:rFonts w:cs="Calibri"/>
          <w:b/>
          <w:szCs w:val="24"/>
          <w:lang w:val="en-GB"/>
        </w:rPr>
      </w:pPr>
      <w:r w:rsidRPr="00AD70DE">
        <w:rPr>
          <w:rFonts w:cs="Calibri"/>
          <w:b/>
          <w:szCs w:val="24"/>
          <w:lang w:val="en-GB"/>
        </w:rPr>
        <w:lastRenderedPageBreak/>
        <w:t xml:space="preserve">I will retain all trial-related documents and source data as described. I will archive any trial-related documents according to the pertinent laws. </w:t>
      </w:r>
    </w:p>
    <w:p w:rsidR="009C32E7" w:rsidRPr="00AD70DE" w:rsidRDefault="009C32E7" w:rsidP="00AD70DE">
      <w:pPr>
        <w:jc w:val="both"/>
        <w:rPr>
          <w:rFonts w:cs="Calibri"/>
          <w:b/>
          <w:szCs w:val="24"/>
          <w:lang w:val="en-GB"/>
        </w:rPr>
      </w:pPr>
      <w:r w:rsidRPr="00AD70DE">
        <w:rPr>
          <w:rFonts w:cs="Calibri"/>
          <w:b/>
          <w:szCs w:val="24"/>
          <w:lang w:val="en-GB"/>
        </w:rPr>
        <w:t>I will provide a Curriculum Vitae (CV) before trial start. I agree that the CV and Financial Disclosure (FD) may be submitted to the responsible ethical committee (EC).</w:t>
      </w:r>
    </w:p>
    <w:p w:rsidR="009C32E7" w:rsidRPr="00AD70DE" w:rsidRDefault="009C32E7" w:rsidP="00AD70DE">
      <w:pPr>
        <w:jc w:val="both"/>
        <w:rPr>
          <w:rFonts w:cs="Calibri"/>
          <w:b/>
          <w:szCs w:val="24"/>
          <w:lang w:val="en-GB"/>
        </w:rPr>
      </w:pPr>
      <w:r w:rsidRPr="00AD70DE">
        <w:rPr>
          <w:rFonts w:cs="Calibri"/>
          <w:b/>
          <w:szCs w:val="24"/>
          <w:lang w:val="en-GB"/>
        </w:rPr>
        <w:t>As the clinical trial and the results have to be published in a clinical trial register and forwarded to the EC and competent authority. I agree that my name and clinic address will be part of this final trial (summary) report/ public register and are disclosed pursuant to §42b AMG.</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345"/>
        <w:gridCol w:w="3944"/>
      </w:tblGrid>
      <w:tr w:rsidR="009C32E7" w:rsidRPr="00AD70DE">
        <w:trPr>
          <w:trHeight w:val="731"/>
        </w:trPr>
        <w:tc>
          <w:tcPr>
            <w:tcW w:w="5000" w:type="pct"/>
            <w:gridSpan w:val="2"/>
            <w:tcBorders>
              <w:top w:val="single" w:sz="4" w:space="0" w:color="auto"/>
              <w:left w:val="single" w:sz="4" w:space="0" w:color="auto"/>
              <w:bottom w:val="nil"/>
              <w:right w:val="single" w:sz="4" w:space="0" w:color="auto"/>
            </w:tcBorders>
            <w:hideMark/>
          </w:tcPr>
          <w:p w:rsidR="009C32E7" w:rsidRPr="00AD70DE" w:rsidRDefault="009C32E7" w:rsidP="00AD70DE">
            <w:pPr>
              <w:keepNext/>
              <w:keepLines/>
              <w:autoSpaceDE w:val="0"/>
              <w:autoSpaceDN w:val="0"/>
              <w:adjustRightInd w:val="0"/>
              <w:spacing w:line="256" w:lineRule="auto"/>
              <w:rPr>
                <w:color w:val="000000"/>
                <w:sz w:val="23"/>
                <w:lang w:val="en-GB"/>
              </w:rPr>
            </w:pPr>
            <w:r w:rsidRPr="00AD70DE">
              <w:rPr>
                <w:b/>
                <w:color w:val="000000"/>
                <w:sz w:val="32"/>
                <w:lang w:val="en-GB"/>
              </w:rPr>
              <w:t>Princip</w:t>
            </w:r>
            <w:r w:rsidRPr="00AD70DE">
              <w:rPr>
                <w:rFonts w:eastAsia="Batang"/>
                <w:b/>
                <w:bCs/>
                <w:color w:val="000000"/>
                <w:sz w:val="32"/>
                <w:lang w:val="en-GB" w:eastAsia="ko-KR"/>
              </w:rPr>
              <w:t>a</w:t>
            </w:r>
            <w:r w:rsidRPr="00AD70DE">
              <w:rPr>
                <w:b/>
                <w:color w:val="000000"/>
                <w:sz w:val="32"/>
                <w:lang w:val="en-GB"/>
              </w:rPr>
              <w:t>l Investigator’s Signature</w:t>
            </w:r>
          </w:p>
        </w:tc>
      </w:tr>
      <w:tr w:rsidR="009C32E7" w:rsidRPr="00AD70DE">
        <w:trPr>
          <w:trHeight w:val="159"/>
        </w:trPr>
        <w:tc>
          <w:tcPr>
            <w:tcW w:w="5000" w:type="pct"/>
            <w:gridSpan w:val="2"/>
            <w:tcBorders>
              <w:top w:val="nil"/>
              <w:left w:val="single" w:sz="4" w:space="0" w:color="auto"/>
              <w:bottom w:val="nil"/>
              <w:right w:val="single" w:sz="4" w:space="0" w:color="auto"/>
            </w:tcBorders>
            <w:vAlign w:val="bottom"/>
            <w:hideMark/>
          </w:tcPr>
          <w:p w:rsidR="009C32E7" w:rsidRPr="00AD70DE" w:rsidRDefault="009C32E7" w:rsidP="00AD70DE">
            <w:pPr>
              <w:keepNext/>
              <w:keepLines/>
              <w:spacing w:line="256" w:lineRule="auto"/>
              <w:rPr>
                <w:color w:val="000000"/>
                <w:sz w:val="23"/>
                <w:lang w:val="en-GB"/>
              </w:rPr>
            </w:pPr>
            <w:r w:rsidRPr="00AD70DE">
              <w:rPr>
                <w:b/>
                <w:color w:val="000000"/>
                <w:sz w:val="23"/>
                <w:lang w:val="sv-SE"/>
              </w:rPr>
              <w:t xml:space="preserve">Investigator (”Prüfer”): Prof. Dr. med. </w:t>
            </w:r>
            <w:r w:rsidRPr="00AD70DE">
              <w:rPr>
                <w:b/>
                <w:color w:val="000000"/>
                <w:sz w:val="23"/>
                <w:lang w:val="en-GB"/>
              </w:rPr>
              <w:t>Walter E. Haefeli</w:t>
            </w:r>
          </w:p>
        </w:tc>
      </w:tr>
      <w:tr w:rsidR="009C32E7" w:rsidRPr="00AD70DE">
        <w:trPr>
          <w:trHeight w:val="208"/>
        </w:trPr>
        <w:tc>
          <w:tcPr>
            <w:tcW w:w="2877" w:type="pct"/>
            <w:tcBorders>
              <w:top w:val="nil"/>
              <w:left w:val="single" w:sz="4" w:space="0" w:color="auto"/>
              <w:bottom w:val="nil"/>
              <w:right w:val="nil"/>
            </w:tcBorders>
            <w:vAlign w:val="bottom"/>
            <w:hideMark/>
          </w:tcPr>
          <w:p w:rsidR="009C32E7" w:rsidRPr="00AD70DE" w:rsidRDefault="009C32E7" w:rsidP="00AD70DE">
            <w:pPr>
              <w:keepNext/>
              <w:keepLines/>
              <w:autoSpaceDE w:val="0"/>
              <w:autoSpaceDN w:val="0"/>
              <w:adjustRightInd w:val="0"/>
              <w:spacing w:before="20" w:line="256" w:lineRule="auto"/>
              <w:rPr>
                <w:color w:val="000000"/>
                <w:sz w:val="23"/>
                <w:szCs w:val="23"/>
                <w:lang w:val="en-GB"/>
              </w:rPr>
            </w:pPr>
            <w:r w:rsidRPr="00AD70DE">
              <w:rPr>
                <w:b/>
                <w:color w:val="000000"/>
                <w:sz w:val="23"/>
                <w:szCs w:val="23"/>
                <w:lang w:val="en-GB"/>
              </w:rPr>
              <w:t xml:space="preserve">Signature: </w:t>
            </w:r>
          </w:p>
        </w:tc>
        <w:tc>
          <w:tcPr>
            <w:tcW w:w="2123" w:type="pct"/>
            <w:tcBorders>
              <w:top w:val="nil"/>
              <w:left w:val="nil"/>
              <w:bottom w:val="nil"/>
              <w:right w:val="single" w:sz="4" w:space="0" w:color="auto"/>
            </w:tcBorders>
            <w:vAlign w:val="bottom"/>
            <w:hideMark/>
          </w:tcPr>
          <w:p w:rsidR="009C32E7" w:rsidRPr="00AD70DE" w:rsidRDefault="009C32E7" w:rsidP="00AD70DE">
            <w:pPr>
              <w:autoSpaceDE w:val="0"/>
              <w:autoSpaceDN w:val="0"/>
              <w:adjustRightInd w:val="0"/>
              <w:spacing w:line="256" w:lineRule="auto"/>
              <w:rPr>
                <w:color w:val="000000"/>
                <w:sz w:val="23"/>
                <w:lang w:val="en-GB"/>
              </w:rPr>
            </w:pPr>
            <w:r w:rsidRPr="00AD70DE">
              <w:rPr>
                <w:b/>
                <w:color w:val="000000"/>
                <w:sz w:val="23"/>
                <w:lang w:val="en-GB"/>
              </w:rPr>
              <w:t xml:space="preserve">Date: </w:t>
            </w:r>
            <w:r w:rsidR="000B6E0A">
              <w:rPr>
                <w:b/>
                <w:color w:val="000000"/>
                <w:sz w:val="23"/>
                <w:lang w:val="en-GB"/>
              </w:rPr>
              <w:t>24.04.2020</w:t>
            </w:r>
            <w:bookmarkStart w:id="6" w:name="_GoBack"/>
            <w:bookmarkEnd w:id="6"/>
          </w:p>
        </w:tc>
      </w:tr>
      <w:tr w:rsidR="009C32E7" w:rsidRPr="00AD70DE">
        <w:trPr>
          <w:trHeight w:val="133"/>
        </w:trPr>
        <w:tc>
          <w:tcPr>
            <w:tcW w:w="5000" w:type="pct"/>
            <w:gridSpan w:val="2"/>
            <w:tcBorders>
              <w:top w:val="nil"/>
              <w:left w:val="single" w:sz="4" w:space="0" w:color="auto"/>
              <w:bottom w:val="single" w:sz="4" w:space="0" w:color="auto"/>
              <w:right w:val="single" w:sz="4" w:space="0" w:color="auto"/>
            </w:tcBorders>
            <w:vAlign w:val="bottom"/>
          </w:tcPr>
          <w:p w:rsidR="009C32E7" w:rsidRPr="00AD70DE" w:rsidRDefault="009C32E7" w:rsidP="00AD70DE">
            <w:pPr>
              <w:tabs>
                <w:tab w:val="left" w:pos="5460"/>
              </w:tabs>
              <w:autoSpaceDE w:val="0"/>
              <w:autoSpaceDN w:val="0"/>
              <w:adjustRightInd w:val="0"/>
              <w:spacing w:line="256" w:lineRule="auto"/>
              <w:rPr>
                <w:color w:val="000000"/>
                <w:sz w:val="20"/>
                <w:lang w:val="en-GB"/>
              </w:rPr>
            </w:pPr>
          </w:p>
        </w:tc>
      </w:tr>
    </w:tbl>
    <w:p w:rsidR="009C32E7" w:rsidRPr="00AD70DE" w:rsidRDefault="009C32E7" w:rsidP="00AD70DE">
      <w:pPr>
        <w:spacing w:after="0" w:line="240" w:lineRule="auto"/>
        <w:rPr>
          <w:sz w:val="32"/>
        </w:rPr>
      </w:pPr>
    </w:p>
    <w:tbl>
      <w:tblPr>
        <w:tblpPr w:leftFromText="141" w:rightFromText="141" w:vertAnchor="text" w:horzAnchor="margin" w:tblpY="189"/>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345"/>
        <w:gridCol w:w="3944"/>
      </w:tblGrid>
      <w:tr w:rsidR="009C32E7" w:rsidRPr="00AD70DE" w:rsidTr="008355A9">
        <w:trPr>
          <w:trHeight w:val="731"/>
        </w:trPr>
        <w:tc>
          <w:tcPr>
            <w:tcW w:w="5000" w:type="pct"/>
            <w:gridSpan w:val="2"/>
            <w:tcBorders>
              <w:top w:val="single" w:sz="4" w:space="0" w:color="auto"/>
              <w:left w:val="single" w:sz="4" w:space="0" w:color="auto"/>
              <w:bottom w:val="nil"/>
              <w:right w:val="single" w:sz="4" w:space="0" w:color="auto"/>
            </w:tcBorders>
            <w:hideMark/>
          </w:tcPr>
          <w:p w:rsidR="009C32E7" w:rsidRPr="00AD70DE" w:rsidRDefault="009C32E7" w:rsidP="00AD70DE">
            <w:pPr>
              <w:autoSpaceDE w:val="0"/>
              <w:autoSpaceDN w:val="0"/>
              <w:adjustRightInd w:val="0"/>
              <w:spacing w:line="256" w:lineRule="auto"/>
              <w:rPr>
                <w:sz w:val="23"/>
                <w:lang w:val="en-GB"/>
              </w:rPr>
            </w:pPr>
            <w:r w:rsidRPr="00AD70DE">
              <w:rPr>
                <w:b/>
                <w:sz w:val="32"/>
                <w:lang w:val="en-GB"/>
              </w:rPr>
              <w:t>Deputy’s Signature</w:t>
            </w:r>
          </w:p>
        </w:tc>
      </w:tr>
      <w:tr w:rsidR="009C32E7" w:rsidRPr="00AD70DE" w:rsidTr="008355A9">
        <w:trPr>
          <w:trHeight w:val="159"/>
        </w:trPr>
        <w:tc>
          <w:tcPr>
            <w:tcW w:w="5000" w:type="pct"/>
            <w:gridSpan w:val="2"/>
            <w:tcBorders>
              <w:top w:val="nil"/>
              <w:left w:val="single" w:sz="4" w:space="0" w:color="auto"/>
              <w:bottom w:val="nil"/>
              <w:right w:val="single" w:sz="4" w:space="0" w:color="auto"/>
            </w:tcBorders>
            <w:vAlign w:val="bottom"/>
            <w:hideMark/>
          </w:tcPr>
          <w:p w:rsidR="009C32E7" w:rsidRPr="00AD70DE" w:rsidRDefault="009C32E7" w:rsidP="00AD70DE">
            <w:pPr>
              <w:spacing w:line="256" w:lineRule="auto"/>
              <w:rPr>
                <w:sz w:val="23"/>
                <w:lang w:val="sv-SE"/>
              </w:rPr>
            </w:pPr>
            <w:r w:rsidRPr="00AD70DE">
              <w:rPr>
                <w:b/>
                <w:sz w:val="23"/>
                <w:lang w:val="sv-SE"/>
              </w:rPr>
              <w:t>Investigator (”Prüfer</w:t>
            </w:r>
            <w:r w:rsidRPr="00AD70DE">
              <w:rPr>
                <w:rFonts w:eastAsia="Batang" w:cs="Calibri"/>
                <w:b/>
                <w:bCs/>
                <w:sz w:val="23"/>
                <w:szCs w:val="23"/>
                <w:lang w:val="sv-SE" w:eastAsia="ko-KR"/>
              </w:rPr>
              <w:t>-</w:t>
            </w:r>
            <w:r w:rsidRPr="00AD70DE">
              <w:rPr>
                <w:b/>
                <w:sz w:val="23"/>
                <w:lang w:val="sv-SE"/>
              </w:rPr>
              <w:t>Stellvertreter”): Dr. med. Antje Blank</w:t>
            </w:r>
          </w:p>
        </w:tc>
      </w:tr>
      <w:tr w:rsidR="009C32E7" w:rsidRPr="00AD70DE" w:rsidTr="008355A9">
        <w:trPr>
          <w:trHeight w:val="208"/>
        </w:trPr>
        <w:tc>
          <w:tcPr>
            <w:tcW w:w="2877" w:type="pct"/>
            <w:tcBorders>
              <w:top w:val="nil"/>
              <w:left w:val="single" w:sz="4" w:space="0" w:color="auto"/>
              <w:bottom w:val="nil"/>
              <w:right w:val="nil"/>
            </w:tcBorders>
            <w:vAlign w:val="bottom"/>
            <w:hideMark/>
          </w:tcPr>
          <w:p w:rsidR="009C32E7" w:rsidRPr="00AD70DE" w:rsidRDefault="009C32E7" w:rsidP="00AD70DE">
            <w:pPr>
              <w:autoSpaceDE w:val="0"/>
              <w:autoSpaceDN w:val="0"/>
              <w:adjustRightInd w:val="0"/>
              <w:spacing w:line="256" w:lineRule="auto"/>
              <w:rPr>
                <w:sz w:val="23"/>
                <w:szCs w:val="23"/>
              </w:rPr>
            </w:pPr>
            <w:proofErr w:type="spellStart"/>
            <w:r w:rsidRPr="00AD70DE">
              <w:rPr>
                <w:b/>
                <w:sz w:val="23"/>
                <w:szCs w:val="23"/>
              </w:rPr>
              <w:t>Signature</w:t>
            </w:r>
            <w:proofErr w:type="spellEnd"/>
            <w:r w:rsidRPr="00AD70DE">
              <w:rPr>
                <w:b/>
                <w:sz w:val="23"/>
                <w:szCs w:val="23"/>
              </w:rPr>
              <w:t xml:space="preserve">: </w:t>
            </w:r>
          </w:p>
        </w:tc>
        <w:tc>
          <w:tcPr>
            <w:tcW w:w="2123" w:type="pct"/>
            <w:tcBorders>
              <w:top w:val="nil"/>
              <w:left w:val="nil"/>
              <w:bottom w:val="nil"/>
              <w:right w:val="single" w:sz="4" w:space="0" w:color="auto"/>
            </w:tcBorders>
            <w:vAlign w:val="bottom"/>
            <w:hideMark/>
          </w:tcPr>
          <w:p w:rsidR="009C32E7" w:rsidRPr="00AD70DE" w:rsidRDefault="009C32E7" w:rsidP="00AD70DE">
            <w:pPr>
              <w:autoSpaceDE w:val="0"/>
              <w:autoSpaceDN w:val="0"/>
              <w:adjustRightInd w:val="0"/>
              <w:spacing w:line="256" w:lineRule="auto"/>
              <w:rPr>
                <w:sz w:val="23"/>
              </w:rPr>
            </w:pPr>
            <w:r w:rsidRPr="00AD70DE">
              <w:rPr>
                <w:b/>
                <w:sz w:val="23"/>
              </w:rPr>
              <w:t xml:space="preserve">Date: </w:t>
            </w:r>
            <w:r w:rsidR="000B6E0A">
              <w:rPr>
                <w:b/>
                <w:sz w:val="23"/>
              </w:rPr>
              <w:t>24.04.2020</w:t>
            </w:r>
          </w:p>
        </w:tc>
      </w:tr>
      <w:tr w:rsidR="009C32E7" w:rsidRPr="00AD70DE" w:rsidTr="008355A9">
        <w:trPr>
          <w:trHeight w:val="133"/>
        </w:trPr>
        <w:tc>
          <w:tcPr>
            <w:tcW w:w="5000" w:type="pct"/>
            <w:gridSpan w:val="2"/>
            <w:tcBorders>
              <w:top w:val="nil"/>
              <w:left w:val="single" w:sz="4" w:space="0" w:color="auto"/>
              <w:bottom w:val="single" w:sz="4" w:space="0" w:color="auto"/>
              <w:right w:val="single" w:sz="4" w:space="0" w:color="auto"/>
            </w:tcBorders>
            <w:vAlign w:val="bottom"/>
          </w:tcPr>
          <w:p w:rsidR="009C32E7" w:rsidRPr="00AD70DE" w:rsidRDefault="009C32E7" w:rsidP="00AD70DE">
            <w:pPr>
              <w:tabs>
                <w:tab w:val="left" w:pos="5460"/>
              </w:tabs>
              <w:autoSpaceDE w:val="0"/>
              <w:autoSpaceDN w:val="0"/>
              <w:adjustRightInd w:val="0"/>
              <w:spacing w:line="256" w:lineRule="auto"/>
              <w:rPr>
                <w:sz w:val="20"/>
              </w:rPr>
            </w:pPr>
          </w:p>
        </w:tc>
      </w:tr>
    </w:tbl>
    <w:p w:rsidR="009C32E7" w:rsidRPr="00AD70DE" w:rsidRDefault="009C32E7" w:rsidP="00AD70DE">
      <w:pPr>
        <w:spacing w:after="0" w:line="240" w:lineRule="auto"/>
        <w:rPr>
          <w:sz w:val="32"/>
        </w:rPr>
      </w:pPr>
    </w:p>
    <w:tbl>
      <w:tblPr>
        <w:tblpPr w:leftFromText="141" w:rightFromText="141" w:vertAnchor="text" w:horzAnchor="margin" w:tblpY="189"/>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345"/>
        <w:gridCol w:w="3944"/>
      </w:tblGrid>
      <w:tr w:rsidR="009C32E7" w:rsidRPr="00AD70DE" w:rsidTr="008355A9">
        <w:trPr>
          <w:trHeight w:val="731"/>
        </w:trPr>
        <w:tc>
          <w:tcPr>
            <w:tcW w:w="5000" w:type="pct"/>
            <w:gridSpan w:val="2"/>
            <w:tcBorders>
              <w:top w:val="single" w:sz="4" w:space="0" w:color="auto"/>
              <w:left w:val="single" w:sz="4" w:space="0" w:color="auto"/>
              <w:bottom w:val="nil"/>
              <w:right w:val="single" w:sz="4" w:space="0" w:color="auto"/>
            </w:tcBorders>
            <w:hideMark/>
          </w:tcPr>
          <w:p w:rsidR="009C32E7" w:rsidRPr="00AD70DE" w:rsidRDefault="009C32E7" w:rsidP="00AD70DE">
            <w:pPr>
              <w:autoSpaceDE w:val="0"/>
              <w:autoSpaceDN w:val="0"/>
              <w:adjustRightInd w:val="0"/>
              <w:spacing w:line="256" w:lineRule="auto"/>
              <w:rPr>
                <w:sz w:val="23"/>
                <w:lang w:val="en-GB"/>
              </w:rPr>
            </w:pPr>
            <w:r w:rsidRPr="00AD70DE">
              <w:rPr>
                <w:b/>
                <w:sz w:val="32"/>
                <w:lang w:val="en-GB"/>
              </w:rPr>
              <w:t>Deputy’s Signature</w:t>
            </w:r>
          </w:p>
        </w:tc>
      </w:tr>
      <w:tr w:rsidR="009C32E7" w:rsidRPr="00AD70DE" w:rsidTr="008355A9">
        <w:trPr>
          <w:trHeight w:val="159"/>
        </w:trPr>
        <w:tc>
          <w:tcPr>
            <w:tcW w:w="5000" w:type="pct"/>
            <w:gridSpan w:val="2"/>
            <w:tcBorders>
              <w:top w:val="nil"/>
              <w:left w:val="single" w:sz="4" w:space="0" w:color="auto"/>
              <w:bottom w:val="nil"/>
              <w:right w:val="single" w:sz="4" w:space="0" w:color="auto"/>
            </w:tcBorders>
            <w:vAlign w:val="bottom"/>
            <w:hideMark/>
          </w:tcPr>
          <w:p w:rsidR="009C32E7" w:rsidRPr="00AD70DE" w:rsidRDefault="000B6E0A" w:rsidP="00AD70DE">
            <w:pPr>
              <w:spacing w:line="256" w:lineRule="auto"/>
              <w:rPr>
                <w:sz w:val="23"/>
                <w:lang w:val="sv-SE"/>
              </w:rPr>
            </w:pPr>
            <w:r>
              <w:rPr>
                <w:rFonts w:ascii="MetaNormal-Roman" w:hAnsi="MetaNormal-Roman" w:cs="MetaNormal-Roman"/>
                <w:noProof/>
                <w:lang w:val="en-US"/>
              </w:rPr>
              <w:drawing>
                <wp:anchor distT="0" distB="0" distL="114300" distR="114300" simplePos="0" relativeHeight="251658240" behindDoc="1" locked="0" layoutInCell="1" allowOverlap="1" wp14:anchorId="7FE8E860" wp14:editId="2527B951">
                  <wp:simplePos x="0" y="0"/>
                  <wp:positionH relativeFrom="column">
                    <wp:posOffset>1054735</wp:posOffset>
                  </wp:positionH>
                  <wp:positionV relativeFrom="paragraph">
                    <wp:posOffset>236220</wp:posOffset>
                  </wp:positionV>
                  <wp:extent cx="1054735" cy="737870"/>
                  <wp:effectExtent l="0" t="0" r="0"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73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32E7" w:rsidRPr="00AD70DE">
              <w:rPr>
                <w:b/>
                <w:sz w:val="23"/>
                <w:lang w:val="sv-SE"/>
              </w:rPr>
              <w:t>Investigator (”Prüfer</w:t>
            </w:r>
            <w:r w:rsidR="009C32E7" w:rsidRPr="00AD70DE">
              <w:rPr>
                <w:rFonts w:eastAsia="Batang" w:cs="Calibri"/>
                <w:b/>
                <w:bCs/>
                <w:sz w:val="23"/>
                <w:szCs w:val="23"/>
                <w:lang w:val="sv-SE" w:eastAsia="ko-KR"/>
              </w:rPr>
              <w:t>-</w:t>
            </w:r>
            <w:r w:rsidR="009C32E7" w:rsidRPr="00AD70DE">
              <w:rPr>
                <w:b/>
                <w:sz w:val="23"/>
                <w:lang w:val="sv-SE"/>
              </w:rPr>
              <w:t>Stellvertreter”): Dr. med. Dipl. Vw. Felicitas Stoll</w:t>
            </w:r>
          </w:p>
        </w:tc>
      </w:tr>
      <w:tr w:rsidR="009C32E7" w:rsidRPr="00AD70DE" w:rsidTr="008355A9">
        <w:trPr>
          <w:trHeight w:val="208"/>
        </w:trPr>
        <w:tc>
          <w:tcPr>
            <w:tcW w:w="2877" w:type="pct"/>
            <w:tcBorders>
              <w:top w:val="nil"/>
              <w:left w:val="single" w:sz="4" w:space="0" w:color="auto"/>
              <w:bottom w:val="nil"/>
              <w:right w:val="nil"/>
            </w:tcBorders>
            <w:vAlign w:val="bottom"/>
            <w:hideMark/>
          </w:tcPr>
          <w:p w:rsidR="009C32E7" w:rsidRPr="00AD70DE" w:rsidRDefault="009C32E7" w:rsidP="00AD70DE">
            <w:pPr>
              <w:autoSpaceDE w:val="0"/>
              <w:autoSpaceDN w:val="0"/>
              <w:adjustRightInd w:val="0"/>
              <w:spacing w:line="256" w:lineRule="auto"/>
              <w:rPr>
                <w:sz w:val="23"/>
                <w:szCs w:val="23"/>
              </w:rPr>
            </w:pPr>
            <w:proofErr w:type="spellStart"/>
            <w:r w:rsidRPr="00AD70DE">
              <w:rPr>
                <w:b/>
                <w:sz w:val="23"/>
                <w:szCs w:val="23"/>
              </w:rPr>
              <w:t>Signature</w:t>
            </w:r>
            <w:proofErr w:type="spellEnd"/>
            <w:r w:rsidRPr="00AD70DE">
              <w:rPr>
                <w:b/>
                <w:sz w:val="23"/>
                <w:szCs w:val="23"/>
              </w:rPr>
              <w:t xml:space="preserve">: </w:t>
            </w:r>
          </w:p>
        </w:tc>
        <w:tc>
          <w:tcPr>
            <w:tcW w:w="2123" w:type="pct"/>
            <w:tcBorders>
              <w:top w:val="nil"/>
              <w:left w:val="nil"/>
              <w:bottom w:val="nil"/>
              <w:right w:val="single" w:sz="4" w:space="0" w:color="auto"/>
            </w:tcBorders>
            <w:vAlign w:val="bottom"/>
            <w:hideMark/>
          </w:tcPr>
          <w:p w:rsidR="009C32E7" w:rsidRPr="00AD70DE" w:rsidRDefault="009C32E7" w:rsidP="00AD70DE">
            <w:pPr>
              <w:autoSpaceDE w:val="0"/>
              <w:autoSpaceDN w:val="0"/>
              <w:adjustRightInd w:val="0"/>
              <w:spacing w:line="256" w:lineRule="auto"/>
              <w:rPr>
                <w:sz w:val="23"/>
              </w:rPr>
            </w:pPr>
            <w:r w:rsidRPr="00AD70DE">
              <w:rPr>
                <w:b/>
                <w:sz w:val="23"/>
              </w:rPr>
              <w:t xml:space="preserve">Date: </w:t>
            </w:r>
            <w:r w:rsidR="000B6E0A">
              <w:rPr>
                <w:b/>
                <w:sz w:val="23"/>
              </w:rPr>
              <w:t>24.04.2020</w:t>
            </w:r>
          </w:p>
        </w:tc>
      </w:tr>
      <w:tr w:rsidR="009C32E7" w:rsidRPr="00AD70DE" w:rsidTr="008355A9">
        <w:trPr>
          <w:trHeight w:val="133"/>
        </w:trPr>
        <w:tc>
          <w:tcPr>
            <w:tcW w:w="5000" w:type="pct"/>
            <w:gridSpan w:val="2"/>
            <w:tcBorders>
              <w:top w:val="nil"/>
              <w:left w:val="single" w:sz="4" w:space="0" w:color="auto"/>
              <w:bottom w:val="single" w:sz="4" w:space="0" w:color="auto"/>
              <w:right w:val="single" w:sz="4" w:space="0" w:color="auto"/>
            </w:tcBorders>
            <w:vAlign w:val="bottom"/>
          </w:tcPr>
          <w:p w:rsidR="009C32E7" w:rsidRPr="00AD70DE" w:rsidRDefault="009C32E7" w:rsidP="00AD70DE">
            <w:pPr>
              <w:tabs>
                <w:tab w:val="left" w:pos="5460"/>
              </w:tabs>
              <w:autoSpaceDE w:val="0"/>
              <w:autoSpaceDN w:val="0"/>
              <w:adjustRightInd w:val="0"/>
              <w:spacing w:line="256" w:lineRule="auto"/>
              <w:rPr>
                <w:sz w:val="20"/>
              </w:rPr>
            </w:pPr>
          </w:p>
        </w:tc>
      </w:tr>
    </w:tbl>
    <w:p w:rsidR="009C32E7" w:rsidRPr="00AD70DE" w:rsidRDefault="009C32E7" w:rsidP="00AD70DE">
      <w:pPr>
        <w:spacing w:after="0" w:line="240" w:lineRule="auto"/>
        <w:rPr>
          <w:sz w:val="32"/>
        </w:rPr>
      </w:pPr>
    </w:p>
    <w:p w:rsidR="009C32E7" w:rsidRPr="00AD70DE" w:rsidRDefault="009C32E7" w:rsidP="00AD70DE">
      <w:pPr>
        <w:spacing w:after="0" w:line="240" w:lineRule="auto"/>
        <w:rPr>
          <w:sz w:val="32"/>
        </w:rPr>
      </w:pPr>
    </w:p>
    <w:p w:rsidR="009C32E7" w:rsidRPr="00AD70DE" w:rsidRDefault="009C32E7" w:rsidP="00AD70DE">
      <w:pPr>
        <w:spacing w:after="0" w:line="240" w:lineRule="auto"/>
        <w:rPr>
          <w:sz w:val="32"/>
        </w:rPr>
      </w:pPr>
    </w:p>
    <w:p w:rsidR="009C32E7" w:rsidRPr="00AD70DE" w:rsidRDefault="009C32E7" w:rsidP="00AD70DE">
      <w:pPr>
        <w:spacing w:after="0" w:line="240" w:lineRule="auto"/>
        <w:rPr>
          <w:sz w:val="32"/>
        </w:rPr>
      </w:pPr>
    </w:p>
    <w:p w:rsidR="009C32E7" w:rsidRPr="00AD70DE" w:rsidRDefault="009C32E7" w:rsidP="00AD70DE">
      <w:pPr>
        <w:pStyle w:val="Verzeichnis1"/>
        <w:tabs>
          <w:tab w:val="left" w:pos="440"/>
          <w:tab w:val="right" w:leader="dot" w:pos="9063"/>
        </w:tabs>
        <w:rPr>
          <w:rFonts w:asciiTheme="minorHAnsi" w:eastAsiaTheme="minorEastAsia" w:hAnsiTheme="minorHAnsi" w:cstheme="minorBidi"/>
          <w:noProof/>
          <w:lang w:eastAsia="de-DE"/>
        </w:rPr>
      </w:pPr>
      <w:r w:rsidRPr="00AD70DE">
        <w:rPr>
          <w:sz w:val="32"/>
        </w:rPr>
        <w:lastRenderedPageBreak/>
        <w:fldChar w:fldCharType="begin"/>
      </w:r>
      <w:r w:rsidRPr="00AD70DE">
        <w:rPr>
          <w:sz w:val="32"/>
        </w:rPr>
        <w:instrText xml:space="preserve"> TOC \o "1-3" \h \z \u </w:instrText>
      </w:r>
      <w:r w:rsidRPr="00AD70DE">
        <w:rPr>
          <w:sz w:val="32"/>
        </w:rPr>
        <w:fldChar w:fldCharType="separate"/>
      </w:r>
      <w:hyperlink w:anchor="_Toc37243402" w:history="1">
        <w:r w:rsidRPr="00AD70DE">
          <w:rPr>
            <w:rStyle w:val="Hyperlink"/>
            <w:noProof/>
          </w:rPr>
          <w:t>1.</w:t>
        </w:r>
        <w:r w:rsidRPr="00AD70DE">
          <w:rPr>
            <w:rFonts w:asciiTheme="minorHAnsi" w:eastAsiaTheme="minorEastAsia" w:hAnsiTheme="minorHAnsi" w:cstheme="minorBidi"/>
            <w:noProof/>
            <w:lang w:eastAsia="de-DE"/>
          </w:rPr>
          <w:tab/>
        </w:r>
        <w:r w:rsidRPr="00AD70DE">
          <w:rPr>
            <w:rStyle w:val="Hyperlink"/>
            <w:noProof/>
          </w:rPr>
          <w:t>Abbreviations</w:t>
        </w:r>
        <w:r w:rsidRPr="00AD70DE">
          <w:rPr>
            <w:noProof/>
            <w:webHidden/>
          </w:rPr>
          <w:tab/>
        </w:r>
        <w:r w:rsidRPr="00AD70DE">
          <w:rPr>
            <w:noProof/>
            <w:webHidden/>
          </w:rPr>
          <w:fldChar w:fldCharType="begin"/>
        </w:r>
        <w:r w:rsidRPr="00AD70DE">
          <w:rPr>
            <w:noProof/>
            <w:webHidden/>
          </w:rPr>
          <w:instrText xml:space="preserve"> PAGEREF _Toc37243402 \h </w:instrText>
        </w:r>
        <w:r w:rsidRPr="00AD70DE">
          <w:rPr>
            <w:noProof/>
            <w:webHidden/>
          </w:rPr>
        </w:r>
        <w:r w:rsidRPr="00AD70DE">
          <w:rPr>
            <w:noProof/>
            <w:webHidden/>
          </w:rPr>
          <w:fldChar w:fldCharType="separate"/>
        </w:r>
        <w:r w:rsidR="000B6E0A">
          <w:rPr>
            <w:noProof/>
            <w:webHidden/>
          </w:rPr>
          <w:t>9</w:t>
        </w:r>
        <w:r w:rsidRPr="00AD70DE">
          <w:rPr>
            <w:noProof/>
            <w:webHidden/>
          </w:rPr>
          <w:fldChar w:fldCharType="end"/>
        </w:r>
      </w:hyperlink>
    </w:p>
    <w:p w:rsidR="009C32E7" w:rsidRPr="00AD70DE" w:rsidRDefault="007645B8" w:rsidP="00AD70DE">
      <w:pPr>
        <w:pStyle w:val="Verzeichnis1"/>
        <w:tabs>
          <w:tab w:val="left" w:pos="440"/>
          <w:tab w:val="right" w:leader="dot" w:pos="9063"/>
        </w:tabs>
        <w:rPr>
          <w:rFonts w:asciiTheme="minorHAnsi" w:eastAsiaTheme="minorEastAsia" w:hAnsiTheme="minorHAnsi" w:cstheme="minorBidi"/>
          <w:noProof/>
          <w:lang w:eastAsia="de-DE"/>
        </w:rPr>
      </w:pPr>
      <w:hyperlink w:anchor="_Toc37243403" w:history="1">
        <w:r w:rsidR="009C32E7" w:rsidRPr="00AD70DE">
          <w:rPr>
            <w:rStyle w:val="Hyperlink"/>
            <w:noProof/>
          </w:rPr>
          <w:t>2.</w:t>
        </w:r>
        <w:r w:rsidR="009C32E7" w:rsidRPr="00AD70DE">
          <w:rPr>
            <w:rFonts w:asciiTheme="minorHAnsi" w:eastAsiaTheme="minorEastAsia" w:hAnsiTheme="minorHAnsi" w:cstheme="minorBidi"/>
            <w:noProof/>
            <w:lang w:eastAsia="de-DE"/>
          </w:rPr>
          <w:tab/>
        </w:r>
        <w:r w:rsidR="009C32E7" w:rsidRPr="00AD70DE">
          <w:rPr>
            <w:rStyle w:val="Hyperlink"/>
            <w:noProof/>
          </w:rPr>
          <w:t>Synopsis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_Toc37243403 \h </w:instrText>
        </w:r>
        <w:r w:rsidR="009C32E7" w:rsidRPr="00AD70DE">
          <w:rPr>
            <w:noProof/>
            <w:webHidden/>
          </w:rPr>
        </w:r>
        <w:r w:rsidR="009C32E7" w:rsidRPr="00AD70DE">
          <w:rPr>
            <w:noProof/>
            <w:webHidden/>
          </w:rPr>
          <w:fldChar w:fldCharType="separate"/>
        </w:r>
        <w:r w:rsidR="000B6E0A">
          <w:rPr>
            <w:noProof/>
            <w:webHidden/>
          </w:rPr>
          <w:t>11</w:t>
        </w:r>
        <w:r w:rsidR="009C32E7" w:rsidRPr="00AD70DE">
          <w:rPr>
            <w:noProof/>
            <w:webHidden/>
          </w:rPr>
          <w:fldChar w:fldCharType="end"/>
        </w:r>
      </w:hyperlink>
    </w:p>
    <w:p w:rsidR="009C32E7" w:rsidRPr="00AD70DE" w:rsidRDefault="007645B8" w:rsidP="00AD70DE">
      <w:pPr>
        <w:pStyle w:val="Verzeichnis1"/>
        <w:tabs>
          <w:tab w:val="left" w:pos="440"/>
          <w:tab w:val="right" w:leader="dot" w:pos="9063"/>
        </w:tabs>
        <w:rPr>
          <w:rFonts w:asciiTheme="minorHAnsi" w:eastAsiaTheme="minorEastAsia" w:hAnsiTheme="minorHAnsi" w:cstheme="minorBidi"/>
          <w:noProof/>
          <w:lang w:eastAsia="de-DE"/>
        </w:rPr>
      </w:pPr>
      <w:hyperlink w:anchor="_Toc37243404" w:history="1">
        <w:r w:rsidR="009C32E7" w:rsidRPr="00AD70DE">
          <w:rPr>
            <w:rStyle w:val="Hyperlink"/>
            <w:noProof/>
          </w:rPr>
          <w:t>3.</w:t>
        </w:r>
        <w:r w:rsidR="009C32E7" w:rsidRPr="00AD70DE">
          <w:rPr>
            <w:rFonts w:asciiTheme="minorHAnsi" w:eastAsiaTheme="minorEastAsia" w:hAnsiTheme="minorHAnsi" w:cstheme="minorBidi"/>
            <w:noProof/>
            <w:lang w:eastAsia="de-DE"/>
          </w:rPr>
          <w:tab/>
        </w:r>
        <w:r w:rsidR="009C32E7" w:rsidRPr="00AD70DE">
          <w:rPr>
            <w:rStyle w:val="Hyperlink"/>
            <w:noProof/>
          </w:rPr>
          <w:t>Introduction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_Toc37243404 \h </w:instrText>
        </w:r>
        <w:r w:rsidR="009C32E7" w:rsidRPr="00AD70DE">
          <w:rPr>
            <w:noProof/>
            <w:webHidden/>
          </w:rPr>
        </w:r>
        <w:r w:rsidR="009C32E7" w:rsidRPr="00AD70DE">
          <w:rPr>
            <w:noProof/>
            <w:webHidden/>
          </w:rPr>
          <w:fldChar w:fldCharType="separate"/>
        </w:r>
        <w:r w:rsidR="000B6E0A">
          <w:rPr>
            <w:noProof/>
            <w:webHidden/>
          </w:rPr>
          <w:t>19</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05"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3.1.</w:t>
        </w:r>
        <w:r w:rsidR="009C32E7" w:rsidRPr="00AD70DE">
          <w:rPr>
            <w:rFonts w:asciiTheme="minorHAnsi" w:eastAsiaTheme="minorEastAsia" w:hAnsiTheme="minorHAnsi" w:cstheme="minorBidi"/>
            <w:noProof/>
            <w:lang w:eastAsia="de-DE"/>
          </w:rPr>
          <w:tab/>
        </w:r>
        <w:r w:rsidR="009C32E7" w:rsidRPr="00AD70DE">
          <w:rPr>
            <w:rStyle w:val="Hyperlink"/>
            <w:noProof/>
          </w:rPr>
          <w:t>Background</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_Toc37243405 \h </w:instrText>
        </w:r>
        <w:r w:rsidR="009C32E7" w:rsidRPr="00AD70DE">
          <w:rPr>
            <w:noProof/>
            <w:webHidden/>
          </w:rPr>
        </w:r>
        <w:r w:rsidR="009C32E7" w:rsidRPr="00AD70DE">
          <w:rPr>
            <w:noProof/>
            <w:webHidden/>
          </w:rPr>
          <w:fldChar w:fldCharType="separate"/>
        </w:r>
        <w:r w:rsidR="000B6E0A">
          <w:rPr>
            <w:noProof/>
            <w:webHidden/>
          </w:rPr>
          <w:t>19</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06"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3.2.</w:t>
        </w:r>
        <w:r w:rsidR="009C32E7" w:rsidRPr="00AD70DE">
          <w:rPr>
            <w:rFonts w:asciiTheme="minorHAnsi" w:eastAsiaTheme="minorEastAsia" w:hAnsiTheme="minorHAnsi" w:cstheme="minorBidi"/>
            <w:noProof/>
            <w:lang w:eastAsia="de-DE"/>
          </w:rPr>
          <w:tab/>
        </w:r>
        <w:r w:rsidR="009C32E7" w:rsidRPr="00AD70DE">
          <w:rPr>
            <w:rStyle w:val="Hyperlink"/>
            <w:noProof/>
          </w:rPr>
          <w:t>Trial rationale</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_Toc37243406 \h </w:instrText>
        </w:r>
        <w:r w:rsidR="009C32E7" w:rsidRPr="00AD70DE">
          <w:rPr>
            <w:noProof/>
            <w:webHidden/>
          </w:rPr>
        </w:r>
        <w:r w:rsidR="009C32E7" w:rsidRPr="00AD70DE">
          <w:rPr>
            <w:noProof/>
            <w:webHidden/>
          </w:rPr>
          <w:fldChar w:fldCharType="separate"/>
        </w:r>
        <w:r w:rsidR="000B6E0A">
          <w:rPr>
            <w:noProof/>
            <w:webHidden/>
          </w:rPr>
          <w:t>19</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07"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3.3.</w:t>
        </w:r>
        <w:r w:rsidR="009C32E7" w:rsidRPr="00AD70DE">
          <w:rPr>
            <w:rFonts w:asciiTheme="minorHAnsi" w:eastAsiaTheme="minorEastAsia" w:hAnsiTheme="minorHAnsi" w:cstheme="minorBidi"/>
            <w:noProof/>
            <w:lang w:eastAsia="de-DE"/>
          </w:rPr>
          <w:tab/>
        </w:r>
        <w:r w:rsidR="009C32E7" w:rsidRPr="00AD70DE">
          <w:rPr>
            <w:rStyle w:val="Hyperlink"/>
            <w:noProof/>
          </w:rPr>
          <w:t>Risk-to-benefit ratio</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_Toc37243407 \h </w:instrText>
        </w:r>
        <w:r w:rsidR="009C32E7" w:rsidRPr="00AD70DE">
          <w:rPr>
            <w:noProof/>
            <w:webHidden/>
          </w:rPr>
        </w:r>
        <w:r w:rsidR="009C32E7" w:rsidRPr="00AD70DE">
          <w:rPr>
            <w:noProof/>
            <w:webHidden/>
          </w:rPr>
          <w:fldChar w:fldCharType="separate"/>
        </w:r>
        <w:r w:rsidR="000B6E0A">
          <w:rPr>
            <w:noProof/>
            <w:webHidden/>
          </w:rPr>
          <w:t>20</w:t>
        </w:r>
        <w:r w:rsidR="009C32E7" w:rsidRPr="00AD70DE">
          <w:rPr>
            <w:noProof/>
            <w:webHidden/>
          </w:rPr>
          <w:fldChar w:fldCharType="end"/>
        </w:r>
      </w:hyperlink>
    </w:p>
    <w:p w:rsidR="009C32E7" w:rsidRPr="00AD70DE" w:rsidRDefault="007645B8" w:rsidP="00AD70DE">
      <w:pPr>
        <w:pStyle w:val="Verzeichnis1"/>
        <w:tabs>
          <w:tab w:val="left" w:pos="440"/>
          <w:tab w:val="right" w:leader="dot" w:pos="9063"/>
        </w:tabs>
        <w:rPr>
          <w:rFonts w:asciiTheme="minorHAnsi" w:eastAsiaTheme="minorEastAsia" w:hAnsiTheme="minorHAnsi" w:cstheme="minorBidi"/>
          <w:noProof/>
          <w:lang w:eastAsia="de-DE"/>
        </w:rPr>
      </w:pPr>
      <w:hyperlink w:anchor="_Toc37243408" w:history="1">
        <w:r w:rsidR="009C32E7" w:rsidRPr="00AD70DE">
          <w:rPr>
            <w:rStyle w:val="Hyperlink"/>
            <w:noProof/>
          </w:rPr>
          <w:t>4.</w:t>
        </w:r>
        <w:r w:rsidR="009C32E7" w:rsidRPr="00AD70DE">
          <w:rPr>
            <w:rFonts w:asciiTheme="minorHAnsi" w:eastAsiaTheme="minorEastAsia" w:hAnsiTheme="minorHAnsi" w:cstheme="minorBidi"/>
            <w:noProof/>
            <w:lang w:eastAsia="de-DE"/>
          </w:rPr>
          <w:tab/>
        </w:r>
        <w:r w:rsidR="009C32E7" w:rsidRPr="00AD70DE">
          <w:rPr>
            <w:rStyle w:val="Hyperlink"/>
            <w:noProof/>
          </w:rPr>
          <w:t>Trial objectives and endpoints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_Toc37243408 \h </w:instrText>
        </w:r>
        <w:r w:rsidR="009C32E7" w:rsidRPr="00AD70DE">
          <w:rPr>
            <w:noProof/>
            <w:webHidden/>
          </w:rPr>
        </w:r>
        <w:r w:rsidR="009C32E7" w:rsidRPr="00AD70DE">
          <w:rPr>
            <w:noProof/>
            <w:webHidden/>
          </w:rPr>
          <w:fldChar w:fldCharType="separate"/>
        </w:r>
        <w:r w:rsidR="000B6E0A">
          <w:rPr>
            <w:noProof/>
            <w:webHidden/>
          </w:rPr>
          <w:t>21</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09"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4.1.</w:t>
        </w:r>
        <w:r w:rsidR="009C32E7" w:rsidRPr="00AD70DE">
          <w:rPr>
            <w:rFonts w:asciiTheme="minorHAnsi" w:eastAsiaTheme="minorEastAsia" w:hAnsiTheme="minorHAnsi" w:cstheme="minorBidi"/>
            <w:noProof/>
            <w:lang w:eastAsia="de-DE"/>
          </w:rPr>
          <w:tab/>
        </w:r>
        <w:r w:rsidR="009C32E7" w:rsidRPr="00AD70DE">
          <w:rPr>
            <w:rStyle w:val="Hyperlink"/>
            <w:noProof/>
          </w:rPr>
          <w:t>Objectives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_Toc37243409 \h </w:instrText>
        </w:r>
        <w:r w:rsidR="009C32E7" w:rsidRPr="00AD70DE">
          <w:rPr>
            <w:noProof/>
            <w:webHidden/>
          </w:rPr>
        </w:r>
        <w:r w:rsidR="009C32E7" w:rsidRPr="00AD70DE">
          <w:rPr>
            <w:noProof/>
            <w:webHidden/>
          </w:rPr>
          <w:fldChar w:fldCharType="separate"/>
        </w:r>
        <w:r w:rsidR="000B6E0A">
          <w:rPr>
            <w:noProof/>
            <w:webHidden/>
          </w:rPr>
          <w:t>21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10" w:history="1">
        <w:r w:rsidR="009C32E7" w:rsidRPr="00AD70DE">
          <w:rPr>
            <w:rStyle w:val="Hyperlink"/>
            <w:noProof/>
          </w:rPr>
          <w:t>4.1.1.</w:t>
        </w:r>
        <w:r w:rsidR="009C32E7" w:rsidRPr="00AD70DE">
          <w:rPr>
            <w:rFonts w:asciiTheme="minorHAnsi" w:eastAsiaTheme="minorEastAsia" w:hAnsiTheme="minorHAnsi" w:cstheme="minorBidi"/>
            <w:noProof/>
            <w:lang w:eastAsia="de-DE"/>
          </w:rPr>
          <w:tab/>
        </w:r>
        <w:r w:rsidR="009C32E7" w:rsidRPr="00AD70DE">
          <w:rPr>
            <w:rStyle w:val="Hyperlink"/>
            <w:noProof/>
          </w:rPr>
          <w:t>Primary objective</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_Toc37243410 \h </w:instrText>
        </w:r>
        <w:r w:rsidR="009C32E7" w:rsidRPr="00AD70DE">
          <w:rPr>
            <w:noProof/>
            <w:webHidden/>
          </w:rPr>
        </w:r>
        <w:r w:rsidR="009C32E7" w:rsidRPr="00AD70DE">
          <w:rPr>
            <w:noProof/>
            <w:webHidden/>
          </w:rPr>
          <w:fldChar w:fldCharType="separate"/>
        </w:r>
        <w:r w:rsidR="000B6E0A">
          <w:rPr>
            <w:noProof/>
            <w:webHidden/>
          </w:rPr>
          <w:t>21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11" w:history="1">
        <w:r w:rsidR="009C32E7" w:rsidRPr="00AD70DE">
          <w:rPr>
            <w:rStyle w:val="Hyperlink"/>
            <w:noProof/>
          </w:rPr>
          <w:t>4.1.2.</w:t>
        </w:r>
        <w:r w:rsidR="009C32E7" w:rsidRPr="00AD70DE">
          <w:rPr>
            <w:rFonts w:asciiTheme="minorHAnsi" w:eastAsiaTheme="minorEastAsia" w:hAnsiTheme="minorHAnsi" w:cstheme="minorBidi"/>
            <w:noProof/>
            <w:lang w:eastAsia="de-DE"/>
          </w:rPr>
          <w:tab/>
        </w:r>
        <w:r w:rsidR="009C32E7" w:rsidRPr="00AD70DE">
          <w:rPr>
            <w:rStyle w:val="Hyperlink"/>
            <w:noProof/>
          </w:rPr>
          <w:t>Secondary objectives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_Toc37243411 \h </w:instrText>
        </w:r>
        <w:r w:rsidR="009C32E7" w:rsidRPr="00AD70DE">
          <w:rPr>
            <w:noProof/>
            <w:webHidden/>
          </w:rPr>
        </w:r>
        <w:r w:rsidR="009C32E7" w:rsidRPr="00AD70DE">
          <w:rPr>
            <w:noProof/>
            <w:webHidden/>
          </w:rPr>
          <w:fldChar w:fldCharType="separate"/>
        </w:r>
        <w:r w:rsidR="000B6E0A">
          <w:rPr>
            <w:noProof/>
            <w:webHidden/>
          </w:rPr>
          <w:t>21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12" w:history="1">
        <w:r w:rsidR="009C32E7" w:rsidRPr="00AD70DE">
          <w:rPr>
            <w:rStyle w:val="Hyperlink"/>
            <w:noProof/>
          </w:rPr>
          <w:t>4.1.3.</w:t>
        </w:r>
        <w:r w:rsidR="009C32E7" w:rsidRPr="00AD70DE">
          <w:rPr>
            <w:rFonts w:asciiTheme="minorHAnsi" w:eastAsiaTheme="minorEastAsia" w:hAnsiTheme="minorHAnsi" w:cstheme="minorBidi"/>
            <w:noProof/>
            <w:lang w:eastAsia="de-DE"/>
          </w:rPr>
          <w:tab/>
        </w:r>
        <w:r w:rsidR="009C32E7" w:rsidRPr="00AD70DE">
          <w:rPr>
            <w:rStyle w:val="Hyperlink"/>
            <w:noProof/>
          </w:rPr>
          <w:t>Exploratory objectives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_Toc37243412 \h </w:instrText>
        </w:r>
        <w:r w:rsidR="009C32E7" w:rsidRPr="00AD70DE">
          <w:rPr>
            <w:noProof/>
            <w:webHidden/>
          </w:rPr>
        </w:r>
        <w:r w:rsidR="009C32E7" w:rsidRPr="00AD70DE">
          <w:rPr>
            <w:noProof/>
            <w:webHidden/>
          </w:rPr>
          <w:fldChar w:fldCharType="separate"/>
        </w:r>
        <w:r w:rsidR="000B6E0A">
          <w:rPr>
            <w:noProof/>
            <w:webHidden/>
          </w:rPr>
          <w:t>21</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13"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4.2.</w:t>
        </w:r>
        <w:r w:rsidR="009C32E7" w:rsidRPr="00AD70DE">
          <w:rPr>
            <w:rFonts w:asciiTheme="minorHAnsi" w:eastAsiaTheme="minorEastAsia" w:hAnsiTheme="minorHAnsi" w:cstheme="minorBidi"/>
            <w:noProof/>
            <w:lang w:eastAsia="de-DE"/>
          </w:rPr>
          <w:tab/>
        </w:r>
        <w:r w:rsidR="009C32E7" w:rsidRPr="00AD70DE">
          <w:rPr>
            <w:rStyle w:val="Hyperlink"/>
            <w:noProof/>
          </w:rPr>
          <w:t>Endpoints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_Toc37243413 \h </w:instrText>
        </w:r>
        <w:r w:rsidR="009C32E7" w:rsidRPr="00AD70DE">
          <w:rPr>
            <w:noProof/>
            <w:webHidden/>
          </w:rPr>
        </w:r>
        <w:r w:rsidR="009C32E7" w:rsidRPr="00AD70DE">
          <w:rPr>
            <w:noProof/>
            <w:webHidden/>
          </w:rPr>
          <w:fldChar w:fldCharType="separate"/>
        </w:r>
        <w:r w:rsidR="000B6E0A">
          <w:rPr>
            <w:noProof/>
            <w:webHidden/>
          </w:rPr>
          <w:t>21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14" w:history="1">
        <w:r w:rsidR="009C32E7" w:rsidRPr="00AD70DE">
          <w:rPr>
            <w:rStyle w:val="Hyperlink"/>
            <w:noProof/>
          </w:rPr>
          <w:t>4.2.1.</w:t>
        </w:r>
        <w:r w:rsidR="009C32E7" w:rsidRPr="00AD70DE">
          <w:rPr>
            <w:rFonts w:asciiTheme="minorHAnsi" w:eastAsiaTheme="minorEastAsia" w:hAnsiTheme="minorHAnsi" w:cstheme="minorBidi"/>
            <w:noProof/>
            <w:lang w:eastAsia="de-DE"/>
          </w:rPr>
          <w:tab/>
        </w:r>
        <w:r w:rsidR="009C32E7" w:rsidRPr="00AD70DE">
          <w:rPr>
            <w:rStyle w:val="Hyperlink"/>
            <w:noProof/>
          </w:rPr>
          <w:t>Primary endpoint</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_Toc37243414 \h </w:instrText>
        </w:r>
        <w:r w:rsidR="009C32E7" w:rsidRPr="00AD70DE">
          <w:rPr>
            <w:noProof/>
            <w:webHidden/>
          </w:rPr>
        </w:r>
        <w:r w:rsidR="009C32E7" w:rsidRPr="00AD70DE">
          <w:rPr>
            <w:noProof/>
            <w:webHidden/>
          </w:rPr>
          <w:fldChar w:fldCharType="separate"/>
        </w:r>
        <w:r w:rsidR="000B6E0A">
          <w:rPr>
            <w:noProof/>
            <w:webHidden/>
          </w:rPr>
          <w:t>21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15" w:history="1">
        <w:r w:rsidR="009C32E7" w:rsidRPr="00AD70DE">
          <w:rPr>
            <w:rStyle w:val="Hyperlink"/>
            <w:noProof/>
          </w:rPr>
          <w:t>4.2.2.</w:t>
        </w:r>
        <w:r w:rsidR="009C32E7" w:rsidRPr="00AD70DE">
          <w:rPr>
            <w:rFonts w:asciiTheme="minorHAnsi" w:eastAsiaTheme="minorEastAsia" w:hAnsiTheme="minorHAnsi" w:cstheme="minorBidi"/>
            <w:noProof/>
            <w:lang w:eastAsia="de-DE"/>
          </w:rPr>
          <w:tab/>
        </w:r>
        <w:r w:rsidR="009C32E7" w:rsidRPr="00AD70DE">
          <w:rPr>
            <w:rStyle w:val="Hyperlink"/>
            <w:noProof/>
          </w:rPr>
          <w:t>Secondary endpoints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_Toc37243415 \h </w:instrText>
        </w:r>
        <w:r w:rsidR="009C32E7" w:rsidRPr="00AD70DE">
          <w:rPr>
            <w:noProof/>
            <w:webHidden/>
          </w:rPr>
        </w:r>
        <w:r w:rsidR="009C32E7" w:rsidRPr="00AD70DE">
          <w:rPr>
            <w:noProof/>
            <w:webHidden/>
          </w:rPr>
          <w:fldChar w:fldCharType="separate"/>
        </w:r>
        <w:r w:rsidR="000B6E0A">
          <w:rPr>
            <w:noProof/>
            <w:webHidden/>
          </w:rPr>
          <w:t>21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16" w:history="1">
        <w:r w:rsidR="009C32E7" w:rsidRPr="00AD70DE">
          <w:rPr>
            <w:rStyle w:val="Hyperlink"/>
            <w:noProof/>
          </w:rPr>
          <w:t>4.2.3.</w:t>
        </w:r>
        <w:r w:rsidR="009C32E7" w:rsidRPr="00AD70DE">
          <w:rPr>
            <w:rFonts w:asciiTheme="minorHAnsi" w:eastAsiaTheme="minorEastAsia" w:hAnsiTheme="minorHAnsi" w:cstheme="minorBidi"/>
            <w:noProof/>
            <w:lang w:eastAsia="de-DE"/>
          </w:rPr>
          <w:tab/>
        </w:r>
        <w:r w:rsidR="009C32E7" w:rsidRPr="00AD70DE">
          <w:rPr>
            <w:rStyle w:val="Hyperlink"/>
            <w:noProof/>
          </w:rPr>
          <w:t>Exploratory endpoints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_Toc37243416 \h </w:instrText>
        </w:r>
        <w:r w:rsidR="009C32E7" w:rsidRPr="00AD70DE">
          <w:rPr>
            <w:noProof/>
            <w:webHidden/>
          </w:rPr>
        </w:r>
        <w:r w:rsidR="009C32E7" w:rsidRPr="00AD70DE">
          <w:rPr>
            <w:noProof/>
            <w:webHidden/>
          </w:rPr>
          <w:fldChar w:fldCharType="separate"/>
        </w:r>
        <w:r w:rsidR="000B6E0A">
          <w:rPr>
            <w:noProof/>
            <w:webHidden/>
          </w:rPr>
          <w:t>22</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17"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4.3.</w:t>
        </w:r>
        <w:r w:rsidR="009C32E7" w:rsidRPr="00AD70DE">
          <w:rPr>
            <w:rFonts w:asciiTheme="minorHAnsi" w:eastAsiaTheme="minorEastAsia" w:hAnsiTheme="minorHAnsi" w:cstheme="minorBidi"/>
            <w:noProof/>
            <w:lang w:eastAsia="de-DE"/>
          </w:rPr>
          <w:tab/>
        </w:r>
        <w:r w:rsidR="009C32E7" w:rsidRPr="00AD70DE">
          <w:rPr>
            <w:rStyle w:val="Hyperlink"/>
            <w:noProof/>
          </w:rPr>
          <w:t>Outcome measures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_Toc37243417 \h </w:instrText>
        </w:r>
        <w:r w:rsidR="009C32E7" w:rsidRPr="00AD70DE">
          <w:rPr>
            <w:noProof/>
            <w:webHidden/>
          </w:rPr>
        </w:r>
        <w:r w:rsidR="009C32E7" w:rsidRPr="00AD70DE">
          <w:rPr>
            <w:noProof/>
            <w:webHidden/>
          </w:rPr>
          <w:fldChar w:fldCharType="separate"/>
        </w:r>
        <w:r w:rsidR="000B6E0A">
          <w:rPr>
            <w:noProof/>
            <w:webHidden/>
          </w:rPr>
          <w:t>22</w:t>
        </w:r>
        <w:r w:rsidR="009C32E7" w:rsidRPr="00AD70DE">
          <w:rPr>
            <w:noProof/>
            <w:webHidden/>
          </w:rPr>
          <w:fldChar w:fldCharType="end"/>
        </w:r>
      </w:hyperlink>
    </w:p>
    <w:p w:rsidR="009C32E7" w:rsidRPr="00AD70DE" w:rsidRDefault="007645B8" w:rsidP="00AD70DE">
      <w:pPr>
        <w:pStyle w:val="Verzeichnis1"/>
        <w:tabs>
          <w:tab w:val="left" w:pos="440"/>
          <w:tab w:val="right" w:leader="dot" w:pos="9063"/>
        </w:tabs>
        <w:rPr>
          <w:rFonts w:asciiTheme="minorHAnsi" w:eastAsiaTheme="minorEastAsia" w:hAnsiTheme="minorHAnsi" w:cstheme="minorBidi"/>
          <w:noProof/>
          <w:lang w:eastAsia="de-DE"/>
        </w:rPr>
      </w:pPr>
      <w:hyperlink w:anchor="_Toc37243418" w:history="1">
        <w:r w:rsidR="009C32E7" w:rsidRPr="00AD70DE">
          <w:rPr>
            <w:rStyle w:val="Hyperlink"/>
            <w:noProof/>
          </w:rPr>
          <w:t>5.</w:t>
        </w:r>
        <w:r w:rsidR="009C32E7" w:rsidRPr="00AD70DE">
          <w:rPr>
            <w:rFonts w:asciiTheme="minorHAnsi" w:eastAsiaTheme="minorEastAsia" w:hAnsiTheme="minorHAnsi" w:cstheme="minorBidi"/>
            <w:noProof/>
            <w:lang w:eastAsia="de-DE"/>
          </w:rPr>
          <w:tab/>
        </w:r>
        <w:r w:rsidR="009C32E7" w:rsidRPr="00AD70DE">
          <w:rPr>
            <w:rStyle w:val="Hyperlink"/>
            <w:noProof/>
          </w:rPr>
          <w:t>Trial design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_Toc37243418 \h </w:instrText>
        </w:r>
        <w:r w:rsidR="009C32E7" w:rsidRPr="00AD70DE">
          <w:rPr>
            <w:noProof/>
            <w:webHidden/>
          </w:rPr>
        </w:r>
        <w:r w:rsidR="009C32E7" w:rsidRPr="00AD70DE">
          <w:rPr>
            <w:noProof/>
            <w:webHidden/>
          </w:rPr>
          <w:fldChar w:fldCharType="separate"/>
        </w:r>
        <w:r w:rsidR="000B6E0A">
          <w:rPr>
            <w:noProof/>
            <w:webHidden/>
          </w:rPr>
          <w:t>22</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19"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5.1.</w:t>
        </w:r>
        <w:r w:rsidR="009C32E7" w:rsidRPr="00AD70DE">
          <w:rPr>
            <w:rFonts w:asciiTheme="minorHAnsi" w:eastAsiaTheme="minorEastAsia" w:hAnsiTheme="minorHAnsi" w:cstheme="minorBidi"/>
            <w:noProof/>
            <w:lang w:eastAsia="de-DE"/>
          </w:rPr>
          <w:tab/>
        </w:r>
        <w:r w:rsidR="009C32E7" w:rsidRPr="00AD70DE">
          <w:rPr>
            <w:rStyle w:val="Hyperlink"/>
            <w:noProof/>
          </w:rPr>
          <w:t>Clinical phase</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_Toc37243419 \h </w:instrText>
        </w:r>
        <w:r w:rsidR="009C32E7" w:rsidRPr="00AD70DE">
          <w:rPr>
            <w:noProof/>
            <w:webHidden/>
          </w:rPr>
        </w:r>
        <w:r w:rsidR="009C32E7" w:rsidRPr="00AD70DE">
          <w:rPr>
            <w:noProof/>
            <w:webHidden/>
          </w:rPr>
          <w:fldChar w:fldCharType="separate"/>
        </w:r>
        <w:r w:rsidR="000B6E0A">
          <w:rPr>
            <w:noProof/>
            <w:webHidden/>
          </w:rPr>
          <w:t>22</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20"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5.2.</w:t>
        </w:r>
        <w:r w:rsidR="009C32E7" w:rsidRPr="00AD70DE">
          <w:rPr>
            <w:rFonts w:asciiTheme="minorHAnsi" w:eastAsiaTheme="minorEastAsia" w:hAnsiTheme="minorHAnsi" w:cstheme="minorBidi"/>
            <w:noProof/>
            <w:lang w:eastAsia="de-DE"/>
          </w:rPr>
          <w:tab/>
        </w:r>
        <w:r w:rsidR="009C32E7" w:rsidRPr="00AD70DE">
          <w:rPr>
            <w:rStyle w:val="Hyperlink"/>
            <w:noProof/>
          </w:rPr>
          <w:t>Trial design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_Toc37243420 \h </w:instrText>
        </w:r>
        <w:r w:rsidR="009C32E7" w:rsidRPr="00AD70DE">
          <w:rPr>
            <w:noProof/>
            <w:webHidden/>
          </w:rPr>
        </w:r>
        <w:r w:rsidR="009C32E7" w:rsidRPr="00AD70DE">
          <w:rPr>
            <w:noProof/>
            <w:webHidden/>
          </w:rPr>
          <w:fldChar w:fldCharType="separate"/>
        </w:r>
        <w:r w:rsidR="000B6E0A">
          <w:rPr>
            <w:noProof/>
            <w:webHidden/>
          </w:rPr>
          <w:t>22</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21"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5.3.</w:t>
        </w:r>
        <w:r w:rsidR="009C32E7" w:rsidRPr="00AD70DE">
          <w:rPr>
            <w:rFonts w:asciiTheme="minorHAnsi" w:eastAsiaTheme="minorEastAsia" w:hAnsiTheme="minorHAnsi" w:cstheme="minorBidi"/>
            <w:noProof/>
            <w:lang w:eastAsia="de-DE"/>
          </w:rPr>
          <w:tab/>
        </w:r>
        <w:r w:rsidR="009C32E7" w:rsidRPr="00AD70DE">
          <w:rPr>
            <w:rStyle w:val="Hyperlink"/>
            <w:noProof/>
          </w:rPr>
          <w:t>Overview</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_Toc37243421 \h </w:instrText>
        </w:r>
        <w:r w:rsidR="009C32E7" w:rsidRPr="00AD70DE">
          <w:rPr>
            <w:noProof/>
            <w:webHidden/>
          </w:rPr>
        </w:r>
        <w:r w:rsidR="009C32E7" w:rsidRPr="00AD70DE">
          <w:rPr>
            <w:noProof/>
            <w:webHidden/>
          </w:rPr>
          <w:fldChar w:fldCharType="separate"/>
        </w:r>
        <w:r w:rsidR="000B6E0A">
          <w:rPr>
            <w:noProof/>
            <w:webHidden/>
          </w:rPr>
          <w:t>22</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22"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5.4.</w:t>
        </w:r>
        <w:r w:rsidR="009C32E7" w:rsidRPr="00AD70DE">
          <w:rPr>
            <w:rFonts w:asciiTheme="minorHAnsi" w:eastAsiaTheme="minorEastAsia" w:hAnsiTheme="minorHAnsi" w:cstheme="minorBidi"/>
            <w:noProof/>
            <w:lang w:eastAsia="de-DE"/>
          </w:rPr>
          <w:tab/>
        </w:r>
        <w:r w:rsidR="009C32E7" w:rsidRPr="00AD70DE">
          <w:rPr>
            <w:rStyle w:val="Hyperlink"/>
            <w:noProof/>
          </w:rPr>
          <w:t>Time schedule of the clinical trial</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_Toc37243422 \h </w:instrText>
        </w:r>
        <w:r w:rsidR="009C32E7" w:rsidRPr="00AD70DE">
          <w:rPr>
            <w:noProof/>
            <w:webHidden/>
          </w:rPr>
        </w:r>
        <w:r w:rsidR="009C32E7" w:rsidRPr="00AD70DE">
          <w:rPr>
            <w:noProof/>
            <w:webHidden/>
          </w:rPr>
          <w:fldChar w:fldCharType="separate"/>
        </w:r>
        <w:r w:rsidR="000B6E0A">
          <w:rPr>
            <w:noProof/>
            <w:webHidden/>
          </w:rPr>
          <w:t>23</w:t>
        </w:r>
        <w:r w:rsidR="009C32E7" w:rsidRPr="00AD70DE">
          <w:rPr>
            <w:noProof/>
            <w:webHidden/>
          </w:rPr>
          <w:fldChar w:fldCharType="end"/>
        </w:r>
      </w:hyperlink>
    </w:p>
    <w:p w:rsidR="009C32E7" w:rsidRPr="00AD70DE" w:rsidRDefault="007645B8" w:rsidP="00AD70DE">
      <w:pPr>
        <w:pStyle w:val="Verzeichnis1"/>
        <w:tabs>
          <w:tab w:val="left" w:pos="440"/>
          <w:tab w:val="right" w:leader="dot" w:pos="9063"/>
        </w:tabs>
        <w:rPr>
          <w:rFonts w:asciiTheme="minorHAnsi" w:eastAsiaTheme="minorEastAsia" w:hAnsiTheme="minorHAnsi" w:cstheme="minorBidi"/>
          <w:noProof/>
          <w:lang w:eastAsia="de-DE"/>
        </w:rPr>
      </w:pPr>
      <w:hyperlink w:anchor="_Toc37243423" w:history="1">
        <w:r w:rsidR="009C32E7" w:rsidRPr="00AD70DE">
          <w:rPr>
            <w:rStyle w:val="Hyperlink"/>
            <w:noProof/>
          </w:rPr>
          <w:t>6.</w:t>
        </w:r>
        <w:r w:rsidR="009C32E7" w:rsidRPr="00AD70DE">
          <w:rPr>
            <w:rFonts w:asciiTheme="minorHAnsi" w:eastAsiaTheme="minorEastAsia" w:hAnsiTheme="minorHAnsi" w:cstheme="minorBidi"/>
            <w:noProof/>
            <w:lang w:eastAsia="de-DE"/>
          </w:rPr>
          <w:tab/>
        </w:r>
        <w:r w:rsidR="009C32E7" w:rsidRPr="00AD70DE">
          <w:rPr>
            <w:rStyle w:val="Hyperlink"/>
            <w:noProof/>
          </w:rPr>
          <w:t>Trial population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_Toc37243423 \h </w:instrText>
        </w:r>
        <w:r w:rsidR="009C32E7" w:rsidRPr="00AD70DE">
          <w:rPr>
            <w:noProof/>
            <w:webHidden/>
          </w:rPr>
        </w:r>
        <w:r w:rsidR="009C32E7" w:rsidRPr="00AD70DE">
          <w:rPr>
            <w:noProof/>
            <w:webHidden/>
          </w:rPr>
          <w:fldChar w:fldCharType="separate"/>
        </w:r>
        <w:r w:rsidR="000B6E0A">
          <w:rPr>
            <w:noProof/>
            <w:webHidden/>
          </w:rPr>
          <w:t>23</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24"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6.1.</w:t>
        </w:r>
        <w:r w:rsidR="009C32E7" w:rsidRPr="00AD70DE">
          <w:rPr>
            <w:rFonts w:asciiTheme="minorHAnsi" w:eastAsiaTheme="minorEastAsia" w:hAnsiTheme="minorHAnsi" w:cstheme="minorBidi"/>
            <w:noProof/>
            <w:lang w:eastAsia="de-DE"/>
          </w:rPr>
          <w:tab/>
        </w:r>
        <w:r w:rsidR="009C32E7" w:rsidRPr="00AD70DE">
          <w:rPr>
            <w:rStyle w:val="Hyperlink"/>
            <w:noProof/>
          </w:rPr>
          <w:t>Type and planned number of population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_Toc37243424 \h </w:instrText>
        </w:r>
        <w:r w:rsidR="009C32E7" w:rsidRPr="00AD70DE">
          <w:rPr>
            <w:noProof/>
            <w:webHidden/>
          </w:rPr>
        </w:r>
        <w:r w:rsidR="009C32E7" w:rsidRPr="00AD70DE">
          <w:rPr>
            <w:noProof/>
            <w:webHidden/>
          </w:rPr>
          <w:fldChar w:fldCharType="separate"/>
        </w:r>
        <w:r w:rsidR="000B6E0A">
          <w:rPr>
            <w:noProof/>
            <w:webHidden/>
          </w:rPr>
          <w:t>23</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25"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6.2.</w:t>
        </w:r>
        <w:r w:rsidR="009C32E7" w:rsidRPr="00AD70DE">
          <w:rPr>
            <w:rFonts w:asciiTheme="minorHAnsi" w:eastAsiaTheme="minorEastAsia" w:hAnsiTheme="minorHAnsi" w:cstheme="minorBidi"/>
            <w:noProof/>
            <w:lang w:eastAsia="de-DE"/>
          </w:rPr>
          <w:tab/>
        </w:r>
        <w:r w:rsidR="009C32E7" w:rsidRPr="00AD70DE">
          <w:rPr>
            <w:rStyle w:val="Hyperlink"/>
            <w:noProof/>
          </w:rPr>
          <w:t>Inclusion criteria</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_Toc37243425 \h </w:instrText>
        </w:r>
        <w:r w:rsidR="009C32E7" w:rsidRPr="00AD70DE">
          <w:rPr>
            <w:noProof/>
            <w:webHidden/>
          </w:rPr>
        </w:r>
        <w:r w:rsidR="009C32E7" w:rsidRPr="00AD70DE">
          <w:rPr>
            <w:noProof/>
            <w:webHidden/>
          </w:rPr>
          <w:fldChar w:fldCharType="separate"/>
        </w:r>
        <w:r w:rsidR="000B6E0A">
          <w:rPr>
            <w:noProof/>
            <w:webHidden/>
          </w:rPr>
          <w:t>23</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26"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6.3.</w:t>
        </w:r>
        <w:r w:rsidR="009C32E7" w:rsidRPr="00AD70DE">
          <w:rPr>
            <w:rFonts w:asciiTheme="minorHAnsi" w:eastAsiaTheme="minorEastAsia" w:hAnsiTheme="minorHAnsi" w:cstheme="minorBidi"/>
            <w:noProof/>
            <w:lang w:eastAsia="de-DE"/>
          </w:rPr>
          <w:tab/>
        </w:r>
        <w:r w:rsidR="009C32E7" w:rsidRPr="00AD70DE">
          <w:rPr>
            <w:rStyle w:val="Hyperlink"/>
            <w:noProof/>
          </w:rPr>
          <w:t>Exclusion criteria</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_Toc37243426 \h </w:instrText>
        </w:r>
        <w:r w:rsidR="009C32E7" w:rsidRPr="00AD70DE">
          <w:rPr>
            <w:noProof/>
            <w:webHidden/>
          </w:rPr>
        </w:r>
        <w:r w:rsidR="009C32E7" w:rsidRPr="00AD70DE">
          <w:rPr>
            <w:noProof/>
            <w:webHidden/>
          </w:rPr>
          <w:fldChar w:fldCharType="separate"/>
        </w:r>
        <w:r w:rsidR="000B6E0A">
          <w:rPr>
            <w:noProof/>
            <w:webHidden/>
          </w:rPr>
          <w:t>24</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27"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6.4.</w:t>
        </w:r>
        <w:r w:rsidR="009C32E7" w:rsidRPr="00AD70DE">
          <w:rPr>
            <w:rFonts w:asciiTheme="minorHAnsi" w:eastAsiaTheme="minorEastAsia" w:hAnsiTheme="minorHAnsi" w:cstheme="minorBidi"/>
            <w:noProof/>
            <w:lang w:eastAsia="de-DE"/>
          </w:rPr>
          <w:tab/>
        </w:r>
        <w:r w:rsidR="009C32E7" w:rsidRPr="00AD70DE">
          <w:rPr>
            <w:rStyle w:val="Hyperlink"/>
            <w:noProof/>
          </w:rPr>
          <w:t>Admission to the trial</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_Toc37243427 \h </w:instrText>
        </w:r>
        <w:r w:rsidR="009C32E7" w:rsidRPr="00AD70DE">
          <w:rPr>
            <w:noProof/>
            <w:webHidden/>
          </w:rPr>
        </w:r>
        <w:r w:rsidR="009C32E7" w:rsidRPr="00AD70DE">
          <w:rPr>
            <w:noProof/>
            <w:webHidden/>
          </w:rPr>
          <w:fldChar w:fldCharType="separate"/>
        </w:r>
        <w:r w:rsidR="000B6E0A">
          <w:rPr>
            <w:noProof/>
            <w:webHidden/>
          </w:rPr>
          <w:t>24</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28"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6.5.</w:t>
        </w:r>
        <w:r w:rsidR="009C32E7" w:rsidRPr="00AD70DE">
          <w:rPr>
            <w:rFonts w:asciiTheme="minorHAnsi" w:eastAsiaTheme="minorEastAsia" w:hAnsiTheme="minorHAnsi" w:cstheme="minorBidi"/>
            <w:noProof/>
            <w:lang w:eastAsia="de-DE"/>
          </w:rPr>
          <w:tab/>
        </w:r>
        <w:r w:rsidR="009C32E7" w:rsidRPr="00AD70DE">
          <w:rPr>
            <w:rStyle w:val="Hyperlink"/>
            <w:noProof/>
          </w:rPr>
          <w:t>Withdrawal from treatment</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_Toc37243428 \h </w:instrText>
        </w:r>
        <w:r w:rsidR="009C32E7" w:rsidRPr="00AD70DE">
          <w:rPr>
            <w:noProof/>
            <w:webHidden/>
          </w:rPr>
        </w:r>
        <w:r w:rsidR="009C32E7" w:rsidRPr="00AD70DE">
          <w:rPr>
            <w:noProof/>
            <w:webHidden/>
          </w:rPr>
          <w:fldChar w:fldCharType="separate"/>
        </w:r>
        <w:r w:rsidR="000B6E0A">
          <w:rPr>
            <w:noProof/>
            <w:webHidden/>
          </w:rPr>
          <w:t>24</w:t>
        </w:r>
        <w:r w:rsidR="009C32E7" w:rsidRPr="00AD70DE">
          <w:rPr>
            <w:noProof/>
            <w:webHidden/>
          </w:rPr>
          <w:fldChar w:fldCharType="end"/>
        </w:r>
      </w:hyperlink>
    </w:p>
    <w:p w:rsidR="009C32E7" w:rsidRPr="00AD70DE" w:rsidRDefault="007645B8" w:rsidP="00AD70DE">
      <w:pPr>
        <w:pStyle w:val="Verzeichnis1"/>
        <w:tabs>
          <w:tab w:val="left" w:pos="440"/>
          <w:tab w:val="right" w:leader="dot" w:pos="9063"/>
        </w:tabs>
        <w:rPr>
          <w:rFonts w:asciiTheme="minorHAnsi" w:eastAsiaTheme="minorEastAsia" w:hAnsiTheme="minorHAnsi" w:cstheme="minorBidi"/>
          <w:noProof/>
          <w:lang w:eastAsia="de-DE"/>
        </w:rPr>
      </w:pPr>
      <w:hyperlink w:anchor="_Toc37243429" w:history="1">
        <w:r w:rsidR="009C32E7" w:rsidRPr="00AD70DE">
          <w:rPr>
            <w:rStyle w:val="Hyperlink"/>
            <w:noProof/>
          </w:rPr>
          <w:t>7.</w:t>
        </w:r>
        <w:r w:rsidR="009C32E7" w:rsidRPr="00AD70DE">
          <w:rPr>
            <w:rFonts w:asciiTheme="minorHAnsi" w:eastAsiaTheme="minorEastAsia" w:hAnsiTheme="minorHAnsi" w:cstheme="minorBidi"/>
            <w:noProof/>
            <w:lang w:eastAsia="de-DE"/>
          </w:rPr>
          <w:tab/>
        </w:r>
        <w:r w:rsidR="009C32E7" w:rsidRPr="00AD70DE">
          <w:rPr>
            <w:rStyle w:val="Hyperlink"/>
            <w:noProof/>
          </w:rPr>
          <w:t>Trial procedures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_Toc37243429 \h </w:instrText>
        </w:r>
        <w:r w:rsidR="009C32E7" w:rsidRPr="00AD70DE">
          <w:rPr>
            <w:noProof/>
            <w:webHidden/>
          </w:rPr>
        </w:r>
        <w:r w:rsidR="009C32E7" w:rsidRPr="00AD70DE">
          <w:rPr>
            <w:noProof/>
            <w:webHidden/>
          </w:rPr>
          <w:fldChar w:fldCharType="separate"/>
        </w:r>
        <w:r w:rsidR="000B6E0A">
          <w:rPr>
            <w:noProof/>
            <w:webHidden/>
          </w:rPr>
          <w:t>24</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30"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7.1.</w:t>
        </w:r>
        <w:r w:rsidR="009C32E7" w:rsidRPr="00AD70DE">
          <w:rPr>
            <w:rFonts w:asciiTheme="minorHAnsi" w:eastAsiaTheme="minorEastAsia" w:hAnsiTheme="minorHAnsi" w:cstheme="minorBidi"/>
            <w:noProof/>
            <w:lang w:eastAsia="de-DE"/>
          </w:rPr>
          <w:tab/>
        </w:r>
        <w:r w:rsidR="009C32E7" w:rsidRPr="00AD70DE">
          <w:rPr>
            <w:rStyle w:val="Hyperlink"/>
            <w:noProof/>
          </w:rPr>
          <w:t>Visits and specific actions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_Toc37243430 \h </w:instrText>
        </w:r>
        <w:r w:rsidR="009C32E7" w:rsidRPr="00AD70DE">
          <w:rPr>
            <w:noProof/>
            <w:webHidden/>
          </w:rPr>
        </w:r>
        <w:r w:rsidR="009C32E7" w:rsidRPr="00AD70DE">
          <w:rPr>
            <w:noProof/>
            <w:webHidden/>
          </w:rPr>
          <w:fldChar w:fldCharType="separate"/>
        </w:r>
        <w:r w:rsidR="000B6E0A">
          <w:rPr>
            <w:noProof/>
            <w:webHidden/>
          </w:rPr>
          <w:t>25</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31" w:history="1">
        <w:r w:rsidR="009C32E7" w:rsidRPr="00AD70DE">
          <w:rPr>
            <w:rStyle w:val="Hyperlink"/>
            <w:noProof/>
          </w:rPr>
          <w:t>7.1.1.</w:t>
        </w:r>
        <w:r w:rsidR="009C32E7" w:rsidRPr="00AD70DE">
          <w:rPr>
            <w:rFonts w:asciiTheme="minorHAnsi" w:eastAsiaTheme="minorEastAsia" w:hAnsiTheme="minorHAnsi" w:cstheme="minorBidi"/>
            <w:noProof/>
            <w:lang w:eastAsia="de-DE"/>
          </w:rPr>
          <w:tab/>
        </w:r>
        <w:r w:rsidR="009C32E7" w:rsidRPr="00AD70DE">
          <w:rPr>
            <w:rStyle w:val="Hyperlink"/>
            <w:noProof/>
          </w:rPr>
          <w:t>Screening visit</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_Toc37243431 \h </w:instrText>
        </w:r>
        <w:r w:rsidR="009C32E7" w:rsidRPr="00AD70DE">
          <w:rPr>
            <w:noProof/>
            <w:webHidden/>
          </w:rPr>
        </w:r>
        <w:r w:rsidR="009C32E7" w:rsidRPr="00AD70DE">
          <w:rPr>
            <w:noProof/>
            <w:webHidden/>
          </w:rPr>
          <w:fldChar w:fldCharType="separate"/>
        </w:r>
        <w:r w:rsidR="000B6E0A">
          <w:rPr>
            <w:noProof/>
            <w:webHidden/>
          </w:rPr>
          <w:t>25</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32" w:history="1">
        <w:r w:rsidR="009C32E7" w:rsidRPr="00AD70DE">
          <w:rPr>
            <w:rStyle w:val="Hyperlink"/>
            <w:noProof/>
          </w:rPr>
          <w:t>7.1.2.</w:t>
        </w:r>
        <w:r w:rsidR="009C32E7" w:rsidRPr="00AD70DE">
          <w:rPr>
            <w:rFonts w:asciiTheme="minorHAnsi" w:eastAsiaTheme="minorEastAsia" w:hAnsiTheme="minorHAnsi" w:cstheme="minorBidi"/>
            <w:noProof/>
            <w:lang w:eastAsia="de-DE"/>
          </w:rPr>
          <w:tab/>
        </w:r>
        <w:r w:rsidR="009C32E7" w:rsidRPr="00AD70DE">
          <w:rPr>
            <w:rStyle w:val="Hyperlink"/>
            <w:noProof/>
          </w:rPr>
          <w:t>Treatment period</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_Toc37243432 \h </w:instrText>
        </w:r>
        <w:r w:rsidR="009C32E7" w:rsidRPr="00AD70DE">
          <w:rPr>
            <w:noProof/>
            <w:webHidden/>
          </w:rPr>
        </w:r>
        <w:r w:rsidR="009C32E7" w:rsidRPr="00AD70DE">
          <w:rPr>
            <w:noProof/>
            <w:webHidden/>
          </w:rPr>
          <w:fldChar w:fldCharType="separate"/>
        </w:r>
        <w:r w:rsidR="000B6E0A">
          <w:rPr>
            <w:noProof/>
            <w:webHidden/>
          </w:rPr>
          <w:t>25</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33" w:history="1">
        <w:r w:rsidR="009C32E7" w:rsidRPr="00AD70DE">
          <w:rPr>
            <w:rStyle w:val="Hyperlink"/>
            <w:noProof/>
          </w:rPr>
          <w:t>7.1.3.</w:t>
        </w:r>
        <w:r w:rsidR="009C32E7" w:rsidRPr="00AD70DE">
          <w:rPr>
            <w:rFonts w:asciiTheme="minorHAnsi" w:eastAsiaTheme="minorEastAsia" w:hAnsiTheme="minorHAnsi" w:cstheme="minorBidi"/>
            <w:noProof/>
            <w:lang w:eastAsia="de-DE"/>
          </w:rPr>
          <w:tab/>
        </w:r>
        <w:r w:rsidR="009C32E7" w:rsidRPr="00AD70DE">
          <w:rPr>
            <w:rStyle w:val="Hyperlink"/>
            <w:noProof/>
          </w:rPr>
          <w:t>End-of-trial visit:</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_Toc37243433 \h </w:instrText>
        </w:r>
        <w:r w:rsidR="009C32E7" w:rsidRPr="00AD70DE">
          <w:rPr>
            <w:noProof/>
            <w:webHidden/>
          </w:rPr>
        </w:r>
        <w:r w:rsidR="009C32E7" w:rsidRPr="00AD70DE">
          <w:rPr>
            <w:noProof/>
            <w:webHidden/>
          </w:rPr>
          <w:fldChar w:fldCharType="separate"/>
        </w:r>
        <w:r w:rsidR="000B6E0A">
          <w:rPr>
            <w:noProof/>
            <w:webHidden/>
          </w:rPr>
          <w:t>26</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34"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7.2.</w:t>
        </w:r>
        <w:r w:rsidR="009C32E7" w:rsidRPr="00AD70DE">
          <w:rPr>
            <w:rFonts w:asciiTheme="minorHAnsi" w:eastAsiaTheme="minorEastAsia" w:hAnsiTheme="minorHAnsi" w:cstheme="minorBidi"/>
            <w:noProof/>
            <w:lang w:eastAsia="de-DE"/>
          </w:rPr>
          <w:tab/>
        </w:r>
        <w:r w:rsidR="009C32E7" w:rsidRPr="00AD70DE">
          <w:rPr>
            <w:rStyle w:val="Hyperlink"/>
            <w:noProof/>
          </w:rPr>
          <w:t>Trial procedures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_Toc37243434 \h </w:instrText>
        </w:r>
        <w:r w:rsidR="009C32E7" w:rsidRPr="00AD70DE">
          <w:rPr>
            <w:noProof/>
            <w:webHidden/>
          </w:rPr>
        </w:r>
        <w:r w:rsidR="009C32E7" w:rsidRPr="00AD70DE">
          <w:rPr>
            <w:noProof/>
            <w:webHidden/>
          </w:rPr>
          <w:fldChar w:fldCharType="separate"/>
        </w:r>
        <w:r w:rsidR="000B6E0A">
          <w:rPr>
            <w:noProof/>
            <w:webHidden/>
          </w:rPr>
          <w:t>26</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35" w:history="1">
        <w:r w:rsidR="009C32E7" w:rsidRPr="00AD70DE">
          <w:rPr>
            <w:rStyle w:val="Hyperlink"/>
            <w:noProof/>
          </w:rPr>
          <w:t>7.2.1.</w:t>
        </w:r>
        <w:r w:rsidR="009C32E7" w:rsidRPr="00AD70DE">
          <w:rPr>
            <w:rFonts w:asciiTheme="minorHAnsi" w:eastAsiaTheme="minorEastAsia" w:hAnsiTheme="minorHAnsi" w:cstheme="minorBidi"/>
            <w:noProof/>
            <w:lang w:eastAsia="de-DE"/>
          </w:rPr>
          <w:tab/>
        </w:r>
        <w:r w:rsidR="009C32E7" w:rsidRPr="00AD70DE">
          <w:rPr>
            <w:rStyle w:val="Hyperlink"/>
            <w:noProof/>
          </w:rPr>
          <w:t>Physical examination, vital signs, and electrocardiogram</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_Toc37243435 \h </w:instrText>
        </w:r>
        <w:r w:rsidR="009C32E7" w:rsidRPr="00AD70DE">
          <w:rPr>
            <w:noProof/>
            <w:webHidden/>
          </w:rPr>
        </w:r>
        <w:r w:rsidR="009C32E7" w:rsidRPr="00AD70DE">
          <w:rPr>
            <w:noProof/>
            <w:webHidden/>
          </w:rPr>
          <w:fldChar w:fldCharType="separate"/>
        </w:r>
        <w:r w:rsidR="000B6E0A">
          <w:rPr>
            <w:noProof/>
            <w:webHidden/>
          </w:rPr>
          <w:t>26</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36" w:history="1">
        <w:r w:rsidR="009C32E7" w:rsidRPr="00AD70DE">
          <w:rPr>
            <w:rStyle w:val="Hyperlink"/>
            <w:noProof/>
          </w:rPr>
          <w:t>7.2.2.</w:t>
        </w:r>
        <w:r w:rsidR="009C32E7" w:rsidRPr="00AD70DE">
          <w:rPr>
            <w:rFonts w:asciiTheme="minorHAnsi" w:eastAsiaTheme="minorEastAsia" w:hAnsiTheme="minorHAnsi" w:cstheme="minorBidi"/>
            <w:noProof/>
            <w:lang w:eastAsia="de-DE"/>
          </w:rPr>
          <w:tab/>
        </w:r>
        <w:r w:rsidR="009C32E7" w:rsidRPr="00AD70DE">
          <w:rPr>
            <w:rStyle w:val="Hyperlink"/>
            <w:noProof/>
          </w:rPr>
          <w:t>Blood and urine sampling, and total amount of blood withdrawn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_Toc37243436 \h </w:instrText>
        </w:r>
        <w:r w:rsidR="009C32E7" w:rsidRPr="00AD70DE">
          <w:rPr>
            <w:noProof/>
            <w:webHidden/>
          </w:rPr>
        </w:r>
        <w:r w:rsidR="009C32E7" w:rsidRPr="00AD70DE">
          <w:rPr>
            <w:noProof/>
            <w:webHidden/>
          </w:rPr>
          <w:fldChar w:fldCharType="separate"/>
        </w:r>
        <w:r w:rsidR="000B6E0A">
          <w:rPr>
            <w:noProof/>
            <w:webHidden/>
          </w:rPr>
          <w:t>27</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37" w:history="1">
        <w:r w:rsidR="009C32E7" w:rsidRPr="00AD70DE">
          <w:rPr>
            <w:rStyle w:val="Hyperlink"/>
            <w:noProof/>
          </w:rPr>
          <w:t>7.2.3.</w:t>
        </w:r>
        <w:r w:rsidR="009C32E7" w:rsidRPr="00AD70DE">
          <w:rPr>
            <w:rFonts w:asciiTheme="minorHAnsi" w:eastAsiaTheme="minorEastAsia" w:hAnsiTheme="minorHAnsi" w:cstheme="minorBidi"/>
            <w:noProof/>
            <w:lang w:eastAsia="de-DE"/>
          </w:rPr>
          <w:tab/>
        </w:r>
        <w:r w:rsidR="009C32E7" w:rsidRPr="00AD70DE">
          <w:rPr>
            <w:rStyle w:val="Hyperlink"/>
            <w:noProof/>
          </w:rPr>
          <w:t>Metabolic genotypes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_Toc37243437 \h </w:instrText>
        </w:r>
        <w:r w:rsidR="009C32E7" w:rsidRPr="00AD70DE">
          <w:rPr>
            <w:noProof/>
            <w:webHidden/>
          </w:rPr>
        </w:r>
        <w:r w:rsidR="009C32E7" w:rsidRPr="00AD70DE">
          <w:rPr>
            <w:noProof/>
            <w:webHidden/>
          </w:rPr>
          <w:fldChar w:fldCharType="separate"/>
        </w:r>
        <w:r w:rsidR="000B6E0A">
          <w:rPr>
            <w:noProof/>
            <w:webHidden/>
          </w:rPr>
          <w:t>27</w:t>
        </w:r>
        <w:r w:rsidR="009C32E7" w:rsidRPr="00AD70DE">
          <w:rPr>
            <w:noProof/>
            <w:webHidden/>
          </w:rPr>
          <w:fldChar w:fldCharType="end"/>
        </w:r>
      </w:hyperlink>
    </w:p>
    <w:p w:rsidR="009C32E7" w:rsidRPr="00AD70DE" w:rsidRDefault="007645B8" w:rsidP="00AD70DE">
      <w:pPr>
        <w:pStyle w:val="Verzeichnis3"/>
        <w:tabs>
          <w:tab w:val="right" w:leader="dot" w:pos="9063"/>
        </w:tabs>
        <w:rPr>
          <w:rFonts w:asciiTheme="minorHAnsi" w:eastAsiaTheme="minorEastAsia" w:hAnsiTheme="minorHAnsi" w:cstheme="minorBidi"/>
          <w:noProof/>
          <w:lang w:eastAsia="de-DE"/>
        </w:rPr>
      </w:pPr>
      <w:hyperlink w:anchor="_Toc37243438" w:history="1">
        <w:r w:rsidR="009C32E7" w:rsidRPr="00AD70DE">
          <w:rPr>
            <w:rStyle w:val="Hyperlink"/>
            <w:noProof/>
          </w:rPr>
          <w:t>Volunteers will participate in a genotyping study (K093). Evaluated genotypes of CYP enzymes will be documented and used in the present study as subjects’ characteristics.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_Toc37243438 \h </w:instrText>
        </w:r>
        <w:r w:rsidR="009C32E7" w:rsidRPr="00AD70DE">
          <w:rPr>
            <w:noProof/>
            <w:webHidden/>
          </w:rPr>
        </w:r>
        <w:r w:rsidR="009C32E7" w:rsidRPr="00AD70DE">
          <w:rPr>
            <w:noProof/>
            <w:webHidden/>
          </w:rPr>
          <w:fldChar w:fldCharType="separate"/>
        </w:r>
        <w:r w:rsidR="000B6E0A">
          <w:rPr>
            <w:noProof/>
            <w:webHidden/>
          </w:rPr>
          <w:t>27</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39" w:history="1">
        <w:r w:rsidR="009C32E7" w:rsidRPr="00AD70DE">
          <w:rPr>
            <w:rStyle w:val="Hyperlink"/>
            <w:noProof/>
          </w:rPr>
          <w:t>7.2.4.</w:t>
        </w:r>
        <w:r w:rsidR="009C32E7" w:rsidRPr="00AD70DE">
          <w:rPr>
            <w:rFonts w:asciiTheme="minorHAnsi" w:eastAsiaTheme="minorEastAsia" w:hAnsiTheme="minorHAnsi" w:cstheme="minorBidi"/>
            <w:noProof/>
            <w:lang w:eastAsia="de-DE"/>
          </w:rPr>
          <w:tab/>
        </w:r>
        <w:r w:rsidR="009C32E7" w:rsidRPr="00AD70DE">
          <w:rPr>
            <w:rStyle w:val="Hyperlink"/>
            <w:noProof/>
          </w:rPr>
          <w:t>Priority and sequence of trial procedures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_Toc37243439 \h </w:instrText>
        </w:r>
        <w:r w:rsidR="009C32E7" w:rsidRPr="00AD70DE">
          <w:rPr>
            <w:noProof/>
            <w:webHidden/>
          </w:rPr>
        </w:r>
        <w:r w:rsidR="009C32E7" w:rsidRPr="00AD70DE">
          <w:rPr>
            <w:noProof/>
            <w:webHidden/>
          </w:rPr>
          <w:fldChar w:fldCharType="separate"/>
        </w:r>
        <w:r w:rsidR="000B6E0A">
          <w:rPr>
            <w:noProof/>
            <w:webHidden/>
          </w:rPr>
          <w:t>27</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40"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7.3.</w:t>
        </w:r>
        <w:r w:rsidR="009C32E7" w:rsidRPr="00AD70DE">
          <w:rPr>
            <w:rFonts w:asciiTheme="minorHAnsi" w:eastAsiaTheme="minorEastAsia" w:hAnsiTheme="minorHAnsi" w:cstheme="minorBidi"/>
            <w:noProof/>
            <w:lang w:eastAsia="de-DE"/>
          </w:rPr>
          <w:tab/>
        </w:r>
        <w:r w:rsidR="009C32E7" w:rsidRPr="00AD70DE">
          <w:rPr>
            <w:rStyle w:val="Hyperlink"/>
            <w:noProof/>
          </w:rPr>
          <w:t>Hospitalization / emergency visit</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_Toc37243440 \h </w:instrText>
        </w:r>
        <w:r w:rsidR="009C32E7" w:rsidRPr="00AD70DE">
          <w:rPr>
            <w:noProof/>
            <w:webHidden/>
          </w:rPr>
        </w:r>
        <w:r w:rsidR="009C32E7" w:rsidRPr="00AD70DE">
          <w:rPr>
            <w:noProof/>
            <w:webHidden/>
          </w:rPr>
          <w:fldChar w:fldCharType="separate"/>
        </w:r>
        <w:r w:rsidR="000B6E0A">
          <w:rPr>
            <w:noProof/>
            <w:webHidden/>
          </w:rPr>
          <w:t>28</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41"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7.4.</w:t>
        </w:r>
        <w:r w:rsidR="009C32E7" w:rsidRPr="00AD70DE">
          <w:rPr>
            <w:rFonts w:asciiTheme="minorHAnsi" w:eastAsiaTheme="minorEastAsia" w:hAnsiTheme="minorHAnsi" w:cstheme="minorBidi"/>
            <w:noProof/>
            <w:lang w:eastAsia="de-DE"/>
          </w:rPr>
          <w:tab/>
        </w:r>
        <w:r w:rsidR="009C32E7" w:rsidRPr="00AD70DE">
          <w:rPr>
            <w:rStyle w:val="Hyperlink"/>
            <w:noProof/>
          </w:rPr>
          <w:t>Concomitant medication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_Toc37243441 \h </w:instrText>
        </w:r>
        <w:r w:rsidR="009C32E7" w:rsidRPr="00AD70DE">
          <w:rPr>
            <w:noProof/>
            <w:webHidden/>
          </w:rPr>
        </w:r>
        <w:r w:rsidR="009C32E7" w:rsidRPr="00AD70DE">
          <w:rPr>
            <w:noProof/>
            <w:webHidden/>
          </w:rPr>
          <w:fldChar w:fldCharType="separate"/>
        </w:r>
        <w:r w:rsidR="000B6E0A">
          <w:rPr>
            <w:noProof/>
            <w:webHidden/>
          </w:rPr>
          <w:t>28</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42"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7.5.</w:t>
        </w:r>
        <w:r w:rsidR="009C32E7" w:rsidRPr="00AD70DE">
          <w:rPr>
            <w:rFonts w:asciiTheme="minorHAnsi" w:eastAsiaTheme="minorEastAsia" w:hAnsiTheme="minorHAnsi" w:cstheme="minorBidi"/>
            <w:noProof/>
            <w:lang w:eastAsia="de-DE"/>
          </w:rPr>
          <w:tab/>
        </w:r>
        <w:r w:rsidR="009C32E7" w:rsidRPr="00AD70DE">
          <w:rPr>
            <w:rStyle w:val="Hyperlink"/>
            <w:noProof/>
          </w:rPr>
          <w:t>Dietary and other restrictions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_Toc37243442 \h </w:instrText>
        </w:r>
        <w:r w:rsidR="009C32E7" w:rsidRPr="00AD70DE">
          <w:rPr>
            <w:noProof/>
            <w:webHidden/>
          </w:rPr>
        </w:r>
        <w:r w:rsidR="009C32E7" w:rsidRPr="00AD70DE">
          <w:rPr>
            <w:noProof/>
            <w:webHidden/>
          </w:rPr>
          <w:fldChar w:fldCharType="separate"/>
        </w:r>
        <w:r w:rsidR="000B6E0A">
          <w:rPr>
            <w:noProof/>
            <w:webHidden/>
          </w:rPr>
          <w:t>28</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43"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7.6.</w:t>
        </w:r>
        <w:r w:rsidR="009C32E7" w:rsidRPr="00AD70DE">
          <w:rPr>
            <w:rFonts w:asciiTheme="minorHAnsi" w:eastAsiaTheme="minorEastAsia" w:hAnsiTheme="minorHAnsi" w:cstheme="minorBidi"/>
            <w:noProof/>
            <w:lang w:eastAsia="de-DE"/>
          </w:rPr>
          <w:tab/>
        </w:r>
        <w:r w:rsidR="009C32E7" w:rsidRPr="00AD70DE">
          <w:rPr>
            <w:rStyle w:val="Hyperlink"/>
            <w:noProof/>
          </w:rPr>
          <w:t>Assessment and recording of AEs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_Toc37243443 \h </w:instrText>
        </w:r>
        <w:r w:rsidR="009C32E7" w:rsidRPr="00AD70DE">
          <w:rPr>
            <w:noProof/>
            <w:webHidden/>
          </w:rPr>
        </w:r>
        <w:r w:rsidR="009C32E7" w:rsidRPr="00AD70DE">
          <w:rPr>
            <w:noProof/>
            <w:webHidden/>
          </w:rPr>
          <w:fldChar w:fldCharType="separate"/>
        </w:r>
        <w:r w:rsidR="000B6E0A">
          <w:rPr>
            <w:noProof/>
            <w:webHidden/>
          </w:rPr>
          <w:t>28</w:t>
        </w:r>
        <w:r w:rsidR="009C32E7" w:rsidRPr="00AD70DE">
          <w:rPr>
            <w:noProof/>
            <w:webHidden/>
          </w:rPr>
          <w:fldChar w:fldCharType="end"/>
        </w:r>
      </w:hyperlink>
    </w:p>
    <w:p w:rsidR="009C32E7" w:rsidRPr="00AD70DE" w:rsidRDefault="007645B8" w:rsidP="00AD70DE">
      <w:pPr>
        <w:pStyle w:val="Verzeichnis1"/>
        <w:tabs>
          <w:tab w:val="left" w:pos="440"/>
          <w:tab w:val="right" w:leader="dot" w:pos="9063"/>
        </w:tabs>
        <w:rPr>
          <w:rFonts w:asciiTheme="minorHAnsi" w:eastAsiaTheme="minorEastAsia" w:hAnsiTheme="minorHAnsi" w:cstheme="minorBidi"/>
          <w:noProof/>
          <w:lang w:eastAsia="de-DE"/>
        </w:rPr>
      </w:pPr>
      <w:hyperlink w:anchor="_Toc37243444" w:history="1">
        <w:r w:rsidR="009C32E7" w:rsidRPr="00AD70DE">
          <w:rPr>
            <w:rStyle w:val="Hyperlink"/>
            <w:noProof/>
          </w:rPr>
          <w:t>8.</w:t>
        </w:r>
        <w:r w:rsidR="009C32E7" w:rsidRPr="00AD70DE">
          <w:rPr>
            <w:rFonts w:asciiTheme="minorHAnsi" w:eastAsiaTheme="minorEastAsia" w:hAnsiTheme="minorHAnsi" w:cstheme="minorBidi"/>
            <w:noProof/>
            <w:lang w:eastAsia="de-DE"/>
          </w:rPr>
          <w:tab/>
        </w:r>
        <w:r w:rsidR="009C32E7" w:rsidRPr="00AD70DE">
          <w:rPr>
            <w:rStyle w:val="Hyperlink"/>
            <w:noProof/>
          </w:rPr>
          <w:t>Analytical procedures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_Toc37243444 \h </w:instrText>
        </w:r>
        <w:r w:rsidR="009C32E7" w:rsidRPr="00AD70DE">
          <w:rPr>
            <w:noProof/>
            <w:webHidden/>
          </w:rPr>
        </w:r>
        <w:r w:rsidR="009C32E7" w:rsidRPr="00AD70DE">
          <w:rPr>
            <w:noProof/>
            <w:webHidden/>
          </w:rPr>
          <w:fldChar w:fldCharType="separate"/>
        </w:r>
        <w:r w:rsidR="000B6E0A">
          <w:rPr>
            <w:noProof/>
            <w:webHidden/>
          </w:rPr>
          <w:t>29</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45"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8.1.</w:t>
        </w:r>
        <w:r w:rsidR="009C32E7" w:rsidRPr="00AD70DE">
          <w:rPr>
            <w:rFonts w:asciiTheme="minorHAnsi" w:eastAsiaTheme="minorEastAsia" w:hAnsiTheme="minorHAnsi" w:cstheme="minorBidi"/>
            <w:noProof/>
            <w:lang w:eastAsia="de-DE"/>
          </w:rPr>
          <w:tab/>
        </w:r>
        <w:r w:rsidR="009C32E7" w:rsidRPr="00AD70DE">
          <w:rPr>
            <w:rStyle w:val="Hyperlink"/>
            <w:noProof/>
          </w:rPr>
          <w:t>Quantification of drug concentrations in whole blood, plasma, and PBMC</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_Toc37243445 \h </w:instrText>
        </w:r>
        <w:r w:rsidR="009C32E7" w:rsidRPr="00AD70DE">
          <w:rPr>
            <w:noProof/>
            <w:webHidden/>
          </w:rPr>
        </w:r>
        <w:r w:rsidR="009C32E7" w:rsidRPr="00AD70DE">
          <w:rPr>
            <w:noProof/>
            <w:webHidden/>
          </w:rPr>
          <w:fldChar w:fldCharType="separate"/>
        </w:r>
        <w:r w:rsidR="000B6E0A">
          <w:rPr>
            <w:noProof/>
            <w:webHidden/>
          </w:rPr>
          <w:t>29</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46"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8.2.</w:t>
        </w:r>
        <w:r w:rsidR="009C32E7" w:rsidRPr="00AD70DE">
          <w:rPr>
            <w:rFonts w:asciiTheme="minorHAnsi" w:eastAsiaTheme="minorEastAsia" w:hAnsiTheme="minorHAnsi" w:cstheme="minorBidi"/>
            <w:noProof/>
            <w:lang w:eastAsia="de-DE"/>
          </w:rPr>
          <w:tab/>
        </w:r>
        <w:r w:rsidR="009C32E7" w:rsidRPr="00AD70DE">
          <w:rPr>
            <w:rStyle w:val="Hyperlink"/>
            <w:noProof/>
          </w:rPr>
          <w:t>Labelling and storage of biological samples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_Toc37243446 \h </w:instrText>
        </w:r>
        <w:r w:rsidR="009C32E7" w:rsidRPr="00AD70DE">
          <w:rPr>
            <w:noProof/>
            <w:webHidden/>
          </w:rPr>
        </w:r>
        <w:r w:rsidR="009C32E7" w:rsidRPr="00AD70DE">
          <w:rPr>
            <w:noProof/>
            <w:webHidden/>
          </w:rPr>
          <w:fldChar w:fldCharType="separate"/>
        </w:r>
        <w:r w:rsidR="000B6E0A">
          <w:rPr>
            <w:noProof/>
            <w:webHidden/>
          </w:rPr>
          <w:t>29</w:t>
        </w:r>
        <w:r w:rsidR="009C32E7" w:rsidRPr="00AD70DE">
          <w:rPr>
            <w:noProof/>
            <w:webHidden/>
          </w:rPr>
          <w:fldChar w:fldCharType="end"/>
        </w:r>
      </w:hyperlink>
    </w:p>
    <w:p w:rsidR="009C32E7" w:rsidRPr="00AD70DE" w:rsidRDefault="007645B8" w:rsidP="00AD70DE">
      <w:pPr>
        <w:pStyle w:val="Verzeichnis1"/>
        <w:tabs>
          <w:tab w:val="left" w:pos="440"/>
          <w:tab w:val="right" w:leader="dot" w:pos="9063"/>
        </w:tabs>
        <w:rPr>
          <w:rFonts w:asciiTheme="minorHAnsi" w:eastAsiaTheme="minorEastAsia" w:hAnsiTheme="minorHAnsi" w:cstheme="minorBidi"/>
          <w:noProof/>
          <w:lang w:eastAsia="de-DE"/>
        </w:rPr>
      </w:pPr>
      <w:hyperlink w:anchor="_Toc37243447" w:history="1">
        <w:r w:rsidR="009C32E7" w:rsidRPr="00AD70DE">
          <w:rPr>
            <w:rStyle w:val="Hyperlink"/>
            <w:noProof/>
          </w:rPr>
          <w:t>9.</w:t>
        </w:r>
        <w:r w:rsidR="009C32E7" w:rsidRPr="00AD70DE">
          <w:rPr>
            <w:rFonts w:asciiTheme="minorHAnsi" w:eastAsiaTheme="minorEastAsia" w:hAnsiTheme="minorHAnsi" w:cstheme="minorBidi"/>
            <w:noProof/>
            <w:lang w:eastAsia="de-DE"/>
          </w:rPr>
          <w:tab/>
        </w:r>
        <w:r w:rsidR="009C32E7" w:rsidRPr="00AD70DE">
          <w:rPr>
            <w:rStyle w:val="Hyperlink"/>
            <w:noProof/>
          </w:rPr>
          <w:t>Trial medication – investigational medicinal products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_Toc37243447 \h </w:instrText>
        </w:r>
        <w:r w:rsidR="009C32E7" w:rsidRPr="00AD70DE">
          <w:rPr>
            <w:noProof/>
            <w:webHidden/>
          </w:rPr>
        </w:r>
        <w:r w:rsidR="009C32E7" w:rsidRPr="00AD70DE">
          <w:rPr>
            <w:noProof/>
            <w:webHidden/>
          </w:rPr>
          <w:fldChar w:fldCharType="separate"/>
        </w:r>
        <w:r w:rsidR="000B6E0A">
          <w:rPr>
            <w:noProof/>
            <w:webHidden/>
          </w:rPr>
          <w:t>30</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48"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9.1.</w:t>
        </w:r>
        <w:r w:rsidR="009C32E7" w:rsidRPr="00AD70DE">
          <w:rPr>
            <w:rFonts w:asciiTheme="minorHAnsi" w:eastAsiaTheme="minorEastAsia" w:hAnsiTheme="minorHAnsi" w:cstheme="minorBidi"/>
            <w:noProof/>
            <w:lang w:eastAsia="de-DE"/>
          </w:rPr>
          <w:tab/>
        </w:r>
        <w:r w:rsidR="009C32E7" w:rsidRPr="00AD70DE">
          <w:rPr>
            <w:rStyle w:val="Hyperlink"/>
            <w:noProof/>
          </w:rPr>
          <w:t>Hydroxychloroquine</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_Toc37243448 \h </w:instrText>
        </w:r>
        <w:r w:rsidR="009C32E7" w:rsidRPr="00AD70DE">
          <w:rPr>
            <w:noProof/>
            <w:webHidden/>
          </w:rPr>
        </w:r>
        <w:r w:rsidR="009C32E7" w:rsidRPr="00AD70DE">
          <w:rPr>
            <w:noProof/>
            <w:webHidden/>
          </w:rPr>
          <w:fldChar w:fldCharType="separate"/>
        </w:r>
        <w:r w:rsidR="000B6E0A">
          <w:rPr>
            <w:noProof/>
            <w:webHidden/>
          </w:rPr>
          <w:t>30</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49" w:history="1">
        <w:r w:rsidR="009C32E7" w:rsidRPr="00AD70DE">
          <w:rPr>
            <w:rStyle w:val="Hyperlink"/>
            <w:noProof/>
          </w:rPr>
          <w:t>9.1.1.</w:t>
        </w:r>
        <w:r w:rsidR="009C32E7" w:rsidRPr="00AD70DE">
          <w:rPr>
            <w:rFonts w:asciiTheme="minorHAnsi" w:eastAsiaTheme="minorEastAsia" w:hAnsiTheme="minorHAnsi" w:cstheme="minorBidi"/>
            <w:noProof/>
            <w:lang w:eastAsia="de-DE"/>
          </w:rPr>
          <w:tab/>
        </w:r>
        <w:r w:rsidR="009C32E7" w:rsidRPr="00AD70DE">
          <w:rPr>
            <w:rStyle w:val="Hyperlink"/>
            <w:noProof/>
          </w:rPr>
          <w:t>Pharmacological properties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_Toc37243449 \h </w:instrText>
        </w:r>
        <w:r w:rsidR="009C32E7" w:rsidRPr="00AD70DE">
          <w:rPr>
            <w:noProof/>
            <w:webHidden/>
          </w:rPr>
        </w:r>
        <w:r w:rsidR="009C32E7" w:rsidRPr="00AD70DE">
          <w:rPr>
            <w:noProof/>
            <w:webHidden/>
          </w:rPr>
          <w:fldChar w:fldCharType="separate"/>
        </w:r>
        <w:r w:rsidR="000B6E0A">
          <w:rPr>
            <w:noProof/>
            <w:webHidden/>
          </w:rPr>
          <w:t>30</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0" w:history="1">
        <w:r w:rsidR="009C32E7" w:rsidRPr="00AD70DE">
          <w:rPr>
            <w:rStyle w:val="Hyperlink"/>
            <w:noProof/>
          </w:rPr>
          <w:t>9.1.2.</w:t>
        </w:r>
        <w:r w:rsidR="009C32E7" w:rsidRPr="00AD70DE">
          <w:rPr>
            <w:rFonts w:asciiTheme="minorHAnsi" w:eastAsiaTheme="minorEastAsia" w:hAnsiTheme="minorHAnsi" w:cstheme="minorBidi"/>
            <w:noProof/>
            <w:lang w:eastAsia="de-DE"/>
          </w:rPr>
          <w:tab/>
        </w:r>
        <w:r w:rsidR="009C32E7" w:rsidRPr="00AD70DE">
          <w:rPr>
            <w:rStyle w:val="Hyperlink"/>
            <w:noProof/>
          </w:rPr>
          <w:t>Packaging, labelling, and supply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_Toc37243450 \h </w:instrText>
        </w:r>
        <w:r w:rsidR="009C32E7" w:rsidRPr="00AD70DE">
          <w:rPr>
            <w:noProof/>
            <w:webHidden/>
          </w:rPr>
        </w:r>
        <w:r w:rsidR="009C32E7" w:rsidRPr="00AD70DE">
          <w:rPr>
            <w:noProof/>
            <w:webHidden/>
          </w:rPr>
          <w:fldChar w:fldCharType="separate"/>
        </w:r>
        <w:r w:rsidR="000B6E0A">
          <w:rPr>
            <w:noProof/>
            <w:webHidden/>
          </w:rPr>
          <w:t>31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1" w:history="1">
        <w:r w:rsidR="009C32E7" w:rsidRPr="00AD70DE">
          <w:rPr>
            <w:rStyle w:val="Hyperlink"/>
            <w:noProof/>
          </w:rPr>
          <w:t>9.1.3.</w:t>
        </w:r>
        <w:r w:rsidR="009C32E7" w:rsidRPr="00AD70DE">
          <w:rPr>
            <w:rFonts w:asciiTheme="minorHAnsi" w:eastAsiaTheme="minorEastAsia" w:hAnsiTheme="minorHAnsi" w:cstheme="minorBidi"/>
            <w:noProof/>
            <w:lang w:eastAsia="de-DE"/>
          </w:rPr>
          <w:tab/>
        </w:r>
        <w:r w:rsidR="009C32E7" w:rsidRPr="00AD70DE">
          <w:rPr>
            <w:rStyle w:val="Hyperlink"/>
            <w:noProof/>
          </w:rPr>
          <w:t>Administration of trial medication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_Toc37243451 \h </w:instrText>
        </w:r>
        <w:r w:rsidR="009C32E7" w:rsidRPr="00AD70DE">
          <w:rPr>
            <w:noProof/>
            <w:webHidden/>
          </w:rPr>
        </w:r>
        <w:r w:rsidR="009C32E7" w:rsidRPr="00AD70DE">
          <w:rPr>
            <w:noProof/>
            <w:webHidden/>
          </w:rPr>
          <w:fldChar w:fldCharType="separate"/>
        </w:r>
        <w:r w:rsidR="000B6E0A">
          <w:rPr>
            <w:noProof/>
            <w:webHidden/>
          </w:rPr>
          <w:t>31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2" w:history="1">
        <w:r w:rsidR="009C32E7" w:rsidRPr="00AD70DE">
          <w:rPr>
            <w:rStyle w:val="Hyperlink"/>
            <w:noProof/>
          </w:rPr>
          <w:t>9.1.4.</w:t>
        </w:r>
        <w:r w:rsidR="009C32E7" w:rsidRPr="00AD70DE">
          <w:rPr>
            <w:rFonts w:asciiTheme="minorHAnsi" w:eastAsiaTheme="minorEastAsia" w:hAnsiTheme="minorHAnsi" w:cstheme="minorBidi"/>
            <w:noProof/>
            <w:lang w:eastAsia="de-DE"/>
          </w:rPr>
          <w:tab/>
        </w:r>
        <w:r w:rsidR="009C32E7" w:rsidRPr="00AD70DE">
          <w:rPr>
            <w:rStyle w:val="Hyperlink"/>
            <w:noProof/>
          </w:rPr>
          <w:t>Adherence and drug accountability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_Toc37243452 \h </w:instrText>
        </w:r>
        <w:r w:rsidR="009C32E7" w:rsidRPr="00AD70DE">
          <w:rPr>
            <w:noProof/>
            <w:webHidden/>
          </w:rPr>
        </w:r>
        <w:r w:rsidR="009C32E7" w:rsidRPr="00AD70DE">
          <w:rPr>
            <w:noProof/>
            <w:webHidden/>
          </w:rPr>
          <w:fldChar w:fldCharType="separate"/>
        </w:r>
        <w:r w:rsidR="000B6E0A">
          <w:rPr>
            <w:noProof/>
            <w:webHidden/>
          </w:rPr>
          <w:t>31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3" w:history="1">
        <w:r w:rsidR="009C32E7" w:rsidRPr="00AD70DE">
          <w:rPr>
            <w:rStyle w:val="Hyperlink"/>
            <w:noProof/>
          </w:rPr>
          <w:t>9.1.5.</w:t>
        </w:r>
        <w:r w:rsidR="009C32E7" w:rsidRPr="00AD70DE">
          <w:rPr>
            <w:rFonts w:asciiTheme="minorHAnsi" w:eastAsiaTheme="minorEastAsia" w:hAnsiTheme="minorHAnsi" w:cstheme="minorBidi"/>
            <w:noProof/>
            <w:lang w:eastAsia="de-DE"/>
          </w:rPr>
          <w:tab/>
        </w:r>
        <w:r w:rsidR="009C32E7" w:rsidRPr="00AD70DE">
          <w:rPr>
            <w:rStyle w:val="Hyperlink"/>
            <w:noProof/>
          </w:rPr>
          <w:t>Safety and tolerability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_Toc37243453 \h </w:instrText>
        </w:r>
        <w:r w:rsidR="009C32E7" w:rsidRPr="00AD70DE">
          <w:rPr>
            <w:noProof/>
            <w:webHidden/>
          </w:rPr>
        </w:r>
        <w:r w:rsidR="009C32E7" w:rsidRPr="00AD70DE">
          <w:rPr>
            <w:noProof/>
            <w:webHidden/>
          </w:rPr>
          <w:fldChar w:fldCharType="separate"/>
        </w:r>
        <w:r w:rsidR="000B6E0A">
          <w:rPr>
            <w:noProof/>
            <w:webHidden/>
          </w:rPr>
          <w:t>31</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4" w:history="1">
        <w:r w:rsidR="009C32E7" w:rsidRPr="00AD70DE">
          <w:rPr>
            <w:rStyle w:val="Hyperlink"/>
            <w:noProof/>
          </w:rPr>
          <w:t>9.1.6.</w:t>
        </w:r>
        <w:r w:rsidR="009C32E7" w:rsidRPr="00AD70DE">
          <w:rPr>
            <w:rFonts w:asciiTheme="minorHAnsi" w:eastAsiaTheme="minorEastAsia" w:hAnsiTheme="minorHAnsi" w:cstheme="minorBidi"/>
            <w:noProof/>
            <w:lang w:eastAsia="de-DE"/>
          </w:rPr>
          <w:tab/>
        </w:r>
        <w:r w:rsidR="009C32E7" w:rsidRPr="00AD70DE">
          <w:rPr>
            <w:rStyle w:val="Hyperlink"/>
            <w:noProof/>
          </w:rPr>
          <w:t>Contraindications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_Toc37243454 \h </w:instrText>
        </w:r>
        <w:r w:rsidR="009C32E7" w:rsidRPr="00AD70DE">
          <w:rPr>
            <w:noProof/>
            <w:webHidden/>
          </w:rPr>
        </w:r>
        <w:r w:rsidR="009C32E7" w:rsidRPr="00AD70DE">
          <w:rPr>
            <w:noProof/>
            <w:webHidden/>
          </w:rPr>
          <w:fldChar w:fldCharType="separate"/>
        </w:r>
        <w:r w:rsidR="000B6E0A">
          <w:rPr>
            <w:noProof/>
            <w:webHidden/>
          </w:rPr>
          <w:t>33</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55"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9.2.</w:t>
        </w:r>
        <w:r w:rsidR="009C32E7" w:rsidRPr="00AD70DE">
          <w:rPr>
            <w:rFonts w:asciiTheme="minorHAnsi" w:eastAsiaTheme="minorEastAsia" w:hAnsiTheme="minorHAnsi" w:cstheme="minorBidi"/>
            <w:noProof/>
            <w:lang w:eastAsia="de-DE"/>
          </w:rPr>
          <w:tab/>
        </w:r>
        <w:r w:rsidR="009C32E7" w:rsidRPr="00AD70DE">
          <w:rPr>
            <w:rStyle w:val="Hyperlink"/>
            <w:noProof/>
          </w:rPr>
          <w:t>Pantoprazole</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_Toc37243455 \h </w:instrText>
        </w:r>
        <w:r w:rsidR="009C32E7" w:rsidRPr="00AD70DE">
          <w:rPr>
            <w:noProof/>
            <w:webHidden/>
          </w:rPr>
        </w:r>
        <w:r w:rsidR="009C32E7" w:rsidRPr="00AD70DE">
          <w:rPr>
            <w:noProof/>
            <w:webHidden/>
          </w:rPr>
          <w:fldChar w:fldCharType="separate"/>
        </w:r>
        <w:r w:rsidR="000B6E0A">
          <w:rPr>
            <w:noProof/>
            <w:webHidden/>
          </w:rPr>
          <w:t>33</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6" w:history="1">
        <w:r w:rsidR="009C32E7" w:rsidRPr="00AD70DE">
          <w:rPr>
            <w:rStyle w:val="Hyperlink"/>
            <w:noProof/>
          </w:rPr>
          <w:t>9.2.1.</w:t>
        </w:r>
        <w:r w:rsidR="009C32E7" w:rsidRPr="00AD70DE">
          <w:rPr>
            <w:rFonts w:asciiTheme="minorHAnsi" w:eastAsiaTheme="minorEastAsia" w:hAnsiTheme="minorHAnsi" w:cstheme="minorBidi"/>
            <w:noProof/>
            <w:lang w:eastAsia="de-DE"/>
          </w:rPr>
          <w:tab/>
        </w:r>
        <w:r w:rsidR="009C32E7" w:rsidRPr="00AD70DE">
          <w:rPr>
            <w:rStyle w:val="Hyperlink"/>
            <w:noProof/>
          </w:rPr>
          <w:t>Pharmacological properties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_Toc37243456 \h </w:instrText>
        </w:r>
        <w:r w:rsidR="009C32E7" w:rsidRPr="00AD70DE">
          <w:rPr>
            <w:noProof/>
            <w:webHidden/>
          </w:rPr>
        </w:r>
        <w:r w:rsidR="009C32E7" w:rsidRPr="00AD70DE">
          <w:rPr>
            <w:noProof/>
            <w:webHidden/>
          </w:rPr>
          <w:fldChar w:fldCharType="separate"/>
        </w:r>
        <w:r w:rsidR="000B6E0A">
          <w:rPr>
            <w:noProof/>
            <w:webHidden/>
          </w:rPr>
          <w:t>34</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7" w:history="1">
        <w:r w:rsidR="009C32E7" w:rsidRPr="00AD70DE">
          <w:rPr>
            <w:rStyle w:val="Hyperlink"/>
            <w:noProof/>
          </w:rPr>
          <w:t>9.2.2.</w:t>
        </w:r>
        <w:r w:rsidR="009C32E7" w:rsidRPr="00AD70DE">
          <w:rPr>
            <w:rFonts w:asciiTheme="minorHAnsi" w:eastAsiaTheme="minorEastAsia" w:hAnsiTheme="minorHAnsi" w:cstheme="minorBidi"/>
            <w:noProof/>
            <w:lang w:eastAsia="de-DE"/>
          </w:rPr>
          <w:tab/>
        </w:r>
        <w:r w:rsidR="009C32E7" w:rsidRPr="00AD70DE">
          <w:rPr>
            <w:rStyle w:val="Hyperlink"/>
            <w:noProof/>
          </w:rPr>
          <w:t>Packaging, labelling, and supply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_Toc37243457 \h </w:instrText>
        </w:r>
        <w:r w:rsidR="009C32E7" w:rsidRPr="00AD70DE">
          <w:rPr>
            <w:noProof/>
            <w:webHidden/>
          </w:rPr>
        </w:r>
        <w:r w:rsidR="009C32E7" w:rsidRPr="00AD70DE">
          <w:rPr>
            <w:noProof/>
            <w:webHidden/>
          </w:rPr>
          <w:fldChar w:fldCharType="separate"/>
        </w:r>
        <w:r w:rsidR="000B6E0A">
          <w:rPr>
            <w:noProof/>
            <w:webHidden/>
          </w:rPr>
          <w:t>34</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8" w:history="1">
        <w:r w:rsidR="009C32E7" w:rsidRPr="00AD70DE">
          <w:rPr>
            <w:rStyle w:val="Hyperlink"/>
            <w:noProof/>
          </w:rPr>
          <w:t>9.2.3.</w:t>
        </w:r>
        <w:r w:rsidR="009C32E7" w:rsidRPr="00AD70DE">
          <w:rPr>
            <w:rFonts w:asciiTheme="minorHAnsi" w:eastAsiaTheme="minorEastAsia" w:hAnsiTheme="minorHAnsi" w:cstheme="minorBidi"/>
            <w:noProof/>
            <w:lang w:eastAsia="de-DE"/>
          </w:rPr>
          <w:tab/>
        </w:r>
        <w:r w:rsidR="009C32E7" w:rsidRPr="00AD70DE">
          <w:rPr>
            <w:rStyle w:val="Hyperlink"/>
            <w:noProof/>
          </w:rPr>
          <w:t>Administration of trial medication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_Toc37243458 \h </w:instrText>
        </w:r>
        <w:r w:rsidR="009C32E7" w:rsidRPr="00AD70DE">
          <w:rPr>
            <w:noProof/>
            <w:webHidden/>
          </w:rPr>
        </w:r>
        <w:r w:rsidR="009C32E7" w:rsidRPr="00AD70DE">
          <w:rPr>
            <w:noProof/>
            <w:webHidden/>
          </w:rPr>
          <w:fldChar w:fldCharType="separate"/>
        </w:r>
        <w:r w:rsidR="000B6E0A">
          <w:rPr>
            <w:noProof/>
            <w:webHidden/>
          </w:rPr>
          <w:t>34</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59" w:history="1">
        <w:r w:rsidR="009C32E7" w:rsidRPr="00AD70DE">
          <w:rPr>
            <w:rStyle w:val="Hyperlink"/>
            <w:noProof/>
          </w:rPr>
          <w:t>9.2.4.</w:t>
        </w:r>
        <w:r w:rsidR="009C32E7" w:rsidRPr="00AD70DE">
          <w:rPr>
            <w:rFonts w:asciiTheme="minorHAnsi" w:eastAsiaTheme="minorEastAsia" w:hAnsiTheme="minorHAnsi" w:cstheme="minorBidi"/>
            <w:noProof/>
            <w:lang w:eastAsia="de-DE"/>
          </w:rPr>
          <w:tab/>
        </w:r>
        <w:r w:rsidR="009C32E7" w:rsidRPr="00AD70DE">
          <w:rPr>
            <w:rStyle w:val="Hyperlink"/>
            <w:noProof/>
          </w:rPr>
          <w:t>Adherence and drug accountability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_Toc37243459 \h </w:instrText>
        </w:r>
        <w:r w:rsidR="009C32E7" w:rsidRPr="00AD70DE">
          <w:rPr>
            <w:noProof/>
            <w:webHidden/>
          </w:rPr>
        </w:r>
        <w:r w:rsidR="009C32E7" w:rsidRPr="00AD70DE">
          <w:rPr>
            <w:noProof/>
            <w:webHidden/>
          </w:rPr>
          <w:fldChar w:fldCharType="separate"/>
        </w:r>
        <w:r w:rsidR="000B6E0A">
          <w:rPr>
            <w:noProof/>
            <w:webHidden/>
          </w:rPr>
          <w:t>34</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60" w:history="1">
        <w:r w:rsidR="009C32E7" w:rsidRPr="00AD70DE">
          <w:rPr>
            <w:rStyle w:val="Hyperlink"/>
            <w:noProof/>
          </w:rPr>
          <w:t>9.2.5.</w:t>
        </w:r>
        <w:r w:rsidR="009C32E7" w:rsidRPr="00AD70DE">
          <w:rPr>
            <w:rFonts w:asciiTheme="minorHAnsi" w:eastAsiaTheme="minorEastAsia" w:hAnsiTheme="minorHAnsi" w:cstheme="minorBidi"/>
            <w:noProof/>
            <w:lang w:eastAsia="de-DE"/>
          </w:rPr>
          <w:tab/>
        </w:r>
        <w:r w:rsidR="009C32E7" w:rsidRPr="00AD70DE">
          <w:rPr>
            <w:rStyle w:val="Hyperlink"/>
            <w:noProof/>
          </w:rPr>
          <w:t>Safety and tolerability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_Toc37243460 \h </w:instrText>
        </w:r>
        <w:r w:rsidR="009C32E7" w:rsidRPr="00AD70DE">
          <w:rPr>
            <w:noProof/>
            <w:webHidden/>
          </w:rPr>
        </w:r>
        <w:r w:rsidR="009C32E7" w:rsidRPr="00AD70DE">
          <w:rPr>
            <w:noProof/>
            <w:webHidden/>
          </w:rPr>
          <w:fldChar w:fldCharType="separate"/>
        </w:r>
        <w:r w:rsidR="000B6E0A">
          <w:rPr>
            <w:noProof/>
            <w:webHidden/>
          </w:rPr>
          <w:t>35</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61" w:history="1">
        <w:r w:rsidR="009C32E7" w:rsidRPr="00AD70DE">
          <w:rPr>
            <w:rStyle w:val="Hyperlink"/>
            <w:noProof/>
          </w:rPr>
          <w:t>9.2.6.</w:t>
        </w:r>
        <w:r w:rsidR="009C32E7" w:rsidRPr="00AD70DE">
          <w:rPr>
            <w:rFonts w:asciiTheme="minorHAnsi" w:eastAsiaTheme="minorEastAsia" w:hAnsiTheme="minorHAnsi" w:cstheme="minorBidi"/>
            <w:noProof/>
            <w:lang w:eastAsia="de-DE"/>
          </w:rPr>
          <w:tab/>
        </w:r>
        <w:r w:rsidR="009C32E7" w:rsidRPr="00AD70DE">
          <w:rPr>
            <w:rStyle w:val="Hyperlink"/>
            <w:noProof/>
          </w:rPr>
          <w:t>Contraindications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_Toc37243461 \h </w:instrText>
        </w:r>
        <w:r w:rsidR="009C32E7" w:rsidRPr="00AD70DE">
          <w:rPr>
            <w:noProof/>
            <w:webHidden/>
          </w:rPr>
        </w:r>
        <w:r w:rsidR="009C32E7" w:rsidRPr="00AD70DE">
          <w:rPr>
            <w:noProof/>
            <w:webHidden/>
          </w:rPr>
          <w:fldChar w:fldCharType="separate"/>
        </w:r>
        <w:r w:rsidR="000B6E0A">
          <w:rPr>
            <w:noProof/>
            <w:webHidden/>
          </w:rPr>
          <w:t>36</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62"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9.3.</w:t>
        </w:r>
        <w:r w:rsidR="009C32E7" w:rsidRPr="00AD70DE">
          <w:rPr>
            <w:rFonts w:asciiTheme="minorHAnsi" w:eastAsiaTheme="minorEastAsia" w:hAnsiTheme="minorHAnsi" w:cstheme="minorBidi"/>
            <w:noProof/>
            <w:lang w:eastAsia="de-DE"/>
          </w:rPr>
          <w:tab/>
        </w:r>
        <w:r w:rsidR="009C32E7" w:rsidRPr="00AD70DE">
          <w:rPr>
            <w:rStyle w:val="Hyperlink"/>
            <w:noProof/>
          </w:rPr>
          <w:t>Midazolam</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_Toc37243462 \h </w:instrText>
        </w:r>
        <w:r w:rsidR="009C32E7" w:rsidRPr="00AD70DE">
          <w:rPr>
            <w:noProof/>
            <w:webHidden/>
          </w:rPr>
        </w:r>
        <w:r w:rsidR="009C32E7" w:rsidRPr="00AD70DE">
          <w:rPr>
            <w:noProof/>
            <w:webHidden/>
          </w:rPr>
          <w:fldChar w:fldCharType="separate"/>
        </w:r>
        <w:r w:rsidR="000B6E0A">
          <w:rPr>
            <w:noProof/>
            <w:webHidden/>
          </w:rPr>
          <w:t>36</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63" w:history="1">
        <w:r w:rsidR="009C32E7" w:rsidRPr="00AD70DE">
          <w:rPr>
            <w:rStyle w:val="Hyperlink"/>
            <w:noProof/>
          </w:rPr>
          <w:t>9.3.1.</w:t>
        </w:r>
        <w:r w:rsidR="009C32E7" w:rsidRPr="00AD70DE">
          <w:rPr>
            <w:rFonts w:asciiTheme="minorHAnsi" w:eastAsiaTheme="minorEastAsia" w:hAnsiTheme="minorHAnsi" w:cstheme="minorBidi"/>
            <w:noProof/>
            <w:lang w:eastAsia="de-DE"/>
          </w:rPr>
          <w:tab/>
        </w:r>
        <w:r w:rsidR="009C32E7" w:rsidRPr="00AD70DE">
          <w:rPr>
            <w:rStyle w:val="Hyperlink"/>
            <w:noProof/>
          </w:rPr>
          <w:t>Pharmacological properties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_Toc37243463 \h </w:instrText>
        </w:r>
        <w:r w:rsidR="009C32E7" w:rsidRPr="00AD70DE">
          <w:rPr>
            <w:noProof/>
            <w:webHidden/>
          </w:rPr>
        </w:r>
        <w:r w:rsidR="009C32E7" w:rsidRPr="00AD70DE">
          <w:rPr>
            <w:noProof/>
            <w:webHidden/>
          </w:rPr>
          <w:fldChar w:fldCharType="separate"/>
        </w:r>
        <w:r w:rsidR="000B6E0A">
          <w:rPr>
            <w:noProof/>
            <w:webHidden/>
          </w:rPr>
          <w:t>36</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64" w:history="1">
        <w:r w:rsidR="009C32E7" w:rsidRPr="00AD70DE">
          <w:rPr>
            <w:rStyle w:val="Hyperlink"/>
            <w:noProof/>
          </w:rPr>
          <w:t>9.3.2.</w:t>
        </w:r>
        <w:r w:rsidR="009C32E7" w:rsidRPr="00AD70DE">
          <w:rPr>
            <w:rFonts w:asciiTheme="minorHAnsi" w:eastAsiaTheme="minorEastAsia" w:hAnsiTheme="minorHAnsi" w:cstheme="minorBidi"/>
            <w:noProof/>
            <w:lang w:eastAsia="de-DE"/>
          </w:rPr>
          <w:tab/>
        </w:r>
        <w:r w:rsidR="009C32E7" w:rsidRPr="00AD70DE">
          <w:rPr>
            <w:rStyle w:val="Hyperlink"/>
            <w:noProof/>
          </w:rPr>
          <w:t>Packaging, labelling, and supply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_Toc37243464 \h </w:instrText>
        </w:r>
        <w:r w:rsidR="009C32E7" w:rsidRPr="00AD70DE">
          <w:rPr>
            <w:noProof/>
            <w:webHidden/>
          </w:rPr>
        </w:r>
        <w:r w:rsidR="009C32E7" w:rsidRPr="00AD70DE">
          <w:rPr>
            <w:noProof/>
            <w:webHidden/>
          </w:rPr>
          <w:fldChar w:fldCharType="separate"/>
        </w:r>
        <w:r w:rsidR="000B6E0A">
          <w:rPr>
            <w:noProof/>
            <w:webHidden/>
          </w:rPr>
          <w:t>37</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65" w:history="1">
        <w:r w:rsidR="009C32E7" w:rsidRPr="00AD70DE">
          <w:rPr>
            <w:rStyle w:val="Hyperlink"/>
            <w:noProof/>
          </w:rPr>
          <w:t>9.3.3.</w:t>
        </w:r>
        <w:r w:rsidR="009C32E7" w:rsidRPr="00AD70DE">
          <w:rPr>
            <w:rFonts w:asciiTheme="minorHAnsi" w:eastAsiaTheme="minorEastAsia" w:hAnsiTheme="minorHAnsi" w:cstheme="minorBidi"/>
            <w:noProof/>
            <w:lang w:eastAsia="de-DE"/>
          </w:rPr>
          <w:tab/>
        </w:r>
        <w:r w:rsidR="009C32E7" w:rsidRPr="00AD70DE">
          <w:rPr>
            <w:rStyle w:val="Hyperlink"/>
            <w:noProof/>
          </w:rPr>
          <w:t>Administration of trial medication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_Toc37243465 \h </w:instrText>
        </w:r>
        <w:r w:rsidR="009C32E7" w:rsidRPr="00AD70DE">
          <w:rPr>
            <w:noProof/>
            <w:webHidden/>
          </w:rPr>
        </w:r>
        <w:r w:rsidR="009C32E7" w:rsidRPr="00AD70DE">
          <w:rPr>
            <w:noProof/>
            <w:webHidden/>
          </w:rPr>
          <w:fldChar w:fldCharType="separate"/>
        </w:r>
        <w:r w:rsidR="000B6E0A">
          <w:rPr>
            <w:noProof/>
            <w:webHidden/>
          </w:rPr>
          <w:t>37</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66" w:history="1">
        <w:r w:rsidR="009C32E7" w:rsidRPr="00AD70DE">
          <w:rPr>
            <w:rStyle w:val="Hyperlink"/>
            <w:noProof/>
          </w:rPr>
          <w:t>9.3.4.</w:t>
        </w:r>
        <w:r w:rsidR="009C32E7" w:rsidRPr="00AD70DE">
          <w:rPr>
            <w:rFonts w:asciiTheme="minorHAnsi" w:eastAsiaTheme="minorEastAsia" w:hAnsiTheme="minorHAnsi" w:cstheme="minorBidi"/>
            <w:noProof/>
            <w:lang w:eastAsia="de-DE"/>
          </w:rPr>
          <w:tab/>
        </w:r>
        <w:r w:rsidR="009C32E7" w:rsidRPr="00AD70DE">
          <w:rPr>
            <w:rStyle w:val="Hyperlink"/>
            <w:noProof/>
          </w:rPr>
          <w:t>Adherence and drug accountability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_Toc37243466 \h </w:instrText>
        </w:r>
        <w:r w:rsidR="009C32E7" w:rsidRPr="00AD70DE">
          <w:rPr>
            <w:noProof/>
            <w:webHidden/>
          </w:rPr>
        </w:r>
        <w:r w:rsidR="009C32E7" w:rsidRPr="00AD70DE">
          <w:rPr>
            <w:noProof/>
            <w:webHidden/>
          </w:rPr>
          <w:fldChar w:fldCharType="separate"/>
        </w:r>
        <w:r w:rsidR="000B6E0A">
          <w:rPr>
            <w:noProof/>
            <w:webHidden/>
          </w:rPr>
          <w:t>37</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67" w:history="1">
        <w:r w:rsidR="009C32E7" w:rsidRPr="00AD70DE">
          <w:rPr>
            <w:rStyle w:val="Hyperlink"/>
            <w:noProof/>
          </w:rPr>
          <w:t>9.3.5.</w:t>
        </w:r>
        <w:r w:rsidR="009C32E7" w:rsidRPr="00AD70DE">
          <w:rPr>
            <w:rFonts w:asciiTheme="minorHAnsi" w:eastAsiaTheme="minorEastAsia" w:hAnsiTheme="minorHAnsi" w:cstheme="minorBidi"/>
            <w:noProof/>
            <w:lang w:eastAsia="de-DE"/>
          </w:rPr>
          <w:tab/>
        </w:r>
        <w:r w:rsidR="009C32E7" w:rsidRPr="00AD70DE">
          <w:rPr>
            <w:rStyle w:val="Hyperlink"/>
            <w:noProof/>
          </w:rPr>
          <w:t>Safety and tolerability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_Toc37243467 \h </w:instrText>
        </w:r>
        <w:r w:rsidR="009C32E7" w:rsidRPr="00AD70DE">
          <w:rPr>
            <w:noProof/>
            <w:webHidden/>
          </w:rPr>
        </w:r>
        <w:r w:rsidR="009C32E7" w:rsidRPr="00AD70DE">
          <w:rPr>
            <w:noProof/>
            <w:webHidden/>
          </w:rPr>
          <w:fldChar w:fldCharType="separate"/>
        </w:r>
        <w:r w:rsidR="000B6E0A">
          <w:rPr>
            <w:noProof/>
            <w:webHidden/>
          </w:rPr>
          <w:t>37</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68" w:history="1">
        <w:r w:rsidR="009C32E7" w:rsidRPr="00AD70DE">
          <w:rPr>
            <w:rStyle w:val="Hyperlink"/>
            <w:noProof/>
          </w:rPr>
          <w:t>9.3.6.</w:t>
        </w:r>
        <w:r w:rsidR="009C32E7" w:rsidRPr="00AD70DE">
          <w:rPr>
            <w:rFonts w:asciiTheme="minorHAnsi" w:eastAsiaTheme="minorEastAsia" w:hAnsiTheme="minorHAnsi" w:cstheme="minorBidi"/>
            <w:noProof/>
            <w:lang w:eastAsia="de-DE"/>
          </w:rPr>
          <w:tab/>
        </w:r>
        <w:r w:rsidR="009C32E7" w:rsidRPr="00AD70DE">
          <w:rPr>
            <w:rStyle w:val="Hyperlink"/>
            <w:noProof/>
          </w:rPr>
          <w:t>Contraindications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_Toc37243468 \h </w:instrText>
        </w:r>
        <w:r w:rsidR="009C32E7" w:rsidRPr="00AD70DE">
          <w:rPr>
            <w:noProof/>
            <w:webHidden/>
          </w:rPr>
        </w:r>
        <w:r w:rsidR="009C32E7" w:rsidRPr="00AD70DE">
          <w:rPr>
            <w:noProof/>
            <w:webHidden/>
          </w:rPr>
          <w:fldChar w:fldCharType="separate"/>
        </w:r>
        <w:r w:rsidR="000B6E0A">
          <w:rPr>
            <w:noProof/>
            <w:webHidden/>
          </w:rPr>
          <w:t>38</w:t>
        </w:r>
        <w:r w:rsidR="009C32E7" w:rsidRPr="00AD70DE">
          <w:rPr>
            <w:noProof/>
            <w:webHidden/>
          </w:rPr>
          <w:fldChar w:fldCharType="end"/>
        </w:r>
      </w:hyperlink>
    </w:p>
    <w:p w:rsidR="009C32E7" w:rsidRPr="00AD70DE" w:rsidRDefault="007645B8" w:rsidP="00AD70DE">
      <w:pPr>
        <w:pStyle w:val="Verzeichnis2"/>
        <w:tabs>
          <w:tab w:val="left" w:pos="880"/>
          <w:tab w:val="right" w:leader="dot" w:pos="9063"/>
        </w:tabs>
        <w:rPr>
          <w:rFonts w:asciiTheme="minorHAnsi" w:eastAsiaTheme="minorEastAsia" w:hAnsiTheme="minorHAnsi" w:cstheme="minorBidi"/>
          <w:noProof/>
          <w:lang w:eastAsia="de-DE"/>
        </w:rPr>
      </w:pPr>
      <w:hyperlink w:anchor="_Toc37243469"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9.4.</w:t>
        </w:r>
        <w:r w:rsidR="009C32E7" w:rsidRPr="00AD70DE">
          <w:rPr>
            <w:rFonts w:asciiTheme="minorHAnsi" w:eastAsiaTheme="minorEastAsia" w:hAnsiTheme="minorHAnsi" w:cstheme="minorBidi"/>
            <w:noProof/>
            <w:lang w:eastAsia="de-DE"/>
          </w:rPr>
          <w:tab/>
        </w:r>
        <w:r w:rsidR="009C32E7" w:rsidRPr="00AD70DE">
          <w:rPr>
            <w:rStyle w:val="Hyperlink"/>
            <w:noProof/>
          </w:rPr>
          <w:t>Yohimbine</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_Toc37243469 \h </w:instrText>
        </w:r>
        <w:r w:rsidR="009C32E7" w:rsidRPr="00AD70DE">
          <w:rPr>
            <w:noProof/>
            <w:webHidden/>
          </w:rPr>
        </w:r>
        <w:r w:rsidR="009C32E7" w:rsidRPr="00AD70DE">
          <w:rPr>
            <w:noProof/>
            <w:webHidden/>
          </w:rPr>
          <w:fldChar w:fldCharType="separate"/>
        </w:r>
        <w:r w:rsidR="000B6E0A">
          <w:rPr>
            <w:noProof/>
            <w:webHidden/>
          </w:rPr>
          <w:t>39</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70" w:history="1">
        <w:r w:rsidR="009C32E7" w:rsidRPr="00AD70DE">
          <w:rPr>
            <w:rStyle w:val="Hyperlink"/>
            <w:noProof/>
          </w:rPr>
          <w:t>9.4.1.</w:t>
        </w:r>
        <w:r w:rsidR="009C32E7" w:rsidRPr="00AD70DE">
          <w:rPr>
            <w:rFonts w:asciiTheme="minorHAnsi" w:eastAsiaTheme="minorEastAsia" w:hAnsiTheme="minorHAnsi" w:cstheme="minorBidi"/>
            <w:noProof/>
            <w:lang w:eastAsia="de-DE"/>
          </w:rPr>
          <w:tab/>
        </w:r>
        <w:r w:rsidR="009C32E7" w:rsidRPr="00AD70DE">
          <w:rPr>
            <w:rStyle w:val="Hyperlink"/>
            <w:noProof/>
          </w:rPr>
          <w:t>Pharmacological properties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_Toc37243470 \h </w:instrText>
        </w:r>
        <w:r w:rsidR="009C32E7" w:rsidRPr="00AD70DE">
          <w:rPr>
            <w:noProof/>
            <w:webHidden/>
          </w:rPr>
        </w:r>
        <w:r w:rsidR="009C32E7" w:rsidRPr="00AD70DE">
          <w:rPr>
            <w:noProof/>
            <w:webHidden/>
          </w:rPr>
          <w:fldChar w:fldCharType="separate"/>
        </w:r>
        <w:r w:rsidR="000B6E0A">
          <w:rPr>
            <w:noProof/>
            <w:webHidden/>
          </w:rPr>
          <w:t>39</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71" w:history="1">
        <w:r w:rsidR="009C32E7" w:rsidRPr="00AD70DE">
          <w:rPr>
            <w:rStyle w:val="Hyperlink"/>
            <w:noProof/>
          </w:rPr>
          <w:t>9.4.2.</w:t>
        </w:r>
        <w:r w:rsidR="009C32E7" w:rsidRPr="00AD70DE">
          <w:rPr>
            <w:rFonts w:asciiTheme="minorHAnsi" w:eastAsiaTheme="minorEastAsia" w:hAnsiTheme="minorHAnsi" w:cstheme="minorBidi"/>
            <w:noProof/>
            <w:lang w:eastAsia="de-DE"/>
          </w:rPr>
          <w:tab/>
        </w:r>
        <w:r w:rsidR="009C32E7" w:rsidRPr="00AD70DE">
          <w:rPr>
            <w:rStyle w:val="Hyperlink"/>
            <w:noProof/>
          </w:rPr>
          <w:t>Packaging, labelling, and supply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_Toc37243471 \h </w:instrText>
        </w:r>
        <w:r w:rsidR="009C32E7" w:rsidRPr="00AD70DE">
          <w:rPr>
            <w:noProof/>
            <w:webHidden/>
          </w:rPr>
        </w:r>
        <w:r w:rsidR="009C32E7" w:rsidRPr="00AD70DE">
          <w:rPr>
            <w:noProof/>
            <w:webHidden/>
          </w:rPr>
          <w:fldChar w:fldCharType="separate"/>
        </w:r>
        <w:r w:rsidR="000B6E0A">
          <w:rPr>
            <w:noProof/>
            <w:webHidden/>
          </w:rPr>
          <w:t>39</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72" w:history="1">
        <w:r w:rsidR="009C32E7" w:rsidRPr="00AD70DE">
          <w:rPr>
            <w:rStyle w:val="Hyperlink"/>
            <w:noProof/>
          </w:rPr>
          <w:t>9.4.3.</w:t>
        </w:r>
        <w:r w:rsidR="009C32E7" w:rsidRPr="00AD70DE">
          <w:rPr>
            <w:rFonts w:asciiTheme="minorHAnsi" w:eastAsiaTheme="minorEastAsia" w:hAnsiTheme="minorHAnsi" w:cstheme="minorBidi"/>
            <w:noProof/>
            <w:lang w:eastAsia="de-DE"/>
          </w:rPr>
          <w:tab/>
        </w:r>
        <w:r w:rsidR="009C32E7" w:rsidRPr="00AD70DE">
          <w:rPr>
            <w:rStyle w:val="Hyperlink"/>
            <w:noProof/>
          </w:rPr>
          <w:t>Administration of trial medication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_Toc37243472 \h </w:instrText>
        </w:r>
        <w:r w:rsidR="009C32E7" w:rsidRPr="00AD70DE">
          <w:rPr>
            <w:noProof/>
            <w:webHidden/>
          </w:rPr>
        </w:r>
        <w:r w:rsidR="009C32E7" w:rsidRPr="00AD70DE">
          <w:rPr>
            <w:noProof/>
            <w:webHidden/>
          </w:rPr>
          <w:fldChar w:fldCharType="separate"/>
        </w:r>
        <w:r w:rsidR="000B6E0A">
          <w:rPr>
            <w:noProof/>
            <w:webHidden/>
          </w:rPr>
          <w:t>39</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73" w:history="1">
        <w:r w:rsidR="009C32E7" w:rsidRPr="00AD70DE">
          <w:rPr>
            <w:rStyle w:val="Hyperlink"/>
            <w:noProof/>
          </w:rPr>
          <w:t>9.4.4.</w:t>
        </w:r>
        <w:r w:rsidR="009C32E7" w:rsidRPr="00AD70DE">
          <w:rPr>
            <w:rFonts w:asciiTheme="minorHAnsi" w:eastAsiaTheme="minorEastAsia" w:hAnsiTheme="minorHAnsi" w:cstheme="minorBidi"/>
            <w:noProof/>
            <w:lang w:eastAsia="de-DE"/>
          </w:rPr>
          <w:tab/>
        </w:r>
        <w:r w:rsidR="009C32E7" w:rsidRPr="00AD70DE">
          <w:rPr>
            <w:rStyle w:val="Hyperlink"/>
            <w:noProof/>
          </w:rPr>
          <w:t>Adherence and drug accountability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_Toc37243473 \h </w:instrText>
        </w:r>
        <w:r w:rsidR="009C32E7" w:rsidRPr="00AD70DE">
          <w:rPr>
            <w:noProof/>
            <w:webHidden/>
          </w:rPr>
        </w:r>
        <w:r w:rsidR="009C32E7" w:rsidRPr="00AD70DE">
          <w:rPr>
            <w:noProof/>
            <w:webHidden/>
          </w:rPr>
          <w:fldChar w:fldCharType="separate"/>
        </w:r>
        <w:r w:rsidR="000B6E0A">
          <w:rPr>
            <w:noProof/>
            <w:webHidden/>
          </w:rPr>
          <w:t>40</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74" w:history="1">
        <w:r w:rsidR="009C32E7" w:rsidRPr="00AD70DE">
          <w:rPr>
            <w:rStyle w:val="Hyperlink"/>
            <w:noProof/>
          </w:rPr>
          <w:t>9.4.5.</w:t>
        </w:r>
        <w:r w:rsidR="009C32E7" w:rsidRPr="00AD70DE">
          <w:rPr>
            <w:rFonts w:asciiTheme="minorHAnsi" w:eastAsiaTheme="minorEastAsia" w:hAnsiTheme="minorHAnsi" w:cstheme="minorBidi"/>
            <w:noProof/>
            <w:lang w:eastAsia="de-DE"/>
          </w:rPr>
          <w:tab/>
        </w:r>
        <w:r w:rsidR="009C32E7" w:rsidRPr="00AD70DE">
          <w:rPr>
            <w:rStyle w:val="Hyperlink"/>
            <w:noProof/>
          </w:rPr>
          <w:t>Safety and tolerability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_Toc37243474 \h </w:instrText>
        </w:r>
        <w:r w:rsidR="009C32E7" w:rsidRPr="00AD70DE">
          <w:rPr>
            <w:noProof/>
            <w:webHidden/>
          </w:rPr>
        </w:r>
        <w:r w:rsidR="009C32E7" w:rsidRPr="00AD70DE">
          <w:rPr>
            <w:noProof/>
            <w:webHidden/>
          </w:rPr>
          <w:fldChar w:fldCharType="separate"/>
        </w:r>
        <w:r w:rsidR="000B6E0A">
          <w:rPr>
            <w:noProof/>
            <w:webHidden/>
          </w:rPr>
          <w:t>40</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75" w:history="1">
        <w:r w:rsidR="009C32E7" w:rsidRPr="00AD70DE">
          <w:rPr>
            <w:rStyle w:val="Hyperlink"/>
            <w:noProof/>
          </w:rPr>
          <w:t>9.4.6.</w:t>
        </w:r>
        <w:r w:rsidR="009C32E7" w:rsidRPr="00AD70DE">
          <w:rPr>
            <w:rFonts w:asciiTheme="minorHAnsi" w:eastAsiaTheme="minorEastAsia" w:hAnsiTheme="minorHAnsi" w:cstheme="minorBidi"/>
            <w:noProof/>
            <w:lang w:eastAsia="de-DE"/>
          </w:rPr>
          <w:tab/>
        </w:r>
        <w:r w:rsidR="009C32E7" w:rsidRPr="00AD70DE">
          <w:rPr>
            <w:rStyle w:val="Hyperlink"/>
            <w:noProof/>
          </w:rPr>
          <w:t>Contraindications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_Toc37243475 \h </w:instrText>
        </w:r>
        <w:r w:rsidR="009C32E7" w:rsidRPr="00AD70DE">
          <w:rPr>
            <w:noProof/>
            <w:webHidden/>
          </w:rPr>
        </w:r>
        <w:r w:rsidR="009C32E7" w:rsidRPr="00AD70DE">
          <w:rPr>
            <w:noProof/>
            <w:webHidden/>
          </w:rPr>
          <w:fldChar w:fldCharType="separate"/>
        </w:r>
        <w:r w:rsidR="000B6E0A">
          <w:rPr>
            <w:noProof/>
            <w:webHidden/>
          </w:rPr>
          <w:t>40</w:t>
        </w:r>
        <w:r w:rsidR="009C32E7" w:rsidRPr="00AD70DE">
          <w:rPr>
            <w:noProof/>
            <w:webHidden/>
          </w:rPr>
          <w:fldChar w:fldCharType="end"/>
        </w:r>
      </w:hyperlink>
    </w:p>
    <w:p w:rsidR="009C32E7" w:rsidRPr="00AD70DE" w:rsidRDefault="007645B8" w:rsidP="00AD70DE">
      <w:pPr>
        <w:pStyle w:val="Verzeichnis1"/>
        <w:tabs>
          <w:tab w:val="left" w:pos="660"/>
          <w:tab w:val="right" w:leader="dot" w:pos="9063"/>
        </w:tabs>
        <w:rPr>
          <w:rFonts w:asciiTheme="minorHAnsi" w:eastAsiaTheme="minorEastAsia" w:hAnsiTheme="minorHAnsi" w:cstheme="minorBidi"/>
          <w:noProof/>
          <w:lang w:eastAsia="de-DE"/>
        </w:rPr>
      </w:pPr>
      <w:hyperlink w:anchor="_Toc37243476" w:history="1">
        <w:r w:rsidR="009C32E7" w:rsidRPr="00AD70DE">
          <w:rPr>
            <w:rStyle w:val="Hyperlink"/>
            <w:noProof/>
          </w:rPr>
          <w:t>10.</w:t>
        </w:r>
        <w:r w:rsidR="009C32E7" w:rsidRPr="00AD70DE">
          <w:rPr>
            <w:rFonts w:asciiTheme="minorHAnsi" w:eastAsiaTheme="minorEastAsia" w:hAnsiTheme="minorHAnsi" w:cstheme="minorBidi"/>
            <w:noProof/>
            <w:lang w:eastAsia="de-DE"/>
          </w:rPr>
          <w:tab/>
        </w:r>
        <w:r w:rsidR="009C32E7" w:rsidRPr="00AD70DE">
          <w:rPr>
            <w:rStyle w:val="Hyperlink"/>
            <w:noProof/>
          </w:rPr>
          <w:t>Assignment of participant codes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_Toc37243476 \h </w:instrText>
        </w:r>
        <w:r w:rsidR="009C32E7" w:rsidRPr="00AD70DE">
          <w:rPr>
            <w:noProof/>
            <w:webHidden/>
          </w:rPr>
        </w:r>
        <w:r w:rsidR="009C32E7" w:rsidRPr="00AD70DE">
          <w:rPr>
            <w:noProof/>
            <w:webHidden/>
          </w:rPr>
          <w:fldChar w:fldCharType="separate"/>
        </w:r>
        <w:r w:rsidR="000B6E0A">
          <w:rPr>
            <w:noProof/>
            <w:webHidden/>
          </w:rPr>
          <w:t>41</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77"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10.1.</w:t>
        </w:r>
        <w:r w:rsidR="009C32E7" w:rsidRPr="00AD70DE">
          <w:rPr>
            <w:rFonts w:asciiTheme="minorHAnsi" w:eastAsiaTheme="minorEastAsia" w:hAnsiTheme="minorHAnsi" w:cstheme="minorBidi"/>
            <w:noProof/>
            <w:lang w:eastAsia="de-DE"/>
          </w:rPr>
          <w:tab/>
        </w:r>
        <w:r w:rsidR="009C32E7" w:rsidRPr="00AD70DE">
          <w:rPr>
            <w:rStyle w:val="Hyperlink"/>
            <w:noProof/>
          </w:rPr>
          <w:t>Blinding and unblinding</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_Toc37243477 \h </w:instrText>
        </w:r>
        <w:r w:rsidR="009C32E7" w:rsidRPr="00AD70DE">
          <w:rPr>
            <w:noProof/>
            <w:webHidden/>
          </w:rPr>
        </w:r>
        <w:r w:rsidR="009C32E7" w:rsidRPr="00AD70DE">
          <w:rPr>
            <w:noProof/>
            <w:webHidden/>
          </w:rPr>
          <w:fldChar w:fldCharType="separate"/>
        </w:r>
        <w:r w:rsidR="000B6E0A">
          <w:rPr>
            <w:noProof/>
            <w:webHidden/>
          </w:rPr>
          <w:t>41</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78"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10.2.</w:t>
        </w:r>
        <w:r w:rsidR="009C32E7" w:rsidRPr="00AD70DE">
          <w:rPr>
            <w:rFonts w:asciiTheme="minorHAnsi" w:eastAsiaTheme="minorEastAsia" w:hAnsiTheme="minorHAnsi" w:cstheme="minorBidi"/>
            <w:noProof/>
            <w:lang w:eastAsia="de-DE"/>
          </w:rPr>
          <w:tab/>
        </w:r>
        <w:r w:rsidR="009C32E7" w:rsidRPr="00AD70DE">
          <w:rPr>
            <w:rStyle w:val="Hyperlink"/>
            <w:noProof/>
          </w:rPr>
          <w:t>Randomization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_Toc37243478 \h </w:instrText>
        </w:r>
        <w:r w:rsidR="009C32E7" w:rsidRPr="00AD70DE">
          <w:rPr>
            <w:noProof/>
            <w:webHidden/>
          </w:rPr>
        </w:r>
        <w:r w:rsidR="009C32E7" w:rsidRPr="00AD70DE">
          <w:rPr>
            <w:noProof/>
            <w:webHidden/>
          </w:rPr>
          <w:fldChar w:fldCharType="separate"/>
        </w:r>
        <w:r w:rsidR="000B6E0A">
          <w:rPr>
            <w:noProof/>
            <w:webHidden/>
          </w:rPr>
          <w:t>41</w:t>
        </w:r>
        <w:r w:rsidR="009C32E7" w:rsidRPr="00AD70DE">
          <w:rPr>
            <w:noProof/>
            <w:webHidden/>
          </w:rPr>
          <w:fldChar w:fldCharType="end"/>
        </w:r>
      </w:hyperlink>
    </w:p>
    <w:p w:rsidR="009C32E7" w:rsidRPr="00AD70DE" w:rsidRDefault="007645B8" w:rsidP="00AD70DE">
      <w:pPr>
        <w:pStyle w:val="Verzeichnis1"/>
        <w:tabs>
          <w:tab w:val="left" w:pos="660"/>
          <w:tab w:val="right" w:leader="dot" w:pos="9063"/>
        </w:tabs>
        <w:rPr>
          <w:rFonts w:asciiTheme="minorHAnsi" w:eastAsiaTheme="minorEastAsia" w:hAnsiTheme="minorHAnsi" w:cstheme="minorBidi"/>
          <w:noProof/>
          <w:lang w:eastAsia="de-DE"/>
        </w:rPr>
      </w:pPr>
      <w:hyperlink w:anchor="_Toc37243479" w:history="1">
        <w:r w:rsidR="009C32E7" w:rsidRPr="00AD70DE">
          <w:rPr>
            <w:rStyle w:val="Hyperlink"/>
            <w:noProof/>
          </w:rPr>
          <w:t>11.</w:t>
        </w:r>
        <w:r w:rsidR="009C32E7" w:rsidRPr="00AD70DE">
          <w:rPr>
            <w:rFonts w:asciiTheme="minorHAnsi" w:eastAsiaTheme="minorEastAsia" w:hAnsiTheme="minorHAnsi" w:cstheme="minorBidi"/>
            <w:noProof/>
            <w:lang w:eastAsia="de-DE"/>
          </w:rPr>
          <w:tab/>
        </w:r>
        <w:r w:rsidR="009C32E7" w:rsidRPr="00AD70DE">
          <w:rPr>
            <w:rStyle w:val="Hyperlink"/>
            <w:noProof/>
          </w:rPr>
          <w:t>Monitoring</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_Toc37243479 \h </w:instrText>
        </w:r>
        <w:r w:rsidR="009C32E7" w:rsidRPr="00AD70DE">
          <w:rPr>
            <w:noProof/>
            <w:webHidden/>
          </w:rPr>
        </w:r>
        <w:r w:rsidR="009C32E7" w:rsidRPr="00AD70DE">
          <w:rPr>
            <w:noProof/>
            <w:webHidden/>
          </w:rPr>
          <w:fldChar w:fldCharType="separate"/>
        </w:r>
        <w:r w:rsidR="000B6E0A">
          <w:rPr>
            <w:noProof/>
            <w:webHidden/>
          </w:rPr>
          <w:t>41</w:t>
        </w:r>
        <w:r w:rsidR="009C32E7" w:rsidRPr="00AD70DE">
          <w:rPr>
            <w:noProof/>
            <w:webHidden/>
          </w:rPr>
          <w:fldChar w:fldCharType="end"/>
        </w:r>
      </w:hyperlink>
    </w:p>
    <w:p w:rsidR="009C32E7" w:rsidRPr="00AD70DE" w:rsidRDefault="007645B8" w:rsidP="00AD70DE">
      <w:pPr>
        <w:pStyle w:val="Verzeichnis1"/>
        <w:tabs>
          <w:tab w:val="left" w:pos="660"/>
          <w:tab w:val="right" w:leader="dot" w:pos="9063"/>
        </w:tabs>
        <w:rPr>
          <w:rFonts w:asciiTheme="minorHAnsi" w:eastAsiaTheme="minorEastAsia" w:hAnsiTheme="minorHAnsi" w:cstheme="minorBidi"/>
          <w:noProof/>
          <w:lang w:eastAsia="de-DE"/>
        </w:rPr>
      </w:pPr>
      <w:hyperlink w:anchor="_Toc37243480" w:history="1">
        <w:r w:rsidR="009C32E7" w:rsidRPr="00AD70DE">
          <w:rPr>
            <w:rStyle w:val="Hyperlink"/>
            <w:noProof/>
          </w:rPr>
          <w:t>12.</w:t>
        </w:r>
        <w:r w:rsidR="009C32E7" w:rsidRPr="00AD70DE">
          <w:rPr>
            <w:rFonts w:asciiTheme="minorHAnsi" w:eastAsiaTheme="minorEastAsia" w:hAnsiTheme="minorHAnsi" w:cstheme="minorBidi"/>
            <w:noProof/>
            <w:lang w:eastAsia="de-DE"/>
          </w:rPr>
          <w:tab/>
        </w:r>
        <w:r w:rsidR="009C32E7" w:rsidRPr="00AD70DE">
          <w:rPr>
            <w:rStyle w:val="Hyperlink"/>
            <w:noProof/>
          </w:rPr>
          <w:t>End of trial</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_Toc37243480 \h </w:instrText>
        </w:r>
        <w:r w:rsidR="009C32E7" w:rsidRPr="00AD70DE">
          <w:rPr>
            <w:noProof/>
            <w:webHidden/>
          </w:rPr>
        </w:r>
        <w:r w:rsidR="009C32E7" w:rsidRPr="00AD70DE">
          <w:rPr>
            <w:noProof/>
            <w:webHidden/>
          </w:rPr>
          <w:fldChar w:fldCharType="separate"/>
        </w:r>
        <w:r w:rsidR="000B6E0A">
          <w:rPr>
            <w:noProof/>
            <w:webHidden/>
          </w:rPr>
          <w:t>42</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81"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12.1.</w:t>
        </w:r>
        <w:r w:rsidR="009C32E7" w:rsidRPr="00AD70DE">
          <w:rPr>
            <w:rFonts w:asciiTheme="minorHAnsi" w:eastAsiaTheme="minorEastAsia" w:hAnsiTheme="minorHAnsi" w:cstheme="minorBidi"/>
            <w:noProof/>
            <w:lang w:eastAsia="de-DE"/>
          </w:rPr>
          <w:tab/>
        </w:r>
        <w:r w:rsidR="009C32E7" w:rsidRPr="00AD70DE">
          <w:rPr>
            <w:rStyle w:val="Hyperlink"/>
            <w:noProof/>
          </w:rPr>
          <w:t>Regular trial end</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_Toc37243481 \h </w:instrText>
        </w:r>
        <w:r w:rsidR="009C32E7" w:rsidRPr="00AD70DE">
          <w:rPr>
            <w:noProof/>
            <w:webHidden/>
          </w:rPr>
        </w:r>
        <w:r w:rsidR="009C32E7" w:rsidRPr="00AD70DE">
          <w:rPr>
            <w:noProof/>
            <w:webHidden/>
          </w:rPr>
          <w:fldChar w:fldCharType="separate"/>
        </w:r>
        <w:r w:rsidR="000B6E0A">
          <w:rPr>
            <w:noProof/>
            <w:webHidden/>
          </w:rPr>
          <w:t>42</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82"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12.2.</w:t>
        </w:r>
        <w:r w:rsidR="009C32E7" w:rsidRPr="00AD70DE">
          <w:rPr>
            <w:rFonts w:asciiTheme="minorHAnsi" w:eastAsiaTheme="minorEastAsia" w:hAnsiTheme="minorHAnsi" w:cstheme="minorBidi"/>
            <w:noProof/>
            <w:lang w:eastAsia="de-DE"/>
          </w:rPr>
          <w:tab/>
        </w:r>
        <w:r w:rsidR="009C32E7" w:rsidRPr="00AD70DE">
          <w:rPr>
            <w:rStyle w:val="Hyperlink"/>
            <w:noProof/>
          </w:rPr>
          <w:t>Premature end of trial</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_Toc37243482 \h </w:instrText>
        </w:r>
        <w:r w:rsidR="009C32E7" w:rsidRPr="00AD70DE">
          <w:rPr>
            <w:noProof/>
            <w:webHidden/>
          </w:rPr>
        </w:r>
        <w:r w:rsidR="009C32E7" w:rsidRPr="00AD70DE">
          <w:rPr>
            <w:noProof/>
            <w:webHidden/>
          </w:rPr>
          <w:fldChar w:fldCharType="separate"/>
        </w:r>
        <w:r w:rsidR="000B6E0A">
          <w:rPr>
            <w:noProof/>
            <w:webHidden/>
          </w:rPr>
          <w:t>42</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83" w:history="1">
        <w:r w:rsidR="009C32E7" w:rsidRPr="00AD70DE">
          <w:rPr>
            <w:rStyle w:val="Hyperlink"/>
            <w:noProof/>
          </w:rPr>
          <w:t>12.2.1.</w:t>
        </w:r>
        <w:r w:rsidR="009C32E7" w:rsidRPr="00AD70DE">
          <w:rPr>
            <w:rFonts w:asciiTheme="minorHAnsi" w:eastAsiaTheme="minorEastAsia" w:hAnsiTheme="minorHAnsi" w:cstheme="minorBidi"/>
            <w:noProof/>
            <w:lang w:eastAsia="de-DE"/>
          </w:rPr>
          <w:tab/>
        </w:r>
        <w:r w:rsidR="009C32E7" w:rsidRPr="00AD70DE">
          <w:rPr>
            <w:rStyle w:val="Hyperlink"/>
            <w:noProof/>
          </w:rPr>
          <w:t>Early termination of the trial</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_Toc37243483 \h </w:instrText>
        </w:r>
        <w:r w:rsidR="009C32E7" w:rsidRPr="00AD70DE">
          <w:rPr>
            <w:noProof/>
            <w:webHidden/>
          </w:rPr>
        </w:r>
        <w:r w:rsidR="009C32E7" w:rsidRPr="00AD70DE">
          <w:rPr>
            <w:noProof/>
            <w:webHidden/>
          </w:rPr>
          <w:fldChar w:fldCharType="separate"/>
        </w:r>
        <w:r w:rsidR="000B6E0A">
          <w:rPr>
            <w:noProof/>
            <w:webHidden/>
          </w:rPr>
          <w:t>42</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84" w:history="1">
        <w:r w:rsidR="009C32E7" w:rsidRPr="00AD70DE">
          <w:rPr>
            <w:rStyle w:val="Hyperlink"/>
            <w:noProof/>
          </w:rPr>
          <w:t>12.2.2.</w:t>
        </w:r>
        <w:r w:rsidR="009C32E7" w:rsidRPr="00AD70DE">
          <w:rPr>
            <w:rFonts w:asciiTheme="minorHAnsi" w:eastAsiaTheme="minorEastAsia" w:hAnsiTheme="minorHAnsi" w:cstheme="minorBidi"/>
            <w:noProof/>
            <w:lang w:eastAsia="de-DE"/>
          </w:rPr>
          <w:tab/>
        </w:r>
        <w:r w:rsidR="009C32E7" w:rsidRPr="00AD70DE">
          <w:rPr>
            <w:rStyle w:val="Hyperlink"/>
            <w:noProof/>
          </w:rPr>
          <w:t>Stopping criteria for the trial</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_Toc37243484 \h </w:instrText>
        </w:r>
        <w:r w:rsidR="009C32E7" w:rsidRPr="00AD70DE">
          <w:rPr>
            <w:noProof/>
            <w:webHidden/>
          </w:rPr>
        </w:r>
        <w:r w:rsidR="009C32E7" w:rsidRPr="00AD70DE">
          <w:rPr>
            <w:noProof/>
            <w:webHidden/>
          </w:rPr>
          <w:fldChar w:fldCharType="separate"/>
        </w:r>
        <w:r w:rsidR="000B6E0A">
          <w:rPr>
            <w:noProof/>
            <w:webHidden/>
          </w:rPr>
          <w:t>42</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85"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12.3.</w:t>
        </w:r>
        <w:r w:rsidR="009C32E7" w:rsidRPr="00AD70DE">
          <w:rPr>
            <w:rFonts w:asciiTheme="minorHAnsi" w:eastAsiaTheme="minorEastAsia" w:hAnsiTheme="minorHAnsi" w:cstheme="minorBidi"/>
            <w:noProof/>
            <w:lang w:eastAsia="de-DE"/>
          </w:rPr>
          <w:tab/>
        </w:r>
        <w:r w:rsidR="009C32E7" w:rsidRPr="00AD70DE">
          <w:rPr>
            <w:rStyle w:val="Hyperlink"/>
            <w:noProof/>
          </w:rPr>
          <w:t>Withdrawal of participants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_Toc37243485 \h </w:instrText>
        </w:r>
        <w:r w:rsidR="009C32E7" w:rsidRPr="00AD70DE">
          <w:rPr>
            <w:noProof/>
            <w:webHidden/>
          </w:rPr>
        </w:r>
        <w:r w:rsidR="009C32E7" w:rsidRPr="00AD70DE">
          <w:rPr>
            <w:noProof/>
            <w:webHidden/>
          </w:rPr>
          <w:fldChar w:fldCharType="separate"/>
        </w:r>
        <w:r w:rsidR="000B6E0A">
          <w:rPr>
            <w:noProof/>
            <w:webHidden/>
          </w:rPr>
          <w:t>42</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86"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12.4.</w:t>
        </w:r>
        <w:r w:rsidR="009C32E7" w:rsidRPr="00AD70DE">
          <w:rPr>
            <w:rFonts w:asciiTheme="minorHAnsi" w:eastAsiaTheme="minorEastAsia" w:hAnsiTheme="minorHAnsi" w:cstheme="minorBidi"/>
            <w:noProof/>
            <w:lang w:eastAsia="de-DE"/>
          </w:rPr>
          <w:tab/>
        </w:r>
        <w:r w:rsidR="009C32E7" w:rsidRPr="00AD70DE">
          <w:rPr>
            <w:rStyle w:val="Hyperlink"/>
            <w:noProof/>
          </w:rPr>
          <w:t>Dropouts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_Toc37243486 \h </w:instrText>
        </w:r>
        <w:r w:rsidR="009C32E7" w:rsidRPr="00AD70DE">
          <w:rPr>
            <w:noProof/>
            <w:webHidden/>
          </w:rPr>
        </w:r>
        <w:r w:rsidR="009C32E7" w:rsidRPr="00AD70DE">
          <w:rPr>
            <w:noProof/>
            <w:webHidden/>
          </w:rPr>
          <w:fldChar w:fldCharType="separate"/>
        </w:r>
        <w:r w:rsidR="000B6E0A">
          <w:rPr>
            <w:noProof/>
            <w:webHidden/>
          </w:rPr>
          <w:t>42</w:t>
        </w:r>
        <w:r w:rsidR="009C32E7" w:rsidRPr="00AD70DE">
          <w:rPr>
            <w:noProof/>
            <w:webHidden/>
          </w:rPr>
          <w:fldChar w:fldCharType="end"/>
        </w:r>
      </w:hyperlink>
    </w:p>
    <w:p w:rsidR="009C32E7" w:rsidRPr="00AD70DE" w:rsidRDefault="007645B8" w:rsidP="00AD70DE">
      <w:pPr>
        <w:pStyle w:val="Verzeichnis1"/>
        <w:tabs>
          <w:tab w:val="left" w:pos="660"/>
          <w:tab w:val="right" w:leader="dot" w:pos="9063"/>
        </w:tabs>
        <w:rPr>
          <w:rFonts w:asciiTheme="minorHAnsi" w:eastAsiaTheme="minorEastAsia" w:hAnsiTheme="minorHAnsi" w:cstheme="minorBidi"/>
          <w:noProof/>
          <w:lang w:eastAsia="de-DE"/>
        </w:rPr>
      </w:pPr>
      <w:hyperlink w:anchor="_Toc37243487" w:history="1">
        <w:r w:rsidR="009C32E7" w:rsidRPr="00AD70DE">
          <w:rPr>
            <w:rStyle w:val="Hyperlink"/>
            <w:noProof/>
          </w:rPr>
          <w:t>13.</w:t>
        </w:r>
        <w:r w:rsidR="009C32E7" w:rsidRPr="00AD70DE">
          <w:rPr>
            <w:rFonts w:asciiTheme="minorHAnsi" w:eastAsiaTheme="minorEastAsia" w:hAnsiTheme="minorHAnsi" w:cstheme="minorBidi"/>
            <w:noProof/>
            <w:lang w:eastAsia="de-DE"/>
          </w:rPr>
          <w:tab/>
        </w:r>
        <w:r w:rsidR="009C32E7" w:rsidRPr="00AD70DE">
          <w:rPr>
            <w:rStyle w:val="Hyperlink"/>
            <w:noProof/>
          </w:rPr>
          <w:t>Data analysis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_Toc37243487 \h </w:instrText>
        </w:r>
        <w:r w:rsidR="009C32E7" w:rsidRPr="00AD70DE">
          <w:rPr>
            <w:noProof/>
            <w:webHidden/>
          </w:rPr>
        </w:r>
        <w:r w:rsidR="009C32E7" w:rsidRPr="00AD70DE">
          <w:rPr>
            <w:noProof/>
            <w:webHidden/>
          </w:rPr>
          <w:fldChar w:fldCharType="separate"/>
        </w:r>
        <w:r w:rsidR="000B6E0A">
          <w:rPr>
            <w:noProof/>
            <w:webHidden/>
          </w:rPr>
          <w:t>43</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88"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13.1.</w:t>
        </w:r>
        <w:r w:rsidR="009C32E7" w:rsidRPr="00AD70DE">
          <w:rPr>
            <w:rFonts w:asciiTheme="minorHAnsi" w:eastAsiaTheme="minorEastAsia" w:hAnsiTheme="minorHAnsi" w:cstheme="minorBidi"/>
            <w:noProof/>
            <w:lang w:eastAsia="de-DE"/>
          </w:rPr>
          <w:tab/>
        </w:r>
        <w:r w:rsidR="009C32E7" w:rsidRPr="00AD70DE">
          <w:rPr>
            <w:rStyle w:val="Hyperlink"/>
            <w:noProof/>
          </w:rPr>
          <w:t>Sample size and power calculation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_Toc37243488 \h </w:instrText>
        </w:r>
        <w:r w:rsidR="009C32E7" w:rsidRPr="00AD70DE">
          <w:rPr>
            <w:noProof/>
            <w:webHidden/>
          </w:rPr>
        </w:r>
        <w:r w:rsidR="009C32E7" w:rsidRPr="00AD70DE">
          <w:rPr>
            <w:noProof/>
            <w:webHidden/>
          </w:rPr>
          <w:fldChar w:fldCharType="separate"/>
        </w:r>
        <w:r w:rsidR="000B6E0A">
          <w:rPr>
            <w:noProof/>
            <w:webHidden/>
          </w:rPr>
          <w:t>43</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89"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13.2.</w:t>
        </w:r>
        <w:r w:rsidR="009C32E7" w:rsidRPr="00AD70DE">
          <w:rPr>
            <w:rFonts w:asciiTheme="minorHAnsi" w:eastAsiaTheme="minorEastAsia" w:hAnsiTheme="minorHAnsi" w:cstheme="minorBidi"/>
            <w:noProof/>
            <w:lang w:eastAsia="de-DE"/>
          </w:rPr>
          <w:tab/>
        </w:r>
        <w:r w:rsidR="009C32E7" w:rsidRPr="00AD70DE">
          <w:rPr>
            <w:rStyle w:val="Hyperlink"/>
            <w:noProof/>
          </w:rPr>
          <w:t>Statistical analysis plan</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_Toc37243489 \h </w:instrText>
        </w:r>
        <w:r w:rsidR="009C32E7" w:rsidRPr="00AD70DE">
          <w:rPr>
            <w:noProof/>
            <w:webHidden/>
          </w:rPr>
        </w:r>
        <w:r w:rsidR="009C32E7" w:rsidRPr="00AD70DE">
          <w:rPr>
            <w:noProof/>
            <w:webHidden/>
          </w:rPr>
          <w:fldChar w:fldCharType="separate"/>
        </w:r>
        <w:r w:rsidR="000B6E0A">
          <w:rPr>
            <w:noProof/>
            <w:webHidden/>
          </w:rPr>
          <w:t>43</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90" w:history="1">
        <w:r w:rsidR="009C32E7" w:rsidRPr="00AD70DE">
          <w:rPr>
            <w:rStyle w:val="Hyperlink"/>
            <w:noProof/>
          </w:rPr>
          <w:t>13.2.1.</w:t>
        </w:r>
        <w:r w:rsidR="009C32E7" w:rsidRPr="00AD70DE">
          <w:rPr>
            <w:rFonts w:asciiTheme="minorHAnsi" w:eastAsiaTheme="minorEastAsia" w:hAnsiTheme="minorHAnsi" w:cstheme="minorBidi"/>
            <w:noProof/>
            <w:lang w:eastAsia="de-DE"/>
          </w:rPr>
          <w:tab/>
        </w:r>
        <w:r w:rsidR="009C32E7" w:rsidRPr="00AD70DE">
          <w:rPr>
            <w:rStyle w:val="Hyperlink"/>
            <w:noProof/>
          </w:rPr>
          <w:t>Analysis sets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_Toc37243490 \h </w:instrText>
        </w:r>
        <w:r w:rsidR="009C32E7" w:rsidRPr="00AD70DE">
          <w:rPr>
            <w:noProof/>
            <w:webHidden/>
          </w:rPr>
        </w:r>
        <w:r w:rsidR="009C32E7" w:rsidRPr="00AD70DE">
          <w:rPr>
            <w:noProof/>
            <w:webHidden/>
          </w:rPr>
          <w:fldChar w:fldCharType="separate"/>
        </w:r>
        <w:r w:rsidR="000B6E0A">
          <w:rPr>
            <w:noProof/>
            <w:webHidden/>
          </w:rPr>
          <w:t>43</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91" w:history="1">
        <w:r w:rsidR="009C32E7" w:rsidRPr="00AD70DE">
          <w:rPr>
            <w:rStyle w:val="Hyperlink"/>
            <w:noProof/>
          </w:rPr>
          <w:t>13.2.2.</w:t>
        </w:r>
        <w:r w:rsidR="009C32E7" w:rsidRPr="00AD70DE">
          <w:rPr>
            <w:rFonts w:asciiTheme="minorHAnsi" w:eastAsiaTheme="minorEastAsia" w:hAnsiTheme="minorHAnsi" w:cstheme="minorBidi"/>
            <w:noProof/>
            <w:lang w:eastAsia="de-DE"/>
          </w:rPr>
          <w:tab/>
        </w:r>
        <w:r w:rsidR="009C32E7" w:rsidRPr="00AD70DE">
          <w:rPr>
            <w:rStyle w:val="Hyperlink"/>
            <w:noProof/>
          </w:rPr>
          <w:t>PK parameters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_Toc37243491 \h </w:instrText>
        </w:r>
        <w:r w:rsidR="009C32E7" w:rsidRPr="00AD70DE">
          <w:rPr>
            <w:noProof/>
            <w:webHidden/>
          </w:rPr>
        </w:r>
        <w:r w:rsidR="009C32E7" w:rsidRPr="00AD70DE">
          <w:rPr>
            <w:noProof/>
            <w:webHidden/>
          </w:rPr>
          <w:fldChar w:fldCharType="separate"/>
        </w:r>
        <w:r w:rsidR="000B6E0A">
          <w:rPr>
            <w:noProof/>
            <w:webHidden/>
          </w:rPr>
          <w:t>43</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92" w:history="1">
        <w:r w:rsidR="009C32E7" w:rsidRPr="00AD70DE">
          <w:rPr>
            <w:rStyle w:val="Hyperlink"/>
            <w:noProof/>
          </w:rPr>
          <w:t>13.2.3.</w:t>
        </w:r>
        <w:r w:rsidR="009C32E7" w:rsidRPr="00AD70DE">
          <w:rPr>
            <w:rFonts w:asciiTheme="minorHAnsi" w:eastAsiaTheme="minorEastAsia" w:hAnsiTheme="minorHAnsi" w:cstheme="minorBidi"/>
            <w:noProof/>
            <w:lang w:eastAsia="de-DE"/>
          </w:rPr>
          <w:tab/>
        </w:r>
        <w:r w:rsidR="009C32E7" w:rsidRPr="00AD70DE">
          <w:rPr>
            <w:rStyle w:val="Hyperlink"/>
            <w:noProof/>
          </w:rPr>
          <w:t>Statistical analysis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_Toc37243492 \h </w:instrText>
        </w:r>
        <w:r w:rsidR="009C32E7" w:rsidRPr="00AD70DE">
          <w:rPr>
            <w:noProof/>
            <w:webHidden/>
          </w:rPr>
        </w:r>
        <w:r w:rsidR="009C32E7" w:rsidRPr="00AD70DE">
          <w:rPr>
            <w:noProof/>
            <w:webHidden/>
          </w:rPr>
          <w:fldChar w:fldCharType="separate"/>
        </w:r>
        <w:r w:rsidR="000B6E0A">
          <w:rPr>
            <w:noProof/>
            <w:webHidden/>
          </w:rPr>
          <w:t>43</w:t>
        </w:r>
        <w:r w:rsidR="009C32E7" w:rsidRPr="00AD70DE">
          <w:rPr>
            <w:noProof/>
            <w:webHidden/>
          </w:rPr>
          <w:fldChar w:fldCharType="end"/>
        </w:r>
      </w:hyperlink>
    </w:p>
    <w:p w:rsidR="009C32E7" w:rsidRPr="00AD70DE" w:rsidRDefault="007645B8" w:rsidP="00AD70DE">
      <w:pPr>
        <w:pStyle w:val="Verzeichnis3"/>
        <w:tabs>
          <w:tab w:val="left" w:pos="1320"/>
          <w:tab w:val="right" w:leader="dot" w:pos="9063"/>
        </w:tabs>
        <w:rPr>
          <w:rFonts w:asciiTheme="minorHAnsi" w:eastAsiaTheme="minorEastAsia" w:hAnsiTheme="minorHAnsi" w:cstheme="minorBidi"/>
          <w:noProof/>
          <w:lang w:eastAsia="de-DE"/>
        </w:rPr>
      </w:pPr>
      <w:hyperlink w:anchor="_Toc37243493" w:history="1">
        <w:r w:rsidR="009C32E7" w:rsidRPr="00AD70DE">
          <w:rPr>
            <w:rStyle w:val="Hyperlink"/>
            <w:noProof/>
          </w:rPr>
          <w:t>13.2.4.</w:t>
        </w:r>
        <w:r w:rsidR="009C32E7" w:rsidRPr="00AD70DE">
          <w:rPr>
            <w:rFonts w:asciiTheme="minorHAnsi" w:eastAsiaTheme="minorEastAsia" w:hAnsiTheme="minorHAnsi" w:cstheme="minorBidi"/>
            <w:noProof/>
            <w:lang w:eastAsia="de-DE"/>
          </w:rPr>
          <w:tab/>
        </w:r>
        <w:r w:rsidR="009C32E7" w:rsidRPr="00AD70DE">
          <w:rPr>
            <w:rStyle w:val="Hyperlink"/>
            <w:noProof/>
          </w:rPr>
          <w:t>Procedure for handling missing, unused, and inconsistent data</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_Toc37243493 \h </w:instrText>
        </w:r>
        <w:r w:rsidR="009C32E7" w:rsidRPr="00AD70DE">
          <w:rPr>
            <w:noProof/>
            <w:webHidden/>
          </w:rPr>
        </w:r>
        <w:r w:rsidR="009C32E7" w:rsidRPr="00AD70DE">
          <w:rPr>
            <w:noProof/>
            <w:webHidden/>
          </w:rPr>
          <w:fldChar w:fldCharType="separate"/>
        </w:r>
        <w:r w:rsidR="000B6E0A">
          <w:rPr>
            <w:noProof/>
            <w:webHidden/>
          </w:rPr>
          <w:t>44</w:t>
        </w:r>
        <w:r w:rsidR="009C32E7" w:rsidRPr="00AD70DE">
          <w:rPr>
            <w:noProof/>
            <w:webHidden/>
          </w:rPr>
          <w:fldChar w:fldCharType="end"/>
        </w:r>
      </w:hyperlink>
    </w:p>
    <w:p w:rsidR="009C32E7" w:rsidRPr="00AD70DE" w:rsidRDefault="007645B8" w:rsidP="00AD70DE">
      <w:pPr>
        <w:pStyle w:val="Verzeichnis1"/>
        <w:tabs>
          <w:tab w:val="left" w:pos="660"/>
          <w:tab w:val="right" w:leader="dot" w:pos="9063"/>
        </w:tabs>
        <w:rPr>
          <w:rFonts w:asciiTheme="minorHAnsi" w:eastAsiaTheme="minorEastAsia" w:hAnsiTheme="minorHAnsi" w:cstheme="minorBidi"/>
          <w:noProof/>
          <w:lang w:eastAsia="de-DE"/>
        </w:rPr>
      </w:pPr>
      <w:hyperlink w:anchor="_Toc37243494" w:history="1">
        <w:r w:rsidR="009C32E7" w:rsidRPr="00AD70DE">
          <w:rPr>
            <w:rStyle w:val="Hyperlink"/>
            <w:noProof/>
          </w:rPr>
          <w:t>14.</w:t>
        </w:r>
        <w:r w:rsidR="009C32E7" w:rsidRPr="00AD70DE">
          <w:rPr>
            <w:rFonts w:asciiTheme="minorHAnsi" w:eastAsiaTheme="minorEastAsia" w:hAnsiTheme="minorHAnsi" w:cstheme="minorBidi"/>
            <w:noProof/>
            <w:lang w:eastAsia="de-DE"/>
          </w:rPr>
          <w:tab/>
        </w:r>
        <w:r w:rsidR="009C32E7" w:rsidRPr="00AD70DE">
          <w:rPr>
            <w:rStyle w:val="Hyperlink"/>
            <w:noProof/>
          </w:rPr>
          <w:t>Ethic and legal aspects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_Toc37243494 \h </w:instrText>
        </w:r>
        <w:r w:rsidR="009C32E7" w:rsidRPr="00AD70DE">
          <w:rPr>
            <w:noProof/>
            <w:webHidden/>
          </w:rPr>
        </w:r>
        <w:r w:rsidR="009C32E7" w:rsidRPr="00AD70DE">
          <w:rPr>
            <w:noProof/>
            <w:webHidden/>
          </w:rPr>
          <w:fldChar w:fldCharType="separate"/>
        </w:r>
        <w:r w:rsidR="000B6E0A">
          <w:rPr>
            <w:noProof/>
            <w:webHidden/>
          </w:rPr>
          <w:t>44</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95"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14.1.</w:t>
        </w:r>
        <w:r w:rsidR="009C32E7" w:rsidRPr="00AD70DE">
          <w:rPr>
            <w:rFonts w:asciiTheme="minorHAnsi" w:eastAsiaTheme="minorEastAsia" w:hAnsiTheme="minorHAnsi" w:cstheme="minorBidi"/>
            <w:noProof/>
            <w:lang w:eastAsia="de-DE"/>
          </w:rPr>
          <w:tab/>
        </w:r>
        <w:r w:rsidR="009C32E7" w:rsidRPr="00AD70DE">
          <w:rPr>
            <w:rStyle w:val="Hyperlink"/>
            <w:noProof/>
          </w:rPr>
          <w:t>General</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_Toc37243495 \h </w:instrText>
        </w:r>
        <w:r w:rsidR="009C32E7" w:rsidRPr="00AD70DE">
          <w:rPr>
            <w:noProof/>
            <w:webHidden/>
          </w:rPr>
        </w:r>
        <w:r w:rsidR="009C32E7" w:rsidRPr="00AD70DE">
          <w:rPr>
            <w:noProof/>
            <w:webHidden/>
          </w:rPr>
          <w:fldChar w:fldCharType="separate"/>
        </w:r>
        <w:r w:rsidR="000B6E0A">
          <w:rPr>
            <w:noProof/>
            <w:webHidden/>
          </w:rPr>
          <w:t>44</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96"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14.2.</w:t>
        </w:r>
        <w:r w:rsidR="009C32E7" w:rsidRPr="00AD70DE">
          <w:rPr>
            <w:rFonts w:asciiTheme="minorHAnsi" w:eastAsiaTheme="minorEastAsia" w:hAnsiTheme="minorHAnsi" w:cstheme="minorBidi"/>
            <w:noProof/>
            <w:lang w:eastAsia="de-DE"/>
          </w:rPr>
          <w:tab/>
        </w:r>
        <w:r w:rsidR="009C32E7" w:rsidRPr="00AD70DE">
          <w:rPr>
            <w:rStyle w:val="Hyperlink"/>
            <w:noProof/>
          </w:rPr>
          <w:t>Financial disclosure of investigator</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_Toc37243496 \h </w:instrText>
        </w:r>
        <w:r w:rsidR="009C32E7" w:rsidRPr="00AD70DE">
          <w:rPr>
            <w:noProof/>
            <w:webHidden/>
          </w:rPr>
        </w:r>
        <w:r w:rsidR="009C32E7" w:rsidRPr="00AD70DE">
          <w:rPr>
            <w:noProof/>
            <w:webHidden/>
          </w:rPr>
          <w:fldChar w:fldCharType="separate"/>
        </w:r>
        <w:r w:rsidR="000B6E0A">
          <w:rPr>
            <w:noProof/>
            <w:webHidden/>
          </w:rPr>
          <w:t>44</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97"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14.3.</w:t>
        </w:r>
        <w:r w:rsidR="009C32E7" w:rsidRPr="00AD70DE">
          <w:rPr>
            <w:rFonts w:asciiTheme="minorHAnsi" w:eastAsiaTheme="minorEastAsia" w:hAnsiTheme="minorHAnsi" w:cstheme="minorBidi"/>
            <w:noProof/>
            <w:lang w:eastAsia="de-DE"/>
          </w:rPr>
          <w:tab/>
        </w:r>
        <w:r w:rsidR="009C32E7" w:rsidRPr="00AD70DE">
          <w:rPr>
            <w:rStyle w:val="Hyperlink"/>
            <w:noProof/>
          </w:rPr>
          <w:t>Submission to the Ethics Committee and Competent Authority (BfArM)</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_Toc37243497 \h </w:instrText>
        </w:r>
        <w:r w:rsidR="009C32E7" w:rsidRPr="00AD70DE">
          <w:rPr>
            <w:noProof/>
            <w:webHidden/>
          </w:rPr>
        </w:r>
        <w:r w:rsidR="009C32E7" w:rsidRPr="00AD70DE">
          <w:rPr>
            <w:noProof/>
            <w:webHidden/>
          </w:rPr>
          <w:fldChar w:fldCharType="separate"/>
        </w:r>
        <w:r w:rsidR="000B6E0A">
          <w:rPr>
            <w:noProof/>
            <w:webHidden/>
          </w:rPr>
          <w:t>44</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98"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14.4.</w:t>
        </w:r>
        <w:r w:rsidR="009C32E7" w:rsidRPr="00AD70DE">
          <w:rPr>
            <w:rFonts w:asciiTheme="minorHAnsi" w:eastAsiaTheme="minorEastAsia" w:hAnsiTheme="minorHAnsi" w:cstheme="minorBidi"/>
            <w:noProof/>
            <w:lang w:eastAsia="de-DE"/>
          </w:rPr>
          <w:tab/>
        </w:r>
        <w:r w:rsidR="009C32E7" w:rsidRPr="00AD70DE">
          <w:rPr>
            <w:rStyle w:val="Hyperlink"/>
            <w:noProof/>
          </w:rPr>
          <w:t>Notification of authorities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_Toc37243498 \h </w:instrText>
        </w:r>
        <w:r w:rsidR="009C32E7" w:rsidRPr="00AD70DE">
          <w:rPr>
            <w:noProof/>
            <w:webHidden/>
          </w:rPr>
        </w:r>
        <w:r w:rsidR="009C32E7" w:rsidRPr="00AD70DE">
          <w:rPr>
            <w:noProof/>
            <w:webHidden/>
          </w:rPr>
          <w:fldChar w:fldCharType="separate"/>
        </w:r>
        <w:r w:rsidR="000B6E0A">
          <w:rPr>
            <w:noProof/>
            <w:webHidden/>
          </w:rPr>
          <w:t>44</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499"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14.5.</w:t>
        </w:r>
        <w:r w:rsidR="009C32E7" w:rsidRPr="00AD70DE">
          <w:rPr>
            <w:rFonts w:asciiTheme="minorHAnsi" w:eastAsiaTheme="minorEastAsia" w:hAnsiTheme="minorHAnsi" w:cstheme="minorBidi"/>
            <w:noProof/>
            <w:lang w:eastAsia="de-DE"/>
          </w:rPr>
          <w:tab/>
        </w:r>
        <w:r w:rsidR="009C32E7" w:rsidRPr="00AD70DE">
          <w:rPr>
            <w:rStyle w:val="Hyperlink"/>
            <w:noProof/>
          </w:rPr>
          <w:t>Responsibilities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_Toc37243499 \h </w:instrText>
        </w:r>
        <w:r w:rsidR="009C32E7" w:rsidRPr="00AD70DE">
          <w:rPr>
            <w:noProof/>
            <w:webHidden/>
          </w:rPr>
        </w:r>
        <w:r w:rsidR="009C32E7" w:rsidRPr="00AD70DE">
          <w:rPr>
            <w:noProof/>
            <w:webHidden/>
          </w:rPr>
          <w:fldChar w:fldCharType="separate"/>
        </w:r>
        <w:r w:rsidR="000B6E0A">
          <w:rPr>
            <w:noProof/>
            <w:webHidden/>
          </w:rPr>
          <w:t>45</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0"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14.6.</w:t>
        </w:r>
        <w:r w:rsidR="009C32E7" w:rsidRPr="00AD70DE">
          <w:rPr>
            <w:rFonts w:asciiTheme="minorHAnsi" w:eastAsiaTheme="minorEastAsia" w:hAnsiTheme="minorHAnsi" w:cstheme="minorBidi"/>
            <w:noProof/>
            <w:lang w:eastAsia="de-DE"/>
          </w:rPr>
          <w:tab/>
        </w:r>
        <w:r w:rsidR="009C32E7" w:rsidRPr="00AD70DE">
          <w:rPr>
            <w:rStyle w:val="Hyperlink"/>
            <w:noProof/>
          </w:rPr>
          <w:t>Insurance</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_Toc37243500 \h </w:instrText>
        </w:r>
        <w:r w:rsidR="009C32E7" w:rsidRPr="00AD70DE">
          <w:rPr>
            <w:noProof/>
            <w:webHidden/>
          </w:rPr>
        </w:r>
        <w:r w:rsidR="009C32E7" w:rsidRPr="00AD70DE">
          <w:rPr>
            <w:noProof/>
            <w:webHidden/>
          </w:rPr>
          <w:fldChar w:fldCharType="separate"/>
        </w:r>
        <w:r w:rsidR="000B6E0A">
          <w:rPr>
            <w:noProof/>
            <w:webHidden/>
          </w:rPr>
          <w:t>45</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1"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14.7.</w:t>
        </w:r>
        <w:r w:rsidR="009C32E7" w:rsidRPr="00AD70DE">
          <w:rPr>
            <w:rFonts w:asciiTheme="minorHAnsi" w:eastAsiaTheme="minorEastAsia" w:hAnsiTheme="minorHAnsi" w:cstheme="minorBidi"/>
            <w:noProof/>
            <w:lang w:eastAsia="de-DE"/>
          </w:rPr>
          <w:tab/>
        </w:r>
        <w:r w:rsidR="009C32E7" w:rsidRPr="00AD70DE">
          <w:rPr>
            <w:rStyle w:val="Hyperlink"/>
            <w:noProof/>
          </w:rPr>
          <w:t>Confidentiality</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_Toc37243501 \h </w:instrText>
        </w:r>
        <w:r w:rsidR="009C32E7" w:rsidRPr="00AD70DE">
          <w:rPr>
            <w:noProof/>
            <w:webHidden/>
          </w:rPr>
        </w:r>
        <w:r w:rsidR="009C32E7" w:rsidRPr="00AD70DE">
          <w:rPr>
            <w:noProof/>
            <w:webHidden/>
          </w:rPr>
          <w:fldChar w:fldCharType="separate"/>
        </w:r>
        <w:r w:rsidR="000B6E0A">
          <w:rPr>
            <w:noProof/>
            <w:webHidden/>
          </w:rPr>
          <w:t>45</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2"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14.8.</w:t>
        </w:r>
        <w:r w:rsidR="009C32E7" w:rsidRPr="00AD70DE">
          <w:rPr>
            <w:rFonts w:asciiTheme="minorHAnsi" w:eastAsiaTheme="minorEastAsia" w:hAnsiTheme="minorHAnsi" w:cstheme="minorBidi"/>
            <w:noProof/>
            <w:lang w:eastAsia="de-DE"/>
          </w:rPr>
          <w:tab/>
        </w:r>
        <w:r w:rsidR="009C32E7" w:rsidRPr="00AD70DE">
          <w:rPr>
            <w:rStyle w:val="Hyperlink"/>
            <w:noProof/>
          </w:rPr>
          <w:t>Archiving</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_Toc37243502 \h </w:instrText>
        </w:r>
        <w:r w:rsidR="009C32E7" w:rsidRPr="00AD70DE">
          <w:rPr>
            <w:noProof/>
            <w:webHidden/>
          </w:rPr>
        </w:r>
        <w:r w:rsidR="009C32E7" w:rsidRPr="00AD70DE">
          <w:rPr>
            <w:noProof/>
            <w:webHidden/>
          </w:rPr>
          <w:fldChar w:fldCharType="separate"/>
        </w:r>
        <w:r w:rsidR="000B6E0A">
          <w:rPr>
            <w:noProof/>
            <w:webHidden/>
          </w:rPr>
          <w:t>46</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3"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14.9.</w:t>
        </w:r>
        <w:r w:rsidR="009C32E7" w:rsidRPr="00AD70DE">
          <w:rPr>
            <w:rFonts w:asciiTheme="minorHAnsi" w:eastAsiaTheme="minorEastAsia" w:hAnsiTheme="minorHAnsi" w:cstheme="minorBidi"/>
            <w:noProof/>
            <w:lang w:eastAsia="de-DE"/>
          </w:rPr>
          <w:tab/>
        </w:r>
        <w:r w:rsidR="009C32E7" w:rsidRPr="00AD70DE">
          <w:rPr>
            <w:rStyle w:val="Hyperlink"/>
            <w:noProof/>
          </w:rPr>
          <w:t>Protocol modifications and amendments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_Toc37243503 \h </w:instrText>
        </w:r>
        <w:r w:rsidR="009C32E7" w:rsidRPr="00AD70DE">
          <w:rPr>
            <w:noProof/>
            <w:webHidden/>
          </w:rPr>
        </w:r>
        <w:r w:rsidR="009C32E7" w:rsidRPr="00AD70DE">
          <w:rPr>
            <w:noProof/>
            <w:webHidden/>
          </w:rPr>
          <w:fldChar w:fldCharType="separate"/>
        </w:r>
        <w:r w:rsidR="000B6E0A">
          <w:rPr>
            <w:noProof/>
            <w:webHidden/>
          </w:rPr>
          <w:t>46</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4"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14.10.</w:t>
        </w:r>
        <w:r w:rsidR="009C32E7" w:rsidRPr="00AD70DE">
          <w:rPr>
            <w:rFonts w:asciiTheme="minorHAnsi" w:eastAsiaTheme="minorEastAsia" w:hAnsiTheme="minorHAnsi" w:cstheme="minorBidi"/>
            <w:noProof/>
            <w:lang w:eastAsia="de-DE"/>
          </w:rPr>
          <w:tab/>
        </w:r>
        <w:r w:rsidR="009C32E7" w:rsidRPr="00AD70DE">
          <w:rPr>
            <w:rStyle w:val="Hyperlink"/>
            <w:noProof/>
          </w:rPr>
          <w:t>Access to source data, quality control, and data handling</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_Toc37243504 \h </w:instrText>
        </w:r>
        <w:r w:rsidR="009C32E7" w:rsidRPr="00AD70DE">
          <w:rPr>
            <w:noProof/>
            <w:webHidden/>
          </w:rPr>
        </w:r>
        <w:r w:rsidR="009C32E7" w:rsidRPr="00AD70DE">
          <w:rPr>
            <w:noProof/>
            <w:webHidden/>
          </w:rPr>
          <w:fldChar w:fldCharType="separate"/>
        </w:r>
        <w:r w:rsidR="000B6E0A">
          <w:rPr>
            <w:noProof/>
            <w:webHidden/>
          </w:rPr>
          <w:t>46</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5"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14.11.</w:t>
        </w:r>
        <w:r w:rsidR="009C32E7" w:rsidRPr="00AD70DE">
          <w:rPr>
            <w:rFonts w:asciiTheme="minorHAnsi" w:eastAsiaTheme="minorEastAsia" w:hAnsiTheme="minorHAnsi" w:cstheme="minorBidi"/>
            <w:noProof/>
            <w:lang w:eastAsia="de-DE"/>
          </w:rPr>
          <w:tab/>
        </w:r>
        <w:r w:rsidR="009C32E7" w:rsidRPr="00AD70DE">
          <w:rPr>
            <w:rStyle w:val="Hyperlink"/>
            <w:noProof/>
          </w:rPr>
          <w:t>Participant information and informed consent</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_Toc37243505 \h </w:instrText>
        </w:r>
        <w:r w:rsidR="009C32E7" w:rsidRPr="00AD70DE">
          <w:rPr>
            <w:noProof/>
            <w:webHidden/>
          </w:rPr>
        </w:r>
        <w:r w:rsidR="009C32E7" w:rsidRPr="00AD70DE">
          <w:rPr>
            <w:noProof/>
            <w:webHidden/>
          </w:rPr>
          <w:fldChar w:fldCharType="separate"/>
        </w:r>
        <w:r w:rsidR="000B6E0A">
          <w:rPr>
            <w:noProof/>
            <w:webHidden/>
          </w:rPr>
          <w:t>47</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6"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14.12.</w:t>
        </w:r>
        <w:r w:rsidR="009C32E7" w:rsidRPr="00AD70DE">
          <w:rPr>
            <w:rFonts w:asciiTheme="minorHAnsi" w:eastAsiaTheme="minorEastAsia" w:hAnsiTheme="minorHAnsi" w:cstheme="minorBidi"/>
            <w:noProof/>
            <w:lang w:eastAsia="de-DE"/>
          </w:rPr>
          <w:tab/>
        </w:r>
        <w:r w:rsidR="009C32E7" w:rsidRPr="00AD70DE">
          <w:rPr>
            <w:rStyle w:val="Hyperlink"/>
            <w:noProof/>
          </w:rPr>
          <w:t>List of participants (participants’ log)</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_Toc37243506 \h </w:instrText>
        </w:r>
        <w:r w:rsidR="009C32E7" w:rsidRPr="00AD70DE">
          <w:rPr>
            <w:noProof/>
            <w:webHidden/>
          </w:rPr>
        </w:r>
        <w:r w:rsidR="009C32E7" w:rsidRPr="00AD70DE">
          <w:rPr>
            <w:noProof/>
            <w:webHidden/>
          </w:rPr>
          <w:fldChar w:fldCharType="separate"/>
        </w:r>
        <w:r w:rsidR="000B6E0A">
          <w:rPr>
            <w:noProof/>
            <w:webHidden/>
          </w:rPr>
          <w:t>47</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7"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14.13.</w:t>
        </w:r>
        <w:r w:rsidR="009C32E7" w:rsidRPr="00AD70DE">
          <w:rPr>
            <w:rFonts w:asciiTheme="minorHAnsi" w:eastAsiaTheme="minorEastAsia" w:hAnsiTheme="minorHAnsi" w:cstheme="minorBidi"/>
            <w:noProof/>
            <w:lang w:eastAsia="de-DE"/>
          </w:rPr>
          <w:tab/>
        </w:r>
        <w:r w:rsidR="009C32E7" w:rsidRPr="00AD70DE">
          <w:rPr>
            <w:rStyle w:val="Hyperlink"/>
            <w:noProof/>
          </w:rPr>
          <w:t>Participant medical records / source data</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_Toc37243507 \h </w:instrText>
        </w:r>
        <w:r w:rsidR="009C32E7" w:rsidRPr="00AD70DE">
          <w:rPr>
            <w:noProof/>
            <w:webHidden/>
          </w:rPr>
        </w:r>
        <w:r w:rsidR="009C32E7" w:rsidRPr="00AD70DE">
          <w:rPr>
            <w:noProof/>
            <w:webHidden/>
          </w:rPr>
          <w:fldChar w:fldCharType="separate"/>
        </w:r>
        <w:r w:rsidR="000B6E0A">
          <w:rPr>
            <w:noProof/>
            <w:webHidden/>
          </w:rPr>
          <w:t>47</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8"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14.14.</w:t>
        </w:r>
        <w:r w:rsidR="009C32E7" w:rsidRPr="00AD70DE">
          <w:rPr>
            <w:rFonts w:asciiTheme="minorHAnsi" w:eastAsiaTheme="minorEastAsia" w:hAnsiTheme="minorHAnsi" w:cstheme="minorBidi"/>
            <w:noProof/>
            <w:lang w:eastAsia="de-DE"/>
          </w:rPr>
          <w:tab/>
        </w:r>
        <w:r w:rsidR="009C32E7" w:rsidRPr="00AD70DE">
          <w:rPr>
            <w:rStyle w:val="Hyperlink"/>
            <w:noProof/>
          </w:rPr>
          <w:t>Data management</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_Toc37243508 \h </w:instrText>
        </w:r>
        <w:r w:rsidR="009C32E7" w:rsidRPr="00AD70DE">
          <w:rPr>
            <w:noProof/>
            <w:webHidden/>
          </w:rPr>
        </w:r>
        <w:r w:rsidR="009C32E7" w:rsidRPr="00AD70DE">
          <w:rPr>
            <w:noProof/>
            <w:webHidden/>
          </w:rPr>
          <w:fldChar w:fldCharType="separate"/>
        </w:r>
        <w:r w:rsidR="000B6E0A">
          <w:rPr>
            <w:noProof/>
            <w:webHidden/>
          </w:rPr>
          <w:t>48</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09"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14.15.</w:t>
        </w:r>
        <w:r w:rsidR="009C32E7" w:rsidRPr="00AD70DE">
          <w:rPr>
            <w:rFonts w:asciiTheme="minorHAnsi" w:eastAsiaTheme="minorEastAsia" w:hAnsiTheme="minorHAnsi" w:cstheme="minorBidi"/>
            <w:noProof/>
            <w:lang w:eastAsia="de-DE"/>
          </w:rPr>
          <w:tab/>
        </w:r>
        <w:r w:rsidR="009C32E7" w:rsidRPr="00AD70DE">
          <w:rPr>
            <w:rStyle w:val="Hyperlink"/>
            <w:noProof/>
          </w:rPr>
          <w:t>Financing</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_Toc37243509 \h </w:instrText>
        </w:r>
        <w:r w:rsidR="009C32E7" w:rsidRPr="00AD70DE">
          <w:rPr>
            <w:noProof/>
            <w:webHidden/>
          </w:rPr>
        </w:r>
        <w:r w:rsidR="009C32E7" w:rsidRPr="00AD70DE">
          <w:rPr>
            <w:noProof/>
            <w:webHidden/>
          </w:rPr>
          <w:fldChar w:fldCharType="separate"/>
        </w:r>
        <w:r w:rsidR="000B6E0A">
          <w:rPr>
            <w:noProof/>
            <w:webHidden/>
          </w:rPr>
          <w:t>48</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10"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14.16.</w:t>
        </w:r>
        <w:r w:rsidR="009C32E7" w:rsidRPr="00AD70DE">
          <w:rPr>
            <w:rFonts w:asciiTheme="minorHAnsi" w:eastAsiaTheme="minorEastAsia" w:hAnsiTheme="minorHAnsi" w:cstheme="minorBidi"/>
            <w:noProof/>
            <w:lang w:eastAsia="de-DE"/>
          </w:rPr>
          <w:tab/>
        </w:r>
        <w:r w:rsidR="009C32E7" w:rsidRPr="00AD70DE">
          <w:rPr>
            <w:rStyle w:val="Hyperlink"/>
            <w:noProof/>
          </w:rPr>
          <w:t>Publication of trial results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_Toc37243510 \h </w:instrText>
        </w:r>
        <w:r w:rsidR="009C32E7" w:rsidRPr="00AD70DE">
          <w:rPr>
            <w:noProof/>
            <w:webHidden/>
          </w:rPr>
        </w:r>
        <w:r w:rsidR="009C32E7" w:rsidRPr="00AD70DE">
          <w:rPr>
            <w:noProof/>
            <w:webHidden/>
          </w:rPr>
          <w:fldChar w:fldCharType="separate"/>
        </w:r>
        <w:r w:rsidR="000B6E0A">
          <w:rPr>
            <w:noProof/>
            <w:webHidden/>
          </w:rPr>
          <w:t>48</w:t>
        </w:r>
        <w:r w:rsidR="009C32E7" w:rsidRPr="00AD70DE">
          <w:rPr>
            <w:noProof/>
            <w:webHidden/>
          </w:rPr>
          <w:fldChar w:fldCharType="end"/>
        </w:r>
      </w:hyperlink>
    </w:p>
    <w:p w:rsidR="009C32E7" w:rsidRPr="00AD70DE" w:rsidRDefault="007645B8" w:rsidP="00AD70DE">
      <w:pPr>
        <w:pStyle w:val="Verzeichnis1"/>
        <w:tabs>
          <w:tab w:val="left" w:pos="660"/>
          <w:tab w:val="right" w:leader="dot" w:pos="9063"/>
        </w:tabs>
        <w:rPr>
          <w:rFonts w:asciiTheme="minorHAnsi" w:eastAsiaTheme="minorEastAsia" w:hAnsiTheme="minorHAnsi" w:cstheme="minorBidi"/>
          <w:noProof/>
          <w:lang w:eastAsia="de-DE"/>
        </w:rPr>
      </w:pPr>
      <w:hyperlink w:anchor="_Toc37243511" w:history="1">
        <w:r w:rsidR="009C32E7" w:rsidRPr="00AD70DE">
          <w:rPr>
            <w:rStyle w:val="Hyperlink"/>
            <w:noProof/>
          </w:rPr>
          <w:t>15.</w:t>
        </w:r>
        <w:r w:rsidR="009C32E7" w:rsidRPr="00AD70DE">
          <w:rPr>
            <w:rFonts w:asciiTheme="minorHAnsi" w:eastAsiaTheme="minorEastAsia" w:hAnsiTheme="minorHAnsi" w:cstheme="minorBidi"/>
            <w:noProof/>
            <w:lang w:eastAsia="de-DE"/>
          </w:rPr>
          <w:tab/>
        </w:r>
        <w:r w:rsidR="009C32E7" w:rsidRPr="00AD70DE">
          <w:rPr>
            <w:rStyle w:val="Hyperlink"/>
            <w:noProof/>
          </w:rPr>
          <w:t>References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_Toc37243511 \h </w:instrText>
        </w:r>
        <w:r w:rsidR="009C32E7" w:rsidRPr="00AD70DE">
          <w:rPr>
            <w:noProof/>
            <w:webHidden/>
          </w:rPr>
        </w:r>
        <w:r w:rsidR="009C32E7" w:rsidRPr="00AD70DE">
          <w:rPr>
            <w:noProof/>
            <w:webHidden/>
          </w:rPr>
          <w:fldChar w:fldCharType="separate"/>
        </w:r>
        <w:r w:rsidR="000B6E0A">
          <w:rPr>
            <w:noProof/>
            <w:webHidden/>
          </w:rPr>
          <w:t>49</w:t>
        </w:r>
        <w:r w:rsidR="009C32E7" w:rsidRPr="00AD70DE">
          <w:rPr>
            <w:noProof/>
            <w:webHidden/>
          </w:rPr>
          <w:fldChar w:fldCharType="end"/>
        </w:r>
      </w:hyperlink>
    </w:p>
    <w:p w:rsidR="009C32E7" w:rsidRPr="00AD70DE" w:rsidRDefault="007645B8" w:rsidP="00AD70DE">
      <w:pPr>
        <w:pStyle w:val="Verzeichnis1"/>
        <w:tabs>
          <w:tab w:val="left" w:pos="660"/>
          <w:tab w:val="right" w:leader="dot" w:pos="9063"/>
        </w:tabs>
        <w:rPr>
          <w:rFonts w:asciiTheme="minorHAnsi" w:eastAsiaTheme="minorEastAsia" w:hAnsiTheme="minorHAnsi" w:cstheme="minorBidi"/>
          <w:noProof/>
          <w:lang w:eastAsia="de-DE"/>
        </w:rPr>
      </w:pPr>
      <w:hyperlink w:anchor="_Toc37243512" w:history="1">
        <w:r w:rsidR="009C32E7" w:rsidRPr="00AD70DE">
          <w:rPr>
            <w:rStyle w:val="Hyperlink"/>
            <w:noProof/>
          </w:rPr>
          <w:t>16.</w:t>
        </w:r>
        <w:r w:rsidR="009C32E7" w:rsidRPr="00AD70DE">
          <w:rPr>
            <w:rFonts w:asciiTheme="minorHAnsi" w:eastAsiaTheme="minorEastAsia" w:hAnsiTheme="minorHAnsi" w:cstheme="minorBidi"/>
            <w:noProof/>
            <w:lang w:eastAsia="de-DE"/>
          </w:rPr>
          <w:tab/>
        </w:r>
        <w:r w:rsidR="009C32E7" w:rsidRPr="00AD70DE">
          <w:rPr>
            <w:rStyle w:val="Hyperlink"/>
            <w:noProof/>
          </w:rPr>
          <w:t>Appendix</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_Toc37243512 \h </w:instrText>
        </w:r>
        <w:r w:rsidR="009C32E7" w:rsidRPr="00AD70DE">
          <w:rPr>
            <w:noProof/>
            <w:webHidden/>
          </w:rPr>
        </w:r>
        <w:r w:rsidR="009C32E7" w:rsidRPr="00AD70DE">
          <w:rPr>
            <w:noProof/>
            <w:webHidden/>
          </w:rPr>
          <w:fldChar w:fldCharType="separate"/>
        </w:r>
        <w:r w:rsidR="000B6E0A">
          <w:rPr>
            <w:noProof/>
            <w:webHidden/>
          </w:rPr>
          <w:t>50</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13"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16.1.</w:t>
        </w:r>
        <w:r w:rsidR="009C32E7" w:rsidRPr="00AD70DE">
          <w:rPr>
            <w:rFonts w:asciiTheme="minorHAnsi" w:eastAsiaTheme="minorEastAsia" w:hAnsiTheme="minorHAnsi" w:cstheme="minorBidi"/>
            <w:noProof/>
            <w:lang w:eastAsia="de-DE"/>
          </w:rPr>
          <w:tab/>
        </w:r>
        <w:r w:rsidR="009C32E7" w:rsidRPr="00AD70DE">
          <w:rPr>
            <w:rStyle w:val="Hyperlink"/>
            <w:noProof/>
          </w:rPr>
          <w:t>Definition of AEs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_Toc37243513 \h </w:instrText>
        </w:r>
        <w:r w:rsidR="009C32E7" w:rsidRPr="00AD70DE">
          <w:rPr>
            <w:noProof/>
            <w:webHidden/>
          </w:rPr>
        </w:r>
        <w:r w:rsidR="009C32E7" w:rsidRPr="00AD70DE">
          <w:rPr>
            <w:noProof/>
            <w:webHidden/>
          </w:rPr>
          <w:fldChar w:fldCharType="separate"/>
        </w:r>
        <w:r w:rsidR="000B6E0A">
          <w:rPr>
            <w:noProof/>
            <w:webHidden/>
          </w:rPr>
          <w:t>50</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14"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16.2.</w:t>
        </w:r>
        <w:r w:rsidR="009C32E7" w:rsidRPr="00AD70DE">
          <w:rPr>
            <w:rFonts w:asciiTheme="minorHAnsi" w:eastAsiaTheme="minorEastAsia" w:hAnsiTheme="minorHAnsi" w:cstheme="minorBidi"/>
            <w:noProof/>
            <w:lang w:eastAsia="de-DE"/>
          </w:rPr>
          <w:tab/>
        </w:r>
        <w:r w:rsidR="009C32E7" w:rsidRPr="00AD70DE">
          <w:rPr>
            <w:rStyle w:val="Hyperlink"/>
            <w:noProof/>
          </w:rPr>
          <w:t>Responsibilities of the PI</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_Toc37243514 \h </w:instrText>
        </w:r>
        <w:r w:rsidR="009C32E7" w:rsidRPr="00AD70DE">
          <w:rPr>
            <w:noProof/>
            <w:webHidden/>
          </w:rPr>
        </w:r>
        <w:r w:rsidR="009C32E7" w:rsidRPr="00AD70DE">
          <w:rPr>
            <w:noProof/>
            <w:webHidden/>
          </w:rPr>
          <w:fldChar w:fldCharType="separate"/>
        </w:r>
        <w:r w:rsidR="000B6E0A">
          <w:rPr>
            <w:noProof/>
            <w:webHidden/>
          </w:rPr>
          <w:t>55</w:t>
        </w:r>
        <w:r w:rsidR="009C32E7" w:rsidRPr="00AD70DE">
          <w:rPr>
            <w:noProof/>
            <w:webHidden/>
          </w:rPr>
          <w:fldChar w:fldCharType="end"/>
        </w:r>
      </w:hyperlink>
    </w:p>
    <w:p w:rsidR="009C32E7" w:rsidRPr="00AD70DE" w:rsidRDefault="007645B8" w:rsidP="00AD70DE">
      <w:pPr>
        <w:pStyle w:val="Verzeichnis2"/>
        <w:tabs>
          <w:tab w:val="left" w:pos="1100"/>
          <w:tab w:val="right" w:leader="dot" w:pos="9063"/>
        </w:tabs>
        <w:rPr>
          <w:rFonts w:asciiTheme="minorHAnsi" w:eastAsiaTheme="minorEastAsia" w:hAnsiTheme="minorHAnsi" w:cstheme="minorBidi"/>
          <w:noProof/>
          <w:lang w:eastAsia="de-DE"/>
        </w:rPr>
      </w:pPr>
      <w:hyperlink w:anchor="_Toc37243515" w:history="1">
        <w:r w:rsidR="009C32E7" w:rsidRPr="00AD70DE">
          <w:rPr>
            <w:rStyle w:val="Hyperlink"/>
            <w:noProof/>
            <w14:scene3d>
              <w14:camera w14:prst="orthographicFront"/>
              <w14:lightRig w14:rig="threePt" w14:dir="t">
                <w14:rot w14:lat="0" w14:lon="0" w14:rev="0"/>
              </w14:lightRig>
            </w14:scene3d>
            <w14:props3d w14:extrusionH="0" w14:contourW="0" w14:prstMaterial="warmMatte"/>
          </w:rPr>
          <w:t>16.3.</w:t>
        </w:r>
        <w:r w:rsidR="009C32E7" w:rsidRPr="00AD70DE">
          <w:rPr>
            <w:rFonts w:asciiTheme="minorHAnsi" w:eastAsiaTheme="minorEastAsia" w:hAnsiTheme="minorHAnsi" w:cstheme="minorBidi"/>
            <w:noProof/>
            <w:lang w:eastAsia="de-DE"/>
          </w:rPr>
          <w:tab/>
        </w:r>
        <w:r w:rsidR="009C32E7" w:rsidRPr="00AD70DE">
          <w:rPr>
            <w:rStyle w:val="Hyperlink"/>
            <w:noProof/>
          </w:rPr>
          <w:t>Contraindicated drugs</w:t>
        </w:r>
        <w:r w:rsidR="009C32E7" w:rsidRPr="00AD70DE">
          <w:rPr>
            <w:noProof/>
            <w:webHidden/>
          </w:rPr>
          <w:tab/>
        </w:r>
        <w:r w:rsidR="009C32E7" w:rsidRPr="00AD70DE">
          <w:rPr>
            <w:noProof/>
            <w:webHidden/>
          </w:rPr>
          <w:fldChar w:fldCharType="begin"/>
        </w:r>
        <w:r w:rsidR="009C32E7" w:rsidRPr="00AD70DE">
          <w:rPr>
            <w:noProof/>
            <w:webHidden/>
          </w:rPr>
          <w:instrText xml:space="preserve"> PAGEREF _Toc37243515 \h </w:instrText>
        </w:r>
        <w:r w:rsidR="009C32E7" w:rsidRPr="00AD70DE">
          <w:rPr>
            <w:noProof/>
            <w:webHidden/>
          </w:rPr>
        </w:r>
        <w:r w:rsidR="009C32E7" w:rsidRPr="00AD70DE">
          <w:rPr>
            <w:noProof/>
            <w:webHidden/>
          </w:rPr>
          <w:fldChar w:fldCharType="separate"/>
        </w:r>
        <w:r w:rsidR="000B6E0A">
          <w:rPr>
            <w:noProof/>
            <w:webHidden/>
          </w:rPr>
          <w:t>56</w:t>
        </w:r>
        <w:r w:rsidR="009C32E7" w:rsidRPr="00AD70DE">
          <w:rPr>
            <w:noProof/>
            <w:webHidden/>
          </w:rPr>
          <w:fldChar w:fldCharType="end"/>
        </w:r>
      </w:hyperlink>
    </w:p>
    <w:p w:rsidR="009C32E7" w:rsidRPr="00AD70DE" w:rsidRDefault="009C32E7" w:rsidP="00AD70DE">
      <w:pPr>
        <w:spacing w:after="0" w:line="240" w:lineRule="auto"/>
        <w:rPr>
          <w:sz w:val="32"/>
        </w:rPr>
      </w:pPr>
      <w:r w:rsidRPr="00AD70DE">
        <w:rPr>
          <w:sz w:val="32"/>
        </w:rPr>
        <w:fldChar w:fldCharType="end"/>
      </w:r>
      <w:r w:rsidRPr="00AD70DE">
        <w:rPr>
          <w:sz w:val="32"/>
        </w:rPr>
        <w:br w:type="page"/>
      </w:r>
      <w:bookmarkStart w:id="7" w:name="_Toc434223596"/>
      <w:bookmarkStart w:id="8" w:name="_Toc256000002"/>
      <w:bookmarkStart w:id="9" w:name="_Toc256000071"/>
      <w:bookmarkStart w:id="10" w:name="_Toc356376149"/>
    </w:p>
    <w:p w:rsidR="009C32E7" w:rsidRPr="00AD70DE" w:rsidRDefault="009C32E7" w:rsidP="00AD70DE">
      <w:pPr>
        <w:pStyle w:val="berschrift1"/>
        <w:numPr>
          <w:ilvl w:val="0"/>
          <w:numId w:val="35"/>
        </w:numPr>
        <w:spacing w:before="360" w:after="160" w:line="256" w:lineRule="auto"/>
      </w:pPr>
      <w:bookmarkStart w:id="11" w:name="_Toc491340311"/>
      <w:bookmarkStart w:id="12" w:name="_Toc469498866"/>
      <w:bookmarkStart w:id="13" w:name="_Toc461443252"/>
      <w:bookmarkStart w:id="14" w:name="_Toc455594062"/>
      <w:bookmarkStart w:id="15" w:name="_Toc434223597"/>
      <w:bookmarkStart w:id="16" w:name="_Toc256000003"/>
      <w:bookmarkStart w:id="17" w:name="_Toc256000074"/>
      <w:bookmarkStart w:id="18" w:name="_Toc256000005"/>
      <w:bookmarkStart w:id="19" w:name="_Toc256000239"/>
      <w:bookmarkStart w:id="20" w:name="_Toc256000331"/>
      <w:bookmarkStart w:id="21" w:name="_Toc256000423"/>
      <w:bookmarkStart w:id="22" w:name="_Toc256000515"/>
      <w:bookmarkStart w:id="23" w:name="_Toc256000607"/>
      <w:bookmarkStart w:id="24" w:name="_Toc256000699"/>
      <w:bookmarkStart w:id="25" w:name="_Toc256000791"/>
      <w:bookmarkStart w:id="26" w:name="_Toc256000883"/>
      <w:bookmarkStart w:id="27" w:name="_Toc256000975"/>
      <w:bookmarkStart w:id="28" w:name="_Toc256001067"/>
      <w:bookmarkStart w:id="29" w:name="_Toc256001159"/>
      <w:bookmarkStart w:id="30" w:name="_Toc256001251"/>
      <w:bookmarkStart w:id="31" w:name="_Toc256001343"/>
      <w:bookmarkStart w:id="32" w:name="_Toc256001435"/>
      <w:bookmarkStart w:id="33" w:name="_Toc256001527"/>
      <w:bookmarkStart w:id="34" w:name="_Toc256001619"/>
      <w:bookmarkStart w:id="35" w:name="_Toc256001711"/>
      <w:bookmarkStart w:id="36" w:name="_Toc256001803"/>
      <w:bookmarkStart w:id="37" w:name="_Toc256001895"/>
      <w:bookmarkStart w:id="38" w:name="_Toc256000023"/>
      <w:bookmarkStart w:id="39" w:name="_Toc256000014"/>
      <w:bookmarkStart w:id="40" w:name="_Toc256000320"/>
      <w:bookmarkStart w:id="41" w:name="_Toc256000596"/>
      <w:bookmarkStart w:id="42" w:name="_Toc256000880"/>
      <w:bookmarkStart w:id="43" w:name="_Toc256001112"/>
      <w:bookmarkStart w:id="44" w:name="_Toc256001356"/>
      <w:bookmarkStart w:id="45" w:name="_Toc256001578"/>
      <w:bookmarkStart w:id="46" w:name="_Toc256001832"/>
      <w:bookmarkStart w:id="47" w:name="_Toc256002015"/>
      <w:bookmarkStart w:id="48" w:name="_Toc256002112"/>
      <w:bookmarkStart w:id="49" w:name="_Toc256002209"/>
      <w:bookmarkStart w:id="50" w:name="_Toc256002306"/>
      <w:bookmarkStart w:id="51" w:name="_Toc9613114"/>
      <w:bookmarkStart w:id="52" w:name="_Toc37173010"/>
      <w:bookmarkStart w:id="53" w:name="_Toc37243402"/>
      <w:bookmarkEnd w:id="7"/>
      <w:bookmarkEnd w:id="8"/>
      <w:bookmarkEnd w:id="9"/>
      <w:r w:rsidRPr="00AD70DE">
        <w:t>Abbreviations</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tbl>
      <w:tblPr>
        <w:tblW w:w="0" w:type="auto"/>
        <w:tblLook w:val="01E0" w:firstRow="1" w:lastRow="1" w:firstColumn="1" w:lastColumn="1" w:noHBand="0" w:noVBand="0"/>
      </w:tblPr>
      <w:tblGrid>
        <w:gridCol w:w="1100"/>
        <w:gridCol w:w="7750"/>
      </w:tblGrid>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AE</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Adverse event</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AMG</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 xml:space="preserve">(German) </w:t>
            </w:r>
            <w:proofErr w:type="spellStart"/>
            <w:r w:rsidRPr="00AD70DE">
              <w:rPr>
                <w:rFonts w:cs="Calibri"/>
                <w:sz w:val="20"/>
                <w:szCs w:val="20"/>
                <w:lang w:val="en-GB"/>
              </w:rPr>
              <w:t>Arzneimittelgesetz</w:t>
            </w:r>
            <w:proofErr w:type="spellEnd"/>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aPTT</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Activated partial thromboplastin time</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AUC</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Area under the concentration-time curve</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AUC</w:t>
            </w:r>
            <w:r w:rsidRPr="00AD70DE">
              <w:rPr>
                <w:rFonts w:cs="Calibri"/>
                <w:sz w:val="20"/>
                <w:szCs w:val="20"/>
                <w:vertAlign w:val="subscript"/>
                <w:lang w:val="en-GB"/>
              </w:rPr>
              <w:t>0-</w:t>
            </w:r>
            <w:r w:rsidRPr="00AD70DE">
              <w:rPr>
                <w:rFonts w:ascii="Symbol" w:hAnsi="Symbol" w:cs="Calibri"/>
                <w:sz w:val="20"/>
                <w:szCs w:val="20"/>
                <w:vertAlign w:val="subscript"/>
                <w:lang w:val="en-GB"/>
              </w:rPr>
              <w:sym w:font="Symbol" w:char="F0B5"/>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Area under the concentration-time curve extrapolated to infinity</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color w:val="000000"/>
                <w:sz w:val="20"/>
                <w:szCs w:val="20"/>
                <w:lang w:val="en-GB"/>
              </w:rPr>
              <w:t>BfArM</w:t>
            </w:r>
          </w:p>
        </w:tc>
        <w:tc>
          <w:tcPr>
            <w:tcW w:w="7750" w:type="dxa"/>
            <w:hideMark/>
          </w:tcPr>
          <w:p w:rsidR="009C32E7" w:rsidRPr="00AD70DE" w:rsidRDefault="009C32E7" w:rsidP="00AD70DE">
            <w:pPr>
              <w:spacing w:line="256" w:lineRule="auto"/>
              <w:rPr>
                <w:sz w:val="20"/>
              </w:rPr>
            </w:pPr>
            <w:r w:rsidRPr="00AD70DE">
              <w:rPr>
                <w:rFonts w:cs="Calibri"/>
                <w:color w:val="000000"/>
                <w:sz w:val="20"/>
                <w:szCs w:val="20"/>
              </w:rPr>
              <w:t>Bundesinstitut für Arzneimittel und Medizinprodukte (</w:t>
            </w:r>
            <w:r w:rsidRPr="00AD70DE">
              <w:rPr>
                <w:sz w:val="20"/>
                <w:szCs w:val="20"/>
              </w:rPr>
              <w:t xml:space="preserve">Federal Institute </w:t>
            </w:r>
            <w:proofErr w:type="spellStart"/>
            <w:r w:rsidRPr="00AD70DE">
              <w:rPr>
                <w:sz w:val="20"/>
                <w:szCs w:val="20"/>
              </w:rPr>
              <w:t>for</w:t>
            </w:r>
            <w:proofErr w:type="spellEnd"/>
            <w:r w:rsidRPr="00AD70DE">
              <w:rPr>
                <w:sz w:val="20"/>
                <w:szCs w:val="20"/>
              </w:rPr>
              <w:t xml:space="preserve"> Drugs and Medical Devices</w:t>
            </w:r>
            <w:r w:rsidRPr="00AD70DE">
              <w:rPr>
                <w:rFonts w:cs="Calibri"/>
                <w:color w:val="000000"/>
                <w:sz w:val="20"/>
                <w:szCs w:val="20"/>
              </w:rPr>
              <w:t>)</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color w:val="000000"/>
                <w:sz w:val="20"/>
                <w:szCs w:val="20"/>
                <w:lang w:val="en-GB"/>
              </w:rPr>
              <w:t>CK</w:t>
            </w:r>
          </w:p>
        </w:tc>
        <w:tc>
          <w:tcPr>
            <w:tcW w:w="7750" w:type="dxa"/>
            <w:hideMark/>
          </w:tcPr>
          <w:p w:rsidR="009C32E7" w:rsidRPr="00AD70DE" w:rsidRDefault="009C32E7" w:rsidP="00AD70DE">
            <w:pPr>
              <w:spacing w:line="256" w:lineRule="auto"/>
              <w:rPr>
                <w:rFonts w:cs="Calibri"/>
                <w:sz w:val="20"/>
                <w:szCs w:val="20"/>
                <w:lang w:val="en-GB"/>
              </w:rPr>
            </w:pPr>
            <w:proofErr w:type="spellStart"/>
            <w:r w:rsidRPr="00AD70DE">
              <w:rPr>
                <w:rFonts w:cs="Calibri"/>
                <w:sz w:val="20"/>
                <w:szCs w:val="20"/>
                <w:lang w:val="en-GB"/>
              </w:rPr>
              <w:t>Creatine</w:t>
            </w:r>
            <w:proofErr w:type="spellEnd"/>
            <w:r w:rsidRPr="00AD70DE">
              <w:rPr>
                <w:rFonts w:cs="Calibri"/>
                <w:sz w:val="20"/>
                <w:szCs w:val="20"/>
                <w:lang w:val="en-GB"/>
              </w:rPr>
              <w:t xml:space="preserve"> kinase</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proofErr w:type="spellStart"/>
            <w:r w:rsidRPr="00AD70DE">
              <w:rPr>
                <w:rFonts w:cs="Calibri"/>
                <w:color w:val="000000"/>
                <w:sz w:val="20"/>
                <w:szCs w:val="20"/>
                <w:lang w:val="en-GB"/>
              </w:rPr>
              <w:t>C</w:t>
            </w:r>
            <w:r w:rsidRPr="00AD70DE">
              <w:rPr>
                <w:rFonts w:cs="Calibri"/>
                <w:color w:val="000000"/>
                <w:sz w:val="20"/>
                <w:szCs w:val="20"/>
                <w:vertAlign w:val="subscript"/>
                <w:lang w:val="en-GB"/>
              </w:rPr>
              <w:t>max</w:t>
            </w:r>
            <w:proofErr w:type="spellEnd"/>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Maximum concentration</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Cl</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Clearance</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proofErr w:type="spellStart"/>
            <w:r w:rsidRPr="00AD70DE">
              <w:rPr>
                <w:rFonts w:cs="Calibri"/>
                <w:sz w:val="20"/>
                <w:szCs w:val="20"/>
                <w:lang w:val="en-GB"/>
              </w:rPr>
              <w:t>Crea</w:t>
            </w:r>
            <w:proofErr w:type="spellEnd"/>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Creatinine</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CRF</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Case report form</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CTCAE</w:t>
            </w:r>
          </w:p>
        </w:tc>
        <w:tc>
          <w:tcPr>
            <w:tcW w:w="7750" w:type="dxa"/>
            <w:hideMark/>
          </w:tcPr>
          <w:p w:rsidR="009C32E7" w:rsidRPr="00AD70DE" w:rsidRDefault="009C32E7" w:rsidP="00AD70DE">
            <w:pPr>
              <w:spacing w:line="256" w:lineRule="auto"/>
              <w:rPr>
                <w:rFonts w:cs="Calibri"/>
                <w:sz w:val="20"/>
                <w:szCs w:val="20"/>
                <w:lang w:val="en-GB"/>
              </w:rPr>
            </w:pPr>
            <w:r w:rsidRPr="00AD70DE">
              <w:rPr>
                <w:sz w:val="20"/>
                <w:szCs w:val="20"/>
                <w:lang w:val="en-GB" w:eastAsia="de-DE"/>
              </w:rPr>
              <w:t>Common Terminology Criteria for Adverse Events</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CYP</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Cytochrome P450 isozyme</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d</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Day(s)</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DSGVO</w:t>
            </w:r>
          </w:p>
        </w:tc>
        <w:tc>
          <w:tcPr>
            <w:tcW w:w="7750" w:type="dxa"/>
            <w:hideMark/>
          </w:tcPr>
          <w:p w:rsidR="009C32E7" w:rsidRPr="00AD70DE" w:rsidRDefault="009C32E7" w:rsidP="00AD70DE">
            <w:pPr>
              <w:spacing w:line="256" w:lineRule="auto"/>
              <w:rPr>
                <w:rFonts w:cs="Calibri"/>
                <w:sz w:val="20"/>
                <w:szCs w:val="20"/>
                <w:lang w:val="en-GB"/>
              </w:rPr>
            </w:pPr>
            <w:proofErr w:type="spellStart"/>
            <w:r w:rsidRPr="00AD70DE">
              <w:rPr>
                <w:rFonts w:cs="Calibri"/>
                <w:sz w:val="20"/>
                <w:szCs w:val="20"/>
                <w:lang w:val="en-GB"/>
              </w:rPr>
              <w:t>Datenschutzgrundverordnung</w:t>
            </w:r>
            <w:proofErr w:type="spellEnd"/>
            <w:r w:rsidRPr="00AD70DE">
              <w:rPr>
                <w:rFonts w:cs="Calibri"/>
                <w:sz w:val="20"/>
                <w:szCs w:val="20"/>
                <w:lang w:val="en-GB"/>
              </w:rPr>
              <w:t xml:space="preserve"> (General Data Protection Regulation of the EU)</w:t>
            </w:r>
          </w:p>
        </w:tc>
      </w:tr>
      <w:tr w:rsidR="009C32E7" w:rsidRPr="00AD70DE">
        <w:trPr>
          <w:trHeight w:val="445"/>
        </w:trPr>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ECG</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Electrocardiogram</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color w:val="000000"/>
                <w:sz w:val="20"/>
                <w:szCs w:val="20"/>
                <w:lang w:val="en-GB"/>
              </w:rPr>
              <w:t>eCRF</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color w:val="000000"/>
                <w:sz w:val="20"/>
                <w:szCs w:val="20"/>
                <w:lang w:val="en-GB"/>
              </w:rPr>
              <w:t>Electronic case report form</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EOT</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End-of-trial visit</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FDA</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Helvetica"/>
                <w:sz w:val="20"/>
                <w:szCs w:val="20"/>
                <w:lang w:val="en-GB" w:eastAsia="de-DE"/>
              </w:rPr>
              <w:t>(US) Food and Drug Administration</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GCP</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Good Clinical Practice</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sz w:val="20"/>
                <w:szCs w:val="20"/>
                <w:lang w:val="en-GB"/>
              </w:rPr>
              <w:t>GCP-V</w:t>
            </w:r>
          </w:p>
        </w:tc>
        <w:tc>
          <w:tcPr>
            <w:tcW w:w="7750" w:type="dxa"/>
            <w:hideMark/>
          </w:tcPr>
          <w:p w:rsidR="009C32E7" w:rsidRPr="00AD70DE" w:rsidRDefault="009C32E7" w:rsidP="00AD70DE">
            <w:pPr>
              <w:rPr>
                <w:sz w:val="20"/>
              </w:rPr>
            </w:pPr>
            <w:proofErr w:type="spellStart"/>
            <w:r w:rsidRPr="00AD70DE">
              <w:rPr>
                <w:sz w:val="20"/>
              </w:rPr>
              <w:t>Good</w:t>
            </w:r>
            <w:proofErr w:type="spellEnd"/>
            <w:r w:rsidRPr="00AD70DE">
              <w:rPr>
                <w:sz w:val="20"/>
              </w:rPr>
              <w:t xml:space="preserve"> Clinical Practice - Act</w:t>
            </w:r>
          </w:p>
          <w:p w:rsidR="009C32E7" w:rsidRPr="00AD70DE" w:rsidRDefault="009C32E7" w:rsidP="00AD70DE">
            <w:pPr>
              <w:spacing w:line="256" w:lineRule="auto"/>
              <w:rPr>
                <w:sz w:val="20"/>
              </w:rPr>
            </w:pPr>
            <w:r w:rsidRPr="00AD70DE">
              <w:rPr>
                <w:sz w:val="20"/>
              </w:rPr>
              <w:t>Verordnung über die Anwendung der Guten Klinischen Praxis bei der Durchführung von klinischen Prüfungen mit Arzneimitteln zur Anwendung am Menschen</w:t>
            </w:r>
          </w:p>
        </w:tc>
      </w:tr>
      <w:tr w:rsidR="009C32E7" w:rsidRPr="00AD70DE">
        <w:tc>
          <w:tcPr>
            <w:tcW w:w="1100" w:type="dxa"/>
            <w:hideMark/>
          </w:tcPr>
          <w:p w:rsidR="009C32E7" w:rsidRPr="00AD70DE" w:rsidRDefault="009C32E7" w:rsidP="00AD70DE">
            <w:pPr>
              <w:spacing w:line="256" w:lineRule="auto"/>
              <w:rPr>
                <w:sz w:val="20"/>
                <w:szCs w:val="20"/>
                <w:lang w:val="en-GB"/>
              </w:rPr>
            </w:pPr>
            <w:r w:rsidRPr="00AD70DE">
              <w:rPr>
                <w:sz w:val="20"/>
                <w:szCs w:val="20"/>
                <w:lang w:val="en-GB"/>
              </w:rPr>
              <w:t>h</w:t>
            </w:r>
          </w:p>
        </w:tc>
        <w:tc>
          <w:tcPr>
            <w:tcW w:w="7750" w:type="dxa"/>
            <w:hideMark/>
          </w:tcPr>
          <w:p w:rsidR="009C32E7" w:rsidRPr="00AD70DE" w:rsidRDefault="009C32E7" w:rsidP="00AD70DE">
            <w:pPr>
              <w:spacing w:line="256" w:lineRule="auto"/>
              <w:rPr>
                <w:sz w:val="20"/>
                <w:lang w:val="en-GB"/>
              </w:rPr>
            </w:pPr>
            <w:r w:rsidRPr="00AD70DE">
              <w:rPr>
                <w:sz w:val="20"/>
                <w:lang w:val="en-GB"/>
              </w:rPr>
              <w:t>Hour(s)</w:t>
            </w:r>
          </w:p>
        </w:tc>
      </w:tr>
      <w:tr w:rsidR="009C32E7" w:rsidRPr="00AD70DE">
        <w:tc>
          <w:tcPr>
            <w:tcW w:w="1100" w:type="dxa"/>
            <w:hideMark/>
          </w:tcPr>
          <w:p w:rsidR="009C32E7" w:rsidRPr="00AD70DE" w:rsidRDefault="009C32E7" w:rsidP="00AD70DE">
            <w:pPr>
              <w:spacing w:line="256" w:lineRule="auto"/>
              <w:rPr>
                <w:sz w:val="20"/>
                <w:szCs w:val="20"/>
                <w:lang w:val="en-GB"/>
              </w:rPr>
            </w:pPr>
            <w:r w:rsidRPr="00AD70DE">
              <w:rPr>
                <w:sz w:val="20"/>
                <w:szCs w:val="20"/>
                <w:lang w:val="en-GB"/>
              </w:rPr>
              <w:t>HCQ</w:t>
            </w:r>
          </w:p>
        </w:tc>
        <w:tc>
          <w:tcPr>
            <w:tcW w:w="7750" w:type="dxa"/>
            <w:hideMark/>
          </w:tcPr>
          <w:p w:rsidR="009C32E7" w:rsidRPr="00AD70DE" w:rsidRDefault="009C32E7" w:rsidP="00AD70DE">
            <w:pPr>
              <w:spacing w:line="256" w:lineRule="auto"/>
              <w:rPr>
                <w:sz w:val="20"/>
                <w:szCs w:val="20"/>
                <w:lang w:val="en-GB"/>
              </w:rPr>
            </w:pPr>
            <w:r w:rsidRPr="00AD70DE">
              <w:rPr>
                <w:sz w:val="20"/>
                <w:szCs w:val="20"/>
                <w:lang w:val="en-GB"/>
              </w:rPr>
              <w:t>Hydroxychloroquine</w:t>
            </w:r>
          </w:p>
        </w:tc>
      </w:tr>
      <w:tr w:rsidR="009C32E7" w:rsidRPr="00AD70DE">
        <w:tc>
          <w:tcPr>
            <w:tcW w:w="1100" w:type="dxa"/>
            <w:hideMark/>
          </w:tcPr>
          <w:p w:rsidR="009C32E7" w:rsidRPr="00AD70DE" w:rsidRDefault="009C32E7" w:rsidP="00AD70DE">
            <w:pPr>
              <w:spacing w:line="256" w:lineRule="auto"/>
              <w:rPr>
                <w:sz w:val="20"/>
                <w:szCs w:val="20"/>
                <w:lang w:val="en-GB"/>
              </w:rPr>
            </w:pPr>
            <w:r w:rsidRPr="00AD70DE">
              <w:rPr>
                <w:sz w:val="20"/>
                <w:szCs w:val="20"/>
                <w:lang w:val="en-GB"/>
              </w:rPr>
              <w:t>HIV</w:t>
            </w:r>
          </w:p>
        </w:tc>
        <w:tc>
          <w:tcPr>
            <w:tcW w:w="7750" w:type="dxa"/>
            <w:hideMark/>
          </w:tcPr>
          <w:p w:rsidR="009C32E7" w:rsidRPr="00AD70DE" w:rsidRDefault="009C32E7" w:rsidP="00AD70DE">
            <w:pPr>
              <w:spacing w:line="256" w:lineRule="auto"/>
              <w:rPr>
                <w:sz w:val="20"/>
                <w:szCs w:val="20"/>
                <w:lang w:val="en-GB"/>
              </w:rPr>
            </w:pPr>
            <w:r w:rsidRPr="00AD70DE">
              <w:rPr>
                <w:rFonts w:cs="Times"/>
                <w:sz w:val="20"/>
                <w:szCs w:val="20"/>
                <w:lang w:val="en-GB" w:eastAsia="de-DE"/>
              </w:rPr>
              <w:t>Human immunodeficiency virus</w:t>
            </w:r>
          </w:p>
        </w:tc>
      </w:tr>
      <w:tr w:rsidR="009C32E7" w:rsidRPr="00AD70DE">
        <w:tc>
          <w:tcPr>
            <w:tcW w:w="1100" w:type="dxa"/>
            <w:hideMark/>
          </w:tcPr>
          <w:p w:rsidR="009C32E7" w:rsidRPr="00AD70DE" w:rsidRDefault="009C32E7" w:rsidP="00AD70DE">
            <w:pPr>
              <w:spacing w:line="256" w:lineRule="auto"/>
              <w:rPr>
                <w:sz w:val="20"/>
                <w:szCs w:val="20"/>
                <w:lang w:val="en-GB"/>
              </w:rPr>
            </w:pPr>
            <w:r w:rsidRPr="00AD70DE">
              <w:rPr>
                <w:sz w:val="20"/>
                <w:szCs w:val="20"/>
                <w:lang w:val="en-GB"/>
              </w:rPr>
              <w:t>HR</w:t>
            </w:r>
          </w:p>
        </w:tc>
        <w:tc>
          <w:tcPr>
            <w:tcW w:w="7750" w:type="dxa"/>
            <w:hideMark/>
          </w:tcPr>
          <w:p w:rsidR="009C32E7" w:rsidRPr="00AD70DE" w:rsidRDefault="009C32E7" w:rsidP="00AD70DE">
            <w:pPr>
              <w:spacing w:line="256" w:lineRule="auto"/>
              <w:rPr>
                <w:rFonts w:cs="Times"/>
                <w:sz w:val="20"/>
                <w:szCs w:val="20"/>
                <w:lang w:val="en-GB" w:eastAsia="de-DE"/>
              </w:rPr>
            </w:pPr>
            <w:r w:rsidRPr="00AD70DE">
              <w:rPr>
                <w:rFonts w:cs="Times"/>
                <w:sz w:val="20"/>
                <w:szCs w:val="20"/>
                <w:lang w:val="en-GB" w:eastAsia="de-DE"/>
              </w:rPr>
              <w:t>Heart rate</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sz w:val="20"/>
                <w:szCs w:val="20"/>
                <w:lang w:val="en-GB"/>
              </w:rPr>
              <w:t>ICH</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International Council for Harmonisation of Technical Requirements for Pharmaceuticals for Human Use</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IMP</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Investigational medicinal product</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INN</w:t>
            </w:r>
          </w:p>
        </w:tc>
        <w:tc>
          <w:tcPr>
            <w:tcW w:w="7750" w:type="dxa"/>
            <w:hideMark/>
          </w:tcPr>
          <w:p w:rsidR="009C32E7" w:rsidRPr="00AD70DE" w:rsidRDefault="009C32E7" w:rsidP="00AD70DE">
            <w:pPr>
              <w:spacing w:line="256" w:lineRule="auto"/>
              <w:rPr>
                <w:sz w:val="20"/>
                <w:szCs w:val="20"/>
                <w:lang w:val="en-GB"/>
              </w:rPr>
            </w:pPr>
            <w:r w:rsidRPr="00AD70DE">
              <w:rPr>
                <w:sz w:val="20"/>
                <w:szCs w:val="20"/>
                <w:lang w:val="en-GB"/>
              </w:rPr>
              <w:t xml:space="preserve">International </w:t>
            </w:r>
            <w:proofErr w:type="spellStart"/>
            <w:r w:rsidRPr="00AD70DE">
              <w:rPr>
                <w:sz w:val="20"/>
                <w:szCs w:val="20"/>
                <w:lang w:val="en-GB"/>
              </w:rPr>
              <w:t>Nonproprietary</w:t>
            </w:r>
            <w:proofErr w:type="spellEnd"/>
            <w:r w:rsidRPr="00AD70DE">
              <w:rPr>
                <w:sz w:val="20"/>
                <w:szCs w:val="20"/>
                <w:lang w:val="en-GB"/>
              </w:rPr>
              <w:t xml:space="preserve"> Name</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INR</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International normalized ratio</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proofErr w:type="spellStart"/>
            <w:r w:rsidRPr="00AD70DE">
              <w:rPr>
                <w:rFonts w:cs="Calibri"/>
                <w:color w:val="000000"/>
                <w:sz w:val="20"/>
                <w:szCs w:val="20"/>
                <w:lang w:val="en-GB"/>
              </w:rPr>
              <w:t>KliPS</w:t>
            </w:r>
            <w:proofErr w:type="spellEnd"/>
          </w:p>
        </w:tc>
        <w:tc>
          <w:tcPr>
            <w:tcW w:w="7750" w:type="dxa"/>
            <w:hideMark/>
          </w:tcPr>
          <w:p w:rsidR="009C32E7" w:rsidRPr="00AD70DE" w:rsidRDefault="009C32E7" w:rsidP="00AD70DE">
            <w:pPr>
              <w:spacing w:line="256" w:lineRule="auto"/>
              <w:rPr>
                <w:color w:val="000000"/>
                <w:sz w:val="20"/>
                <w:szCs w:val="20"/>
              </w:rPr>
            </w:pPr>
            <w:r w:rsidRPr="00AD70DE">
              <w:rPr>
                <w:color w:val="000000"/>
                <w:sz w:val="20"/>
                <w:szCs w:val="20"/>
              </w:rPr>
              <w:t xml:space="preserve">Klinisch-Pharmakologisches Studienzentrum (Clinical Research Unit) </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min</w:t>
            </w:r>
          </w:p>
        </w:tc>
        <w:tc>
          <w:tcPr>
            <w:tcW w:w="7750" w:type="dxa"/>
            <w:hideMark/>
          </w:tcPr>
          <w:p w:rsidR="009C32E7" w:rsidRPr="00AD70DE" w:rsidRDefault="009C32E7" w:rsidP="00AD70DE">
            <w:pPr>
              <w:spacing w:line="256" w:lineRule="auto"/>
              <w:rPr>
                <w:color w:val="000000"/>
                <w:sz w:val="20"/>
                <w:szCs w:val="20"/>
                <w:lang w:val="en-GB"/>
              </w:rPr>
            </w:pPr>
            <w:r w:rsidRPr="00AD70DE">
              <w:rPr>
                <w:color w:val="000000"/>
                <w:sz w:val="20"/>
                <w:szCs w:val="20"/>
                <w:lang w:val="en-GB"/>
              </w:rPr>
              <w:t>Minute(s)</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MS/MS</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Tandem mass spectrometry</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PI</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Principal investigator</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proofErr w:type="spellStart"/>
            <w:r w:rsidRPr="00AD70DE">
              <w:rPr>
                <w:rFonts w:cs="Calibri"/>
                <w:sz w:val="20"/>
                <w:szCs w:val="20"/>
                <w:lang w:val="en-GB"/>
              </w:rPr>
              <w:t>p.o.</w:t>
            </w:r>
            <w:proofErr w:type="spellEnd"/>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 xml:space="preserve">Per </w:t>
            </w:r>
            <w:proofErr w:type="spellStart"/>
            <w:r w:rsidRPr="00AD70DE">
              <w:rPr>
                <w:rFonts w:cs="Calibri"/>
                <w:sz w:val="20"/>
                <w:szCs w:val="20"/>
                <w:lang w:val="en-GB"/>
              </w:rPr>
              <w:t>os</w:t>
            </w:r>
            <w:proofErr w:type="spellEnd"/>
            <w:r w:rsidRPr="00AD70DE">
              <w:rPr>
                <w:rFonts w:cs="Calibri"/>
                <w:sz w:val="20"/>
                <w:szCs w:val="20"/>
                <w:lang w:val="en-GB"/>
              </w:rPr>
              <w:t>, orally</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PK</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Pharmacokinetic(s)</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PPI</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Proton-pump inhibitor</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s</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Second(s)</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SAE</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Serious adverse event</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SCR</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Screening visit</w:t>
            </w:r>
          </w:p>
        </w:tc>
      </w:tr>
      <w:tr w:rsidR="009C32E7" w:rsidRPr="00AD70DE">
        <w:tc>
          <w:tcPr>
            <w:tcW w:w="1100" w:type="dxa"/>
          </w:tcPr>
          <w:p w:rsidR="009C32E7" w:rsidRPr="00AD70DE" w:rsidRDefault="009C32E7" w:rsidP="00AD70DE">
            <w:pPr>
              <w:spacing w:line="256" w:lineRule="auto"/>
              <w:rPr>
                <w:rFonts w:cs="Calibri"/>
                <w:color w:val="000000"/>
                <w:sz w:val="20"/>
                <w:szCs w:val="20"/>
                <w:lang w:val="en-GB"/>
              </w:rPr>
            </w:pPr>
            <w:proofErr w:type="spellStart"/>
            <w:r w:rsidRPr="00AD70DE">
              <w:rPr>
                <w:rFonts w:cs="Calibri"/>
                <w:color w:val="000000"/>
                <w:sz w:val="20"/>
                <w:szCs w:val="20"/>
                <w:lang w:val="en-GB"/>
              </w:rPr>
              <w:t>SmPC</w:t>
            </w:r>
            <w:proofErr w:type="spellEnd"/>
          </w:p>
        </w:tc>
        <w:tc>
          <w:tcPr>
            <w:tcW w:w="7750" w:type="dxa"/>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Summary of product characteristics</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SOP</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Standard operating procedure</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color w:val="000000"/>
                <w:sz w:val="20"/>
                <w:szCs w:val="20"/>
                <w:lang w:val="en-GB"/>
              </w:rPr>
              <w:t>SUSAR</w:t>
            </w:r>
          </w:p>
        </w:tc>
        <w:tc>
          <w:tcPr>
            <w:tcW w:w="7750" w:type="dxa"/>
            <w:hideMark/>
          </w:tcPr>
          <w:p w:rsidR="009C32E7" w:rsidRPr="00AD70DE" w:rsidRDefault="009C32E7" w:rsidP="00AD70DE">
            <w:pPr>
              <w:spacing w:line="256" w:lineRule="auto"/>
              <w:rPr>
                <w:rFonts w:cs="Calibri"/>
                <w:bCs/>
                <w:sz w:val="20"/>
                <w:szCs w:val="20"/>
                <w:lang w:val="en-GB"/>
              </w:rPr>
            </w:pPr>
            <w:r w:rsidRPr="00AD70DE">
              <w:rPr>
                <w:rFonts w:cs="Calibri"/>
                <w:color w:val="000000"/>
                <w:sz w:val="20"/>
                <w:szCs w:val="20"/>
                <w:lang w:val="en-GB"/>
              </w:rPr>
              <w:t>Suspected unexpected serious adverse reaction</w:t>
            </w:r>
          </w:p>
        </w:tc>
      </w:tr>
      <w:tr w:rsidR="009C32E7" w:rsidRPr="00AD70DE">
        <w:tc>
          <w:tcPr>
            <w:tcW w:w="1100" w:type="dxa"/>
            <w:hideMark/>
          </w:tcPr>
          <w:p w:rsidR="009C32E7" w:rsidRPr="00AD70DE" w:rsidRDefault="009C32E7" w:rsidP="00AD70DE">
            <w:pPr>
              <w:spacing w:line="256" w:lineRule="auto"/>
              <w:rPr>
                <w:rFonts w:cs="Calibri"/>
                <w:sz w:val="20"/>
                <w:szCs w:val="20"/>
                <w:vertAlign w:val="subscript"/>
                <w:lang w:val="en-GB"/>
              </w:rPr>
            </w:pPr>
            <w:proofErr w:type="spellStart"/>
            <w:r w:rsidRPr="00AD70DE">
              <w:rPr>
                <w:rFonts w:cs="Calibri"/>
                <w:sz w:val="20"/>
                <w:szCs w:val="20"/>
                <w:lang w:val="en-GB"/>
              </w:rPr>
              <w:t>T</w:t>
            </w:r>
            <w:r w:rsidRPr="00AD70DE">
              <w:rPr>
                <w:rFonts w:cs="Calibri"/>
                <w:sz w:val="20"/>
                <w:szCs w:val="20"/>
                <w:vertAlign w:val="subscript"/>
                <w:lang w:val="en-GB"/>
              </w:rPr>
              <w:t>max</w:t>
            </w:r>
            <w:proofErr w:type="spellEnd"/>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eastAsia="MS Mincho"/>
                <w:sz w:val="20"/>
                <w:szCs w:val="20"/>
                <w:lang w:val="en-GB"/>
              </w:rPr>
              <w:t>Time to reach maximal concentration</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sz w:val="20"/>
                <w:szCs w:val="20"/>
                <w:lang w:val="en-GB"/>
              </w:rPr>
              <w:t>t</w:t>
            </w:r>
            <w:r w:rsidRPr="00AD70DE">
              <w:rPr>
                <w:rFonts w:cs="Calibri"/>
                <w:sz w:val="20"/>
                <w:szCs w:val="20"/>
                <w:vertAlign w:val="subscript"/>
                <w:lang w:val="en-GB"/>
              </w:rPr>
              <w:t>1/2</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Half-life</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sz w:val="20"/>
                <w:szCs w:val="20"/>
                <w:lang w:val="en-GB"/>
              </w:rPr>
              <w:t>TSH</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Times"/>
                <w:sz w:val="20"/>
                <w:szCs w:val="20"/>
                <w:lang w:val="en-GB" w:eastAsia="de-DE"/>
              </w:rPr>
              <w:t>Thyroid stimulating hormone</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ULN</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Upper limit of normal</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UPLC</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Ultra-performance liquid chromatography</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WNCBP</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Women not of child-bearing potential</w:t>
            </w:r>
          </w:p>
        </w:tc>
      </w:tr>
      <w:tr w:rsidR="009C32E7" w:rsidRPr="00AD70DE">
        <w:tc>
          <w:tcPr>
            <w:tcW w:w="110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y</w:t>
            </w:r>
          </w:p>
        </w:tc>
        <w:tc>
          <w:tcPr>
            <w:tcW w:w="7750" w:type="dxa"/>
            <w:hideMark/>
          </w:tcPr>
          <w:p w:rsidR="009C32E7" w:rsidRPr="00AD70DE" w:rsidRDefault="009C32E7" w:rsidP="00AD70DE">
            <w:pPr>
              <w:spacing w:line="256" w:lineRule="auto"/>
              <w:rPr>
                <w:rFonts w:cs="Calibri"/>
                <w:color w:val="000000"/>
                <w:sz w:val="20"/>
                <w:szCs w:val="20"/>
                <w:lang w:val="en-GB"/>
              </w:rPr>
            </w:pPr>
            <w:r w:rsidRPr="00AD70DE">
              <w:rPr>
                <w:rFonts w:cs="Calibri"/>
                <w:color w:val="000000"/>
                <w:sz w:val="20"/>
                <w:szCs w:val="20"/>
                <w:lang w:val="en-GB"/>
              </w:rPr>
              <w:t>Year(s)</w:t>
            </w:r>
          </w:p>
        </w:tc>
      </w:tr>
      <w:tr w:rsidR="009C32E7" w:rsidRPr="00AD70DE">
        <w:tc>
          <w:tcPr>
            <w:tcW w:w="1100" w:type="dxa"/>
            <w:hideMark/>
          </w:tcPr>
          <w:p w:rsidR="009C32E7" w:rsidRPr="00AD70DE" w:rsidRDefault="009C32E7" w:rsidP="00AD70DE">
            <w:pPr>
              <w:spacing w:line="256" w:lineRule="auto"/>
              <w:rPr>
                <w:rFonts w:cs="Calibri"/>
                <w:sz w:val="20"/>
                <w:szCs w:val="20"/>
                <w:lang w:val="en-GB"/>
              </w:rPr>
            </w:pPr>
            <w:r w:rsidRPr="00AD70DE">
              <w:rPr>
                <w:rFonts w:cs="Calibri"/>
                <w:color w:val="000000"/>
                <w:sz w:val="20"/>
                <w:szCs w:val="20"/>
                <w:lang w:val="en-GB"/>
              </w:rPr>
              <w:t>γ-GT</w:t>
            </w:r>
          </w:p>
        </w:tc>
        <w:tc>
          <w:tcPr>
            <w:tcW w:w="7750" w:type="dxa"/>
            <w:hideMark/>
          </w:tcPr>
          <w:p w:rsidR="009C32E7" w:rsidRPr="00AD70DE" w:rsidRDefault="009C32E7" w:rsidP="00AD70DE">
            <w:pPr>
              <w:spacing w:line="256" w:lineRule="auto"/>
              <w:rPr>
                <w:rFonts w:cs="Calibri"/>
                <w:sz w:val="20"/>
                <w:szCs w:val="20"/>
                <w:lang w:val="en-GB"/>
              </w:rPr>
            </w:pPr>
            <w:r w:rsidRPr="00AD70DE">
              <w:rPr>
                <w:rFonts w:cs="Calibri"/>
                <w:color w:val="000000"/>
                <w:sz w:val="20"/>
                <w:szCs w:val="20"/>
                <w:lang w:val="en-GB"/>
              </w:rPr>
              <w:t>Gamma-</w:t>
            </w:r>
            <w:proofErr w:type="spellStart"/>
            <w:r w:rsidRPr="00AD70DE">
              <w:rPr>
                <w:rFonts w:cs="Calibri"/>
                <w:color w:val="000000"/>
                <w:sz w:val="20"/>
                <w:szCs w:val="20"/>
                <w:lang w:val="en-GB"/>
              </w:rPr>
              <w:t>glutamyltranspeptidase</w:t>
            </w:r>
            <w:proofErr w:type="spellEnd"/>
          </w:p>
        </w:tc>
      </w:tr>
      <w:bookmarkEnd w:id="10"/>
    </w:tbl>
    <w:p w:rsidR="009C32E7" w:rsidRPr="00AD70DE" w:rsidRDefault="009C32E7" w:rsidP="00AD70DE">
      <w:pPr>
        <w:rPr>
          <w:lang w:val="en-GB"/>
        </w:rPr>
        <w:sectPr w:rsidR="009C32E7" w:rsidRPr="00AD70DE" w:rsidSect="008355A9">
          <w:pgSz w:w="11907" w:h="16839" w:code="9"/>
          <w:pgMar w:top="1417" w:right="1417" w:bottom="1134" w:left="1417" w:header="708" w:footer="708" w:gutter="0"/>
          <w:cols w:space="708"/>
          <w:docGrid w:linePitch="360"/>
        </w:sectPr>
      </w:pPr>
    </w:p>
    <w:p w:rsidR="009C32E7" w:rsidRPr="00AD70DE" w:rsidRDefault="009C32E7" w:rsidP="00AD70DE">
      <w:pPr>
        <w:pStyle w:val="berschrift1"/>
        <w:spacing w:before="360" w:after="160"/>
      </w:pPr>
      <w:bookmarkStart w:id="54" w:name="_Toc256002307"/>
      <w:bookmarkStart w:id="55" w:name="_Toc256002210"/>
      <w:bookmarkStart w:id="56" w:name="_Toc256002113"/>
      <w:bookmarkStart w:id="57" w:name="_Toc256002016"/>
      <w:bookmarkStart w:id="58" w:name="_Toc256001837"/>
      <w:bookmarkStart w:id="59" w:name="_Toc256001579"/>
      <w:bookmarkStart w:id="60" w:name="_Toc256001357"/>
      <w:bookmarkStart w:id="61" w:name="_Toc256001113"/>
      <w:bookmarkStart w:id="62" w:name="_Toc256000881"/>
      <w:bookmarkStart w:id="63" w:name="_Toc256000599"/>
      <w:bookmarkStart w:id="64" w:name="_Toc256000323"/>
      <w:bookmarkStart w:id="65" w:name="_Toc256000018"/>
      <w:bookmarkStart w:id="66" w:name="_Toc256000030"/>
      <w:bookmarkStart w:id="67" w:name="_Toc256001896"/>
      <w:bookmarkStart w:id="68" w:name="_Toc256001804"/>
      <w:bookmarkStart w:id="69" w:name="_Toc256001712"/>
      <w:bookmarkStart w:id="70" w:name="_Toc256001620"/>
      <w:bookmarkStart w:id="71" w:name="_Toc256001528"/>
      <w:bookmarkStart w:id="72" w:name="_Toc256001436"/>
      <w:bookmarkStart w:id="73" w:name="_Toc256001344"/>
      <w:bookmarkStart w:id="74" w:name="_Toc256001252"/>
      <w:bookmarkStart w:id="75" w:name="_Toc256001160"/>
      <w:bookmarkStart w:id="76" w:name="_Toc256001068"/>
      <w:bookmarkStart w:id="77" w:name="_Toc256000976"/>
      <w:bookmarkStart w:id="78" w:name="_Toc256000884"/>
      <w:bookmarkStart w:id="79" w:name="_Toc256000792"/>
      <w:bookmarkStart w:id="80" w:name="_Toc256000700"/>
      <w:bookmarkStart w:id="81" w:name="_Toc256000608"/>
      <w:bookmarkStart w:id="82" w:name="_Toc256000516"/>
      <w:bookmarkStart w:id="83" w:name="_Toc256000424"/>
      <w:bookmarkStart w:id="84" w:name="_Toc256000332"/>
      <w:bookmarkStart w:id="85" w:name="_Toc256000240"/>
      <w:bookmarkStart w:id="86" w:name="_Toc256000006"/>
      <w:bookmarkStart w:id="87" w:name="_Toc256000083"/>
      <w:bookmarkStart w:id="88" w:name="_Toc256000004"/>
      <w:bookmarkStart w:id="89" w:name="_Toc434223598"/>
      <w:bookmarkStart w:id="90" w:name="_Toc455594063"/>
      <w:bookmarkStart w:id="91" w:name="_Toc461443253"/>
      <w:bookmarkStart w:id="92" w:name="_Toc469498867"/>
      <w:bookmarkStart w:id="93" w:name="_Toc491340312"/>
      <w:bookmarkStart w:id="94" w:name="_Toc9613115"/>
      <w:bookmarkStart w:id="95" w:name="_Toc37173011"/>
      <w:bookmarkStart w:id="96" w:name="_Toc37243403"/>
      <w:r w:rsidRPr="00AD70DE">
        <w:t>Synopsis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7371"/>
      </w:tblGrid>
      <w:tr w:rsidR="009C32E7" w:rsidRPr="00AD70DE" w:rsidTr="008355A9">
        <w:tc>
          <w:tcPr>
            <w:tcW w:w="1809" w:type="dxa"/>
          </w:tcPr>
          <w:p w:rsidR="009C32E7" w:rsidRPr="00AD70DE" w:rsidRDefault="009C32E7" w:rsidP="00AD70DE">
            <w:pPr>
              <w:rPr>
                <w:b/>
                <w:lang w:val="en-GB"/>
              </w:rPr>
            </w:pPr>
            <w:bookmarkStart w:id="97" w:name="_Toc356475073"/>
            <w:bookmarkStart w:id="98" w:name="_Toc356477623"/>
            <w:bookmarkStart w:id="99" w:name="_Toc358040023"/>
            <w:r w:rsidRPr="00AD70DE">
              <w:rPr>
                <w:b/>
                <w:lang w:val="en-GB"/>
              </w:rPr>
              <w:t>Title</w:t>
            </w:r>
          </w:p>
        </w:tc>
        <w:tc>
          <w:tcPr>
            <w:tcW w:w="7371" w:type="dxa"/>
          </w:tcPr>
          <w:p w:rsidR="009C32E7" w:rsidRPr="00AD70DE" w:rsidRDefault="009C32E7" w:rsidP="00AD70DE">
            <w:pPr>
              <w:rPr>
                <w:b/>
                <w:bCs/>
                <w:lang w:val="en-GB"/>
              </w:rPr>
            </w:pPr>
            <w:r w:rsidRPr="00AD70DE">
              <w:rPr>
                <w:b/>
                <w:bCs/>
                <w:lang w:val="en-GB"/>
              </w:rPr>
              <w:t>Impact of pantoprazole on absorption and disposition of hydroxychloroquine, a drug used in Corona Virus Disease-19</w:t>
            </w:r>
            <w:r w:rsidR="008557A5" w:rsidRPr="00AD70DE">
              <w:rPr>
                <w:b/>
                <w:bCs/>
                <w:lang w:val="en-GB"/>
              </w:rPr>
              <w:t xml:space="preserve"> (Covid-19)</w:t>
            </w:r>
          </w:p>
        </w:tc>
      </w:tr>
      <w:tr w:rsidR="009C32E7" w:rsidRPr="00AD70DE" w:rsidTr="008355A9">
        <w:tc>
          <w:tcPr>
            <w:tcW w:w="1809" w:type="dxa"/>
          </w:tcPr>
          <w:p w:rsidR="009C32E7" w:rsidRPr="00AD70DE" w:rsidRDefault="009C32E7" w:rsidP="00AD70DE">
            <w:pPr>
              <w:rPr>
                <w:b/>
                <w:lang w:val="en-GB"/>
              </w:rPr>
            </w:pPr>
            <w:r w:rsidRPr="00AD70DE">
              <w:rPr>
                <w:b/>
                <w:lang w:val="en-GB"/>
              </w:rPr>
              <w:t>Short Title</w:t>
            </w:r>
          </w:p>
        </w:tc>
        <w:tc>
          <w:tcPr>
            <w:tcW w:w="7371" w:type="dxa"/>
          </w:tcPr>
          <w:p w:rsidR="009C32E7" w:rsidRPr="00AD70DE" w:rsidRDefault="009C32E7" w:rsidP="00AD70DE">
            <w:pPr>
              <w:rPr>
                <w:b/>
                <w:lang w:val="en-GB"/>
              </w:rPr>
            </w:pPr>
            <w:r w:rsidRPr="00AD70DE">
              <w:rPr>
                <w:b/>
                <w:lang w:val="en-GB"/>
              </w:rPr>
              <w:t>PPI-HCQ</w:t>
            </w:r>
          </w:p>
        </w:tc>
      </w:tr>
      <w:tr w:rsidR="009C32E7" w:rsidRPr="00AD70DE" w:rsidTr="008355A9">
        <w:tc>
          <w:tcPr>
            <w:tcW w:w="1809" w:type="dxa"/>
          </w:tcPr>
          <w:p w:rsidR="009C32E7" w:rsidRPr="00AD70DE" w:rsidRDefault="009C32E7" w:rsidP="00AD70DE">
            <w:pPr>
              <w:rPr>
                <w:b/>
                <w:lang w:val="en-GB"/>
              </w:rPr>
            </w:pPr>
            <w:r w:rsidRPr="00AD70DE">
              <w:rPr>
                <w:b/>
                <w:lang w:val="en-GB"/>
              </w:rPr>
              <w:t xml:space="preserve">Clinical Trial Code </w:t>
            </w:r>
          </w:p>
        </w:tc>
        <w:tc>
          <w:tcPr>
            <w:tcW w:w="7371" w:type="dxa"/>
          </w:tcPr>
          <w:p w:rsidR="009C32E7" w:rsidRPr="00AD70DE" w:rsidRDefault="009C32E7" w:rsidP="00AD70DE">
            <w:pPr>
              <w:rPr>
                <w:lang w:val="en-GB"/>
              </w:rPr>
            </w:pPr>
            <w:r w:rsidRPr="00AD70DE">
              <w:rPr>
                <w:iCs/>
                <w:lang w:val="en-GB"/>
              </w:rPr>
              <w:t>K724</w:t>
            </w:r>
          </w:p>
        </w:tc>
      </w:tr>
      <w:tr w:rsidR="009C32E7" w:rsidRPr="00AD70DE" w:rsidTr="008355A9">
        <w:tc>
          <w:tcPr>
            <w:tcW w:w="1809" w:type="dxa"/>
          </w:tcPr>
          <w:p w:rsidR="009C32E7" w:rsidRPr="00AD70DE" w:rsidRDefault="009C32E7" w:rsidP="00AD70DE">
            <w:pPr>
              <w:rPr>
                <w:b/>
                <w:lang w:val="en-GB"/>
              </w:rPr>
            </w:pPr>
            <w:proofErr w:type="spellStart"/>
            <w:r w:rsidRPr="00AD70DE">
              <w:rPr>
                <w:b/>
                <w:lang w:val="en-GB"/>
              </w:rPr>
              <w:t>EudraCt</w:t>
            </w:r>
            <w:proofErr w:type="spellEnd"/>
            <w:r w:rsidRPr="00AD70DE">
              <w:rPr>
                <w:b/>
                <w:lang w:val="en-GB"/>
              </w:rPr>
              <w:t xml:space="preserve"> No</w:t>
            </w:r>
          </w:p>
        </w:tc>
        <w:tc>
          <w:tcPr>
            <w:tcW w:w="7371" w:type="dxa"/>
          </w:tcPr>
          <w:p w:rsidR="009C32E7" w:rsidRPr="00AD70DE" w:rsidRDefault="009C32E7" w:rsidP="00AD70DE">
            <w:pPr>
              <w:rPr>
                <w:lang w:val="en-GB"/>
              </w:rPr>
            </w:pPr>
            <w:r w:rsidRPr="00AD70DE">
              <w:rPr>
                <w:lang w:val="en-GB"/>
              </w:rPr>
              <w:t>2020-001470-30</w:t>
            </w:r>
          </w:p>
        </w:tc>
      </w:tr>
      <w:tr w:rsidR="009C32E7" w:rsidRPr="00AD70DE" w:rsidTr="008355A9">
        <w:tc>
          <w:tcPr>
            <w:tcW w:w="1809" w:type="dxa"/>
          </w:tcPr>
          <w:p w:rsidR="009C32E7" w:rsidRPr="00AD70DE" w:rsidRDefault="009C32E7" w:rsidP="00AD70DE">
            <w:pPr>
              <w:rPr>
                <w:b/>
                <w:lang w:val="en-GB"/>
              </w:rPr>
            </w:pPr>
            <w:r w:rsidRPr="00AD70DE">
              <w:rPr>
                <w:b/>
                <w:lang w:val="en-GB"/>
              </w:rPr>
              <w:t>Indication</w:t>
            </w:r>
          </w:p>
        </w:tc>
        <w:tc>
          <w:tcPr>
            <w:tcW w:w="7371" w:type="dxa"/>
          </w:tcPr>
          <w:p w:rsidR="009C32E7" w:rsidRPr="00AD70DE" w:rsidRDefault="009C32E7" w:rsidP="00AD70DE">
            <w:pPr>
              <w:rPr>
                <w:lang w:val="en-GB"/>
              </w:rPr>
            </w:pPr>
            <w:r w:rsidRPr="00AD70DE">
              <w:rPr>
                <w:lang w:val="en-GB"/>
              </w:rPr>
              <w:t>Drug-drug interaction (DDI) study</w:t>
            </w:r>
          </w:p>
        </w:tc>
      </w:tr>
      <w:tr w:rsidR="009C32E7" w:rsidRPr="00AD70DE" w:rsidTr="008355A9">
        <w:tc>
          <w:tcPr>
            <w:tcW w:w="1809" w:type="dxa"/>
          </w:tcPr>
          <w:p w:rsidR="009C32E7" w:rsidRPr="00AD70DE" w:rsidRDefault="009C32E7" w:rsidP="00AD70DE">
            <w:pPr>
              <w:rPr>
                <w:b/>
                <w:lang w:val="en-GB"/>
              </w:rPr>
            </w:pPr>
            <w:r w:rsidRPr="00AD70DE">
              <w:rPr>
                <w:b/>
                <w:lang w:val="en-GB"/>
              </w:rPr>
              <w:t>Trial phase</w:t>
            </w:r>
          </w:p>
        </w:tc>
        <w:tc>
          <w:tcPr>
            <w:tcW w:w="7371" w:type="dxa"/>
          </w:tcPr>
          <w:p w:rsidR="009C32E7" w:rsidRPr="00AD70DE" w:rsidRDefault="009C32E7" w:rsidP="00AD70DE">
            <w:pPr>
              <w:rPr>
                <w:lang w:val="en-GB"/>
              </w:rPr>
            </w:pPr>
            <w:r w:rsidRPr="00AD70DE">
              <w:rPr>
                <w:lang w:val="en-GB"/>
              </w:rPr>
              <w:t>I</w:t>
            </w:r>
          </w:p>
        </w:tc>
      </w:tr>
      <w:tr w:rsidR="009C32E7" w:rsidRPr="00AD70DE" w:rsidTr="008355A9">
        <w:tc>
          <w:tcPr>
            <w:tcW w:w="1809" w:type="dxa"/>
          </w:tcPr>
          <w:p w:rsidR="009C32E7" w:rsidRPr="00AD70DE" w:rsidRDefault="009C32E7" w:rsidP="00AD70DE">
            <w:pPr>
              <w:rPr>
                <w:b/>
                <w:lang w:val="en-GB"/>
              </w:rPr>
            </w:pPr>
            <w:r w:rsidRPr="00AD70DE">
              <w:rPr>
                <w:b/>
                <w:lang w:val="en-GB"/>
              </w:rPr>
              <w:t>Trial population</w:t>
            </w:r>
          </w:p>
        </w:tc>
        <w:tc>
          <w:tcPr>
            <w:tcW w:w="7371" w:type="dxa"/>
          </w:tcPr>
          <w:p w:rsidR="009C32E7" w:rsidRPr="00AD70DE" w:rsidRDefault="009C32E7" w:rsidP="00AD70DE">
            <w:pPr>
              <w:rPr>
                <w:color w:val="000000"/>
                <w:lang w:val="en-GB"/>
              </w:rPr>
            </w:pPr>
            <w:r w:rsidRPr="00AD70DE">
              <w:rPr>
                <w:lang w:val="en-GB"/>
              </w:rPr>
              <w:t>A maximum of up to 36 volunteers may be included; 24 volunteers, 12 per arm, will be included; up to 12 volunteers may be replaced if enrolled volunteers drop out prematurely. .</w:t>
            </w:r>
          </w:p>
        </w:tc>
      </w:tr>
      <w:tr w:rsidR="009C32E7" w:rsidRPr="00AD70DE" w:rsidTr="008355A9">
        <w:tc>
          <w:tcPr>
            <w:tcW w:w="1809" w:type="dxa"/>
          </w:tcPr>
          <w:p w:rsidR="009C32E7" w:rsidRPr="00AD70DE" w:rsidRDefault="009C32E7" w:rsidP="00AD70DE">
            <w:pPr>
              <w:rPr>
                <w:b/>
                <w:lang w:val="en-GB"/>
              </w:rPr>
            </w:pPr>
            <w:r w:rsidRPr="00AD70DE">
              <w:rPr>
                <w:b/>
                <w:lang w:val="en-GB"/>
              </w:rPr>
              <w:t>Objectives</w:t>
            </w:r>
          </w:p>
        </w:tc>
        <w:tc>
          <w:tcPr>
            <w:tcW w:w="7371" w:type="dxa"/>
          </w:tcPr>
          <w:p w:rsidR="009C32E7" w:rsidRPr="00AD70DE" w:rsidRDefault="009C32E7" w:rsidP="00AD70DE">
            <w:pPr>
              <w:rPr>
                <w:u w:val="single"/>
                <w:lang w:val="en-GB"/>
              </w:rPr>
            </w:pPr>
            <w:r w:rsidRPr="00AD70DE">
              <w:rPr>
                <w:u w:val="single"/>
                <w:lang w:val="en-GB"/>
              </w:rPr>
              <w:t>Primary objective</w:t>
            </w:r>
          </w:p>
          <w:p w:rsidR="009C32E7" w:rsidRPr="00AD70DE" w:rsidRDefault="009C32E7" w:rsidP="00AD70DE">
            <w:pPr>
              <w:pStyle w:val="Listenabsatz"/>
              <w:numPr>
                <w:ilvl w:val="0"/>
                <w:numId w:val="4"/>
              </w:numPr>
              <w:tabs>
                <w:tab w:val="clear" w:pos="360"/>
              </w:tabs>
              <w:ind w:left="313" w:hanging="284"/>
              <w:jc w:val="both"/>
              <w:rPr>
                <w:snapToGrid w:val="0"/>
                <w:lang w:val="en-GB"/>
              </w:rPr>
            </w:pPr>
            <w:r w:rsidRPr="00AD70DE">
              <w:rPr>
                <w:snapToGrid w:val="0"/>
                <w:lang w:val="en-GB"/>
              </w:rPr>
              <w:t>Evaluation of the effect of the proton-pump inhibitor (PPI) pantoprazole on the absorption of HCQ in healthy volunteers.</w:t>
            </w:r>
          </w:p>
          <w:p w:rsidR="009C32E7" w:rsidRPr="00AD70DE" w:rsidRDefault="009C32E7" w:rsidP="00AD70DE">
            <w:pPr>
              <w:rPr>
                <w:u w:val="single"/>
                <w:lang w:val="en-GB"/>
              </w:rPr>
            </w:pPr>
            <w:r w:rsidRPr="00AD70DE">
              <w:rPr>
                <w:u w:val="single"/>
                <w:lang w:val="en-GB"/>
              </w:rPr>
              <w:t>Secondary objectives</w:t>
            </w:r>
          </w:p>
          <w:p w:rsidR="009C32E7" w:rsidRPr="00AD70DE" w:rsidRDefault="009C32E7" w:rsidP="00AD70DE">
            <w:pPr>
              <w:pStyle w:val="Listenabsatz"/>
              <w:numPr>
                <w:ilvl w:val="0"/>
                <w:numId w:val="4"/>
              </w:numPr>
              <w:tabs>
                <w:tab w:val="clear" w:pos="360"/>
              </w:tabs>
              <w:ind w:left="313" w:hanging="284"/>
              <w:jc w:val="both"/>
              <w:rPr>
                <w:lang w:val="en-GB"/>
              </w:rPr>
            </w:pPr>
            <w:r w:rsidRPr="00AD70DE">
              <w:rPr>
                <w:lang w:val="en-GB"/>
              </w:rPr>
              <w:t xml:space="preserve">Comparison of HCQ concentrations in whole blood as compared to plasma and intracellular concentration as measured in target cells (peripheral blood mononuclear cells, PBMCs). </w:t>
            </w:r>
          </w:p>
          <w:p w:rsidR="009C32E7" w:rsidRPr="00AD70DE" w:rsidRDefault="009C32E7" w:rsidP="00AD70DE">
            <w:pPr>
              <w:pStyle w:val="Listenabsatz"/>
              <w:numPr>
                <w:ilvl w:val="0"/>
                <w:numId w:val="4"/>
              </w:numPr>
              <w:tabs>
                <w:tab w:val="clear" w:pos="360"/>
              </w:tabs>
              <w:ind w:left="313" w:hanging="284"/>
              <w:jc w:val="both"/>
              <w:rPr>
                <w:lang w:val="en-GB"/>
              </w:rPr>
            </w:pPr>
            <w:r w:rsidRPr="00AD70DE">
              <w:rPr>
                <w:lang w:val="en-GB"/>
              </w:rPr>
              <w:t>Evaluation of HCQ as a perpetrator drug in DDI at the level of cytochrome P450 (CYP) 3A and CYP2D6</w:t>
            </w:r>
          </w:p>
          <w:p w:rsidR="009C32E7" w:rsidRPr="00AD70DE" w:rsidRDefault="009C32E7" w:rsidP="00AD70DE">
            <w:pPr>
              <w:jc w:val="both"/>
              <w:rPr>
                <w:lang w:val="en-GB"/>
              </w:rPr>
            </w:pPr>
            <w:r w:rsidRPr="00AD70DE">
              <w:rPr>
                <w:u w:val="single"/>
                <w:lang w:val="en-GB"/>
              </w:rPr>
              <w:t>Exploratory objectives</w:t>
            </w:r>
          </w:p>
          <w:p w:rsidR="009C32E7" w:rsidRPr="00AD70DE" w:rsidRDefault="009C32E7" w:rsidP="00AD70DE">
            <w:pPr>
              <w:jc w:val="both"/>
              <w:rPr>
                <w:lang w:val="en-GB"/>
              </w:rPr>
            </w:pPr>
            <w:r w:rsidRPr="00AD70DE">
              <w:rPr>
                <w:lang w:val="en-GB"/>
              </w:rPr>
              <w:t xml:space="preserve">Evaluation of the effect of pantoprazole on the disposition of major HCQ metabolites </w:t>
            </w:r>
          </w:p>
        </w:tc>
      </w:tr>
      <w:tr w:rsidR="009C32E7" w:rsidRPr="00AD70DE" w:rsidTr="008355A9">
        <w:tc>
          <w:tcPr>
            <w:tcW w:w="1809" w:type="dxa"/>
          </w:tcPr>
          <w:p w:rsidR="009C32E7" w:rsidRPr="00AD70DE" w:rsidRDefault="009C32E7" w:rsidP="00AD70DE">
            <w:pPr>
              <w:rPr>
                <w:b/>
                <w:lang w:val="en-GB"/>
              </w:rPr>
            </w:pPr>
            <w:r w:rsidRPr="00AD70DE">
              <w:rPr>
                <w:b/>
                <w:lang w:val="en-GB"/>
              </w:rPr>
              <w:t>Trial endpoints</w:t>
            </w:r>
          </w:p>
        </w:tc>
        <w:tc>
          <w:tcPr>
            <w:tcW w:w="7371" w:type="dxa"/>
          </w:tcPr>
          <w:p w:rsidR="009C32E7" w:rsidRPr="00AD70DE" w:rsidRDefault="009C32E7" w:rsidP="00AD70DE">
            <w:pPr>
              <w:spacing w:after="0"/>
              <w:rPr>
                <w:rFonts w:eastAsia="MS Mincho"/>
                <w:b/>
                <w:u w:val="single"/>
                <w:lang w:val="en-GB"/>
              </w:rPr>
            </w:pPr>
            <w:r w:rsidRPr="00AD70DE">
              <w:rPr>
                <w:rFonts w:eastAsia="MS Mincho"/>
                <w:b/>
                <w:u w:val="single"/>
                <w:lang w:val="en-GB"/>
              </w:rPr>
              <w:t>Primary endpoint</w:t>
            </w:r>
          </w:p>
          <w:p w:rsidR="009C32E7" w:rsidRPr="00AD70DE" w:rsidRDefault="009C32E7" w:rsidP="00AD70DE">
            <w:pPr>
              <w:pStyle w:val="Listenabsatz"/>
              <w:numPr>
                <w:ilvl w:val="0"/>
                <w:numId w:val="17"/>
              </w:numPr>
              <w:ind w:left="459" w:hanging="283"/>
              <w:jc w:val="both"/>
              <w:rPr>
                <w:rFonts w:eastAsia="MS Mincho"/>
                <w:lang w:val="en-GB"/>
              </w:rPr>
            </w:pPr>
            <w:r w:rsidRPr="00AD70DE">
              <w:rPr>
                <w:snapToGrid w:val="0"/>
                <w:lang w:val="en-GB"/>
              </w:rPr>
              <w:t>AUC</w:t>
            </w:r>
            <w:r w:rsidRPr="00AD70DE">
              <w:rPr>
                <w:snapToGrid w:val="0"/>
                <w:vertAlign w:val="subscript"/>
                <w:lang w:val="en-GB"/>
              </w:rPr>
              <w:t>0-72 h</w:t>
            </w:r>
            <w:r w:rsidRPr="00AD70DE">
              <w:rPr>
                <w:snapToGrid w:val="0"/>
                <w:lang w:val="en-GB"/>
              </w:rPr>
              <w:t xml:space="preserve"> and </w:t>
            </w:r>
            <w:proofErr w:type="spellStart"/>
            <w:r w:rsidRPr="00AD70DE">
              <w:rPr>
                <w:snapToGrid w:val="0"/>
                <w:lang w:val="en-GB"/>
              </w:rPr>
              <w:t>C</w:t>
            </w:r>
            <w:r w:rsidRPr="00AD70DE">
              <w:rPr>
                <w:snapToGrid w:val="0"/>
                <w:vertAlign w:val="subscript"/>
                <w:lang w:val="en-GB"/>
              </w:rPr>
              <w:t>max</w:t>
            </w:r>
            <w:proofErr w:type="spellEnd"/>
            <w:r w:rsidRPr="00AD70DE">
              <w:rPr>
                <w:snapToGrid w:val="0"/>
                <w:lang w:val="en-GB"/>
              </w:rPr>
              <w:t xml:space="preserve"> </w:t>
            </w:r>
            <w:r w:rsidRPr="00AD70DE">
              <w:rPr>
                <w:rFonts w:eastAsia="MS Mincho"/>
                <w:lang w:val="en-GB"/>
              </w:rPr>
              <w:t>of a single oral dose of 400 mg HCQ with and without pantoprazole.</w:t>
            </w:r>
          </w:p>
          <w:p w:rsidR="009C32E7" w:rsidRPr="00AD70DE" w:rsidRDefault="009C32E7" w:rsidP="00AD70DE">
            <w:pPr>
              <w:spacing w:after="0"/>
              <w:rPr>
                <w:rFonts w:eastAsia="MS Mincho"/>
                <w:b/>
                <w:u w:val="single"/>
                <w:lang w:val="en-GB"/>
              </w:rPr>
            </w:pPr>
            <w:r w:rsidRPr="00AD70DE">
              <w:rPr>
                <w:rFonts w:eastAsia="MS Mincho"/>
                <w:b/>
                <w:u w:val="single"/>
                <w:lang w:val="en-GB"/>
              </w:rPr>
              <w:t>Secondary endpoints</w:t>
            </w:r>
          </w:p>
          <w:p w:rsidR="009C32E7" w:rsidRPr="00AD70DE" w:rsidRDefault="009C32E7" w:rsidP="00AD70DE">
            <w:pPr>
              <w:pStyle w:val="Listenabsatz"/>
              <w:numPr>
                <w:ilvl w:val="0"/>
                <w:numId w:val="17"/>
              </w:numPr>
              <w:ind w:left="459" w:hanging="283"/>
              <w:rPr>
                <w:lang w:val="en-GB"/>
              </w:rPr>
            </w:pPr>
            <w:r w:rsidRPr="00AD70DE">
              <w:rPr>
                <w:lang w:val="en-GB"/>
              </w:rPr>
              <w:t>AUC</w:t>
            </w:r>
            <w:r w:rsidRPr="00AD70DE">
              <w:rPr>
                <w:vertAlign w:val="subscript"/>
                <w:lang w:val="en-GB"/>
              </w:rPr>
              <w:t>2-4 h</w:t>
            </w:r>
            <w:r w:rsidRPr="00AD70DE">
              <w:rPr>
                <w:lang w:val="en-GB"/>
              </w:rPr>
              <w:t>, AUC</w:t>
            </w:r>
            <w:r w:rsidRPr="00AD70DE">
              <w:rPr>
                <w:vertAlign w:val="subscript"/>
                <w:lang w:val="en-GB"/>
              </w:rPr>
              <w:t>0-6 h</w:t>
            </w:r>
            <w:r w:rsidRPr="00AD70DE">
              <w:rPr>
                <w:lang w:val="en-GB"/>
              </w:rPr>
              <w:t xml:space="preserve">, and </w:t>
            </w:r>
            <w:proofErr w:type="spellStart"/>
            <w:r w:rsidRPr="00AD70DE">
              <w:rPr>
                <w:lang w:val="en-GB"/>
              </w:rPr>
              <w:t>C</w:t>
            </w:r>
            <w:r w:rsidRPr="00AD70DE">
              <w:rPr>
                <w:vertAlign w:val="subscript"/>
                <w:lang w:val="en-GB"/>
              </w:rPr>
              <w:t>max</w:t>
            </w:r>
            <w:proofErr w:type="spellEnd"/>
            <w:r w:rsidRPr="00AD70DE">
              <w:rPr>
                <w:lang w:val="en-GB"/>
              </w:rPr>
              <w:t xml:space="preserve"> of </w:t>
            </w:r>
            <w:proofErr w:type="spellStart"/>
            <w:r w:rsidRPr="00AD70DE">
              <w:rPr>
                <w:lang w:val="en-GB"/>
              </w:rPr>
              <w:t>microdosed</w:t>
            </w:r>
            <w:proofErr w:type="spellEnd"/>
            <w:r w:rsidRPr="00AD70DE">
              <w:rPr>
                <w:lang w:val="en-GB"/>
              </w:rPr>
              <w:t xml:space="preserve"> midazolam and </w:t>
            </w:r>
            <w:proofErr w:type="spellStart"/>
            <w:r w:rsidRPr="00AD70DE">
              <w:rPr>
                <w:lang w:val="en-GB"/>
              </w:rPr>
              <w:t>microdosed</w:t>
            </w:r>
            <w:proofErr w:type="spellEnd"/>
            <w:r w:rsidRPr="00AD70DE">
              <w:rPr>
                <w:lang w:val="en-GB"/>
              </w:rPr>
              <w:t xml:space="preserve"> </w:t>
            </w:r>
            <w:proofErr w:type="spellStart"/>
            <w:r w:rsidRPr="00AD70DE">
              <w:rPr>
                <w:lang w:val="en-GB"/>
              </w:rPr>
              <w:t>yohimbine</w:t>
            </w:r>
            <w:proofErr w:type="spellEnd"/>
            <w:r w:rsidRPr="00AD70DE">
              <w:rPr>
                <w:lang w:val="en-GB"/>
              </w:rPr>
              <w:t>,</w:t>
            </w:r>
          </w:p>
          <w:p w:rsidR="009C32E7" w:rsidRPr="00AD70DE" w:rsidRDefault="009C32E7" w:rsidP="00AD70DE">
            <w:pPr>
              <w:pStyle w:val="Listenabsatz"/>
              <w:numPr>
                <w:ilvl w:val="0"/>
                <w:numId w:val="17"/>
              </w:numPr>
              <w:ind w:left="459" w:hanging="283"/>
              <w:rPr>
                <w:lang w:val="en-GB"/>
              </w:rPr>
            </w:pPr>
            <w:r w:rsidRPr="00AD70DE">
              <w:rPr>
                <w:lang w:val="en-GB"/>
              </w:rPr>
              <w:t>Correlation of concentrations of HCQ in whole blood with concentrations in plasma and PBMCs.</w:t>
            </w:r>
          </w:p>
          <w:p w:rsidR="009C32E7" w:rsidRPr="00AD70DE" w:rsidRDefault="009C32E7" w:rsidP="00AD70DE">
            <w:pPr>
              <w:spacing w:after="0"/>
              <w:rPr>
                <w:rFonts w:eastAsia="MS Mincho"/>
                <w:b/>
                <w:u w:val="single"/>
                <w:lang w:val="en-GB"/>
              </w:rPr>
            </w:pPr>
            <w:r w:rsidRPr="00AD70DE">
              <w:rPr>
                <w:rFonts w:eastAsia="MS Mincho"/>
                <w:b/>
                <w:u w:val="single"/>
                <w:lang w:val="en-GB"/>
              </w:rPr>
              <w:t>Exploratory endpoints</w:t>
            </w:r>
          </w:p>
          <w:p w:rsidR="009C32E7" w:rsidRPr="00AD70DE" w:rsidRDefault="009C32E7" w:rsidP="00AD70DE">
            <w:pPr>
              <w:pStyle w:val="Listenabsatz"/>
              <w:numPr>
                <w:ilvl w:val="0"/>
                <w:numId w:val="17"/>
              </w:numPr>
              <w:ind w:left="459" w:hanging="283"/>
              <w:rPr>
                <w:lang w:val="en-GB"/>
              </w:rPr>
            </w:pPr>
            <w:r w:rsidRPr="00AD70DE">
              <w:rPr>
                <w:lang w:val="en-GB"/>
              </w:rPr>
              <w:t>AUC</w:t>
            </w:r>
            <w:r w:rsidRPr="00AD70DE">
              <w:rPr>
                <w:vertAlign w:val="subscript"/>
                <w:lang w:val="en-GB"/>
              </w:rPr>
              <w:t xml:space="preserve">0-72 h </w:t>
            </w:r>
            <w:r w:rsidRPr="00AD70DE">
              <w:rPr>
                <w:lang w:val="en-GB"/>
              </w:rPr>
              <w:t xml:space="preserve">and </w:t>
            </w:r>
            <w:proofErr w:type="spellStart"/>
            <w:r w:rsidRPr="00AD70DE">
              <w:rPr>
                <w:lang w:val="en-GB"/>
              </w:rPr>
              <w:t>C</w:t>
            </w:r>
            <w:r w:rsidRPr="00AD70DE">
              <w:rPr>
                <w:vertAlign w:val="subscript"/>
                <w:lang w:val="en-GB"/>
              </w:rPr>
              <w:t>max</w:t>
            </w:r>
            <w:proofErr w:type="spellEnd"/>
            <w:r w:rsidRPr="00AD70DE">
              <w:rPr>
                <w:lang w:val="en-GB"/>
              </w:rPr>
              <w:t xml:space="preserve"> of major metabolites of HCQ; this may include but is not limited to </w:t>
            </w:r>
            <w:proofErr w:type="spellStart"/>
            <w:r w:rsidRPr="00AD70DE">
              <w:rPr>
                <w:lang w:val="en-GB"/>
              </w:rPr>
              <w:t>desethyl</w:t>
            </w:r>
            <w:proofErr w:type="spellEnd"/>
            <w:r w:rsidRPr="00AD70DE">
              <w:rPr>
                <w:lang w:val="en-GB"/>
              </w:rPr>
              <w:t>-HCQ</w:t>
            </w:r>
            <w:r w:rsidRPr="00AD70DE">
              <w:rPr>
                <w:rFonts w:eastAsia="MS Mincho"/>
                <w:lang w:val="en-GB"/>
              </w:rPr>
              <w:t xml:space="preserve"> with and without pantoprazole.</w:t>
            </w:r>
          </w:p>
        </w:tc>
      </w:tr>
      <w:tr w:rsidR="009C32E7" w:rsidRPr="00AD70DE" w:rsidTr="00093E06">
        <w:tc>
          <w:tcPr>
            <w:tcW w:w="1809" w:type="dxa"/>
          </w:tcPr>
          <w:p w:rsidR="009C32E7" w:rsidRPr="00AD70DE" w:rsidRDefault="009C32E7" w:rsidP="00AD70DE">
            <w:pPr>
              <w:keepNext/>
              <w:keepLines/>
              <w:rPr>
                <w:b/>
              </w:rPr>
            </w:pPr>
            <w:r w:rsidRPr="00AD70DE">
              <w:rPr>
                <w:b/>
              </w:rPr>
              <w:t xml:space="preserve">Outcome </w:t>
            </w:r>
            <w:proofErr w:type="spellStart"/>
            <w:r w:rsidRPr="00AD70DE">
              <w:rPr>
                <w:b/>
              </w:rPr>
              <w:t>measures</w:t>
            </w:r>
            <w:proofErr w:type="spellEnd"/>
            <w:r w:rsidRPr="00AD70DE">
              <w:rPr>
                <w:b/>
              </w:rPr>
              <w:t>:</w:t>
            </w:r>
          </w:p>
        </w:tc>
        <w:tc>
          <w:tcPr>
            <w:tcW w:w="7371" w:type="dxa"/>
            <w:tcBorders>
              <w:bottom w:val="single" w:sz="4" w:space="0" w:color="auto"/>
            </w:tcBorders>
          </w:tcPr>
          <w:p w:rsidR="009C32E7" w:rsidRPr="00AD70DE" w:rsidRDefault="009C32E7" w:rsidP="00AD70DE">
            <w:pPr>
              <w:pStyle w:val="Listenabsatz"/>
              <w:keepNext/>
              <w:keepLines/>
              <w:numPr>
                <w:ilvl w:val="0"/>
                <w:numId w:val="17"/>
              </w:numPr>
              <w:ind w:left="459" w:hanging="283"/>
              <w:rPr>
                <w:lang w:val="en-GB"/>
              </w:rPr>
            </w:pPr>
            <w:r w:rsidRPr="00AD70DE">
              <w:rPr>
                <w:lang w:val="en-GB"/>
              </w:rPr>
              <w:t>Concentration-time curve of HCQ and derived PK parameters in whole blood,</w:t>
            </w:r>
          </w:p>
          <w:p w:rsidR="009C32E7" w:rsidRPr="00AD70DE" w:rsidRDefault="009C32E7" w:rsidP="00AD70DE">
            <w:pPr>
              <w:pStyle w:val="Listenabsatz"/>
              <w:keepNext/>
              <w:keepLines/>
              <w:numPr>
                <w:ilvl w:val="0"/>
                <w:numId w:val="17"/>
              </w:numPr>
              <w:ind w:left="459" w:hanging="283"/>
              <w:rPr>
                <w:lang w:val="en-GB"/>
              </w:rPr>
            </w:pPr>
            <w:r w:rsidRPr="00AD70DE">
              <w:rPr>
                <w:lang w:val="en-GB"/>
              </w:rPr>
              <w:t xml:space="preserve">Concentration-time curve of midazolam and </w:t>
            </w:r>
            <w:proofErr w:type="spellStart"/>
            <w:r w:rsidRPr="00AD70DE">
              <w:rPr>
                <w:lang w:val="en-GB"/>
              </w:rPr>
              <w:t>yohimbine</w:t>
            </w:r>
            <w:proofErr w:type="spellEnd"/>
            <w:r w:rsidRPr="00AD70DE">
              <w:rPr>
                <w:lang w:val="en-GB"/>
              </w:rPr>
              <w:t xml:space="preserve"> in plasma,</w:t>
            </w:r>
          </w:p>
          <w:p w:rsidR="009C32E7" w:rsidRPr="00AD70DE" w:rsidRDefault="009C32E7" w:rsidP="00AD70DE">
            <w:pPr>
              <w:pStyle w:val="Listenabsatz"/>
              <w:keepNext/>
              <w:keepLines/>
              <w:numPr>
                <w:ilvl w:val="0"/>
                <w:numId w:val="17"/>
              </w:numPr>
              <w:ind w:left="459" w:hanging="283"/>
              <w:rPr>
                <w:rFonts w:eastAsia="MS Mincho"/>
                <w:lang w:val="en-GB"/>
              </w:rPr>
            </w:pPr>
            <w:r w:rsidRPr="00AD70DE">
              <w:rPr>
                <w:lang w:val="en-GB"/>
              </w:rPr>
              <w:t xml:space="preserve">Concentrations of HCQ and </w:t>
            </w:r>
            <w:proofErr w:type="spellStart"/>
            <w:r w:rsidRPr="00AD70DE">
              <w:rPr>
                <w:lang w:val="en-GB"/>
              </w:rPr>
              <w:t>desethyl</w:t>
            </w:r>
            <w:proofErr w:type="spellEnd"/>
            <w:r w:rsidRPr="00AD70DE">
              <w:rPr>
                <w:lang w:val="en-GB"/>
              </w:rPr>
              <w:t>-HCQ in plasma and PBMCs,</w:t>
            </w:r>
          </w:p>
          <w:p w:rsidR="009C32E7" w:rsidRPr="00AD70DE" w:rsidRDefault="009C32E7" w:rsidP="00AD70DE">
            <w:pPr>
              <w:pStyle w:val="Listenabsatz"/>
              <w:keepNext/>
              <w:keepLines/>
              <w:numPr>
                <w:ilvl w:val="0"/>
                <w:numId w:val="17"/>
              </w:numPr>
              <w:ind w:left="459" w:hanging="283"/>
              <w:rPr>
                <w:rFonts w:eastAsia="MS Mincho"/>
                <w:lang w:val="en-GB"/>
              </w:rPr>
            </w:pPr>
            <w:r w:rsidRPr="00AD70DE">
              <w:rPr>
                <w:lang w:val="en-GB"/>
              </w:rPr>
              <w:t>Concentration-time curve of HCQ metabolites and derived PK parameters.</w:t>
            </w:r>
          </w:p>
        </w:tc>
      </w:tr>
      <w:tr w:rsidR="009C32E7" w:rsidRPr="00AD70DE" w:rsidTr="00835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809" w:type="dxa"/>
            <w:tcBorders>
              <w:top w:val="single" w:sz="4" w:space="0" w:color="auto"/>
              <w:left w:val="single" w:sz="4" w:space="0" w:color="auto"/>
              <w:bottom w:val="single" w:sz="4" w:space="0" w:color="auto"/>
              <w:right w:val="single" w:sz="4" w:space="0" w:color="auto"/>
            </w:tcBorders>
          </w:tcPr>
          <w:p w:rsidR="009C32E7" w:rsidRPr="00AD70DE" w:rsidRDefault="009C32E7" w:rsidP="00AD70DE">
            <w:pPr>
              <w:rPr>
                <w:b/>
                <w:lang w:val="en-GB"/>
              </w:rPr>
            </w:pPr>
            <w:bookmarkStart w:id="100" w:name="_Toc356475075"/>
            <w:bookmarkStart w:id="101" w:name="_Toc356477625"/>
            <w:bookmarkStart w:id="102" w:name="_Toc358040026"/>
            <w:bookmarkEnd w:id="97"/>
            <w:bookmarkEnd w:id="98"/>
            <w:bookmarkEnd w:id="99"/>
            <w:r w:rsidRPr="00AD70DE">
              <w:rPr>
                <w:b/>
                <w:lang w:val="en-GB"/>
              </w:rPr>
              <w:t>Trial design</w:t>
            </w:r>
          </w:p>
        </w:tc>
        <w:tc>
          <w:tcPr>
            <w:tcW w:w="7371" w:type="dxa"/>
            <w:tcBorders>
              <w:top w:val="single" w:sz="4" w:space="0" w:color="auto"/>
              <w:left w:val="single" w:sz="4" w:space="0" w:color="auto"/>
              <w:bottom w:val="single" w:sz="4" w:space="0" w:color="auto"/>
              <w:right w:val="single" w:sz="4" w:space="0" w:color="auto"/>
            </w:tcBorders>
          </w:tcPr>
          <w:p w:rsidR="009C32E7" w:rsidRPr="00AD70DE" w:rsidRDefault="009C32E7" w:rsidP="00AD70DE">
            <w:pPr>
              <w:rPr>
                <w:lang w:val="en-GB"/>
              </w:rPr>
            </w:pPr>
            <w:r w:rsidRPr="00AD70DE">
              <w:rPr>
                <w:lang w:val="en-GB"/>
              </w:rPr>
              <w:t xml:space="preserve">This is a single centre, open-label, parallel group, two-arm, one-sequence phase I DDI trial in healthy volunteers. </w:t>
            </w:r>
          </w:p>
          <w:p w:rsidR="009C32E7" w:rsidRPr="00AD70DE" w:rsidRDefault="009C32E7" w:rsidP="00AD70DE">
            <w:pPr>
              <w:rPr>
                <w:lang w:val="en-GB"/>
              </w:rPr>
            </w:pPr>
            <w:r w:rsidRPr="00AD70DE">
              <w:rPr>
                <w:lang w:val="en-GB"/>
              </w:rPr>
              <w:t>The result of the trial is expected to have impact on the HCQ treatment of COVID-19 patients, which is currently an urgent pandemic challenge. The parallel design is preferred to the cross-over design due to the very long elimination half-life of HCQ.</w:t>
            </w:r>
          </w:p>
          <w:p w:rsidR="009C32E7" w:rsidRPr="00AD70DE" w:rsidRDefault="009C32E7" w:rsidP="00AD70DE">
            <w:pPr>
              <w:rPr>
                <w:lang w:val="en-GB"/>
              </w:rPr>
            </w:pPr>
            <w:r w:rsidRPr="00AD70DE">
              <w:rPr>
                <w:lang w:val="en-GB"/>
              </w:rPr>
              <w:t>The trial consists of a screening visit (SCR), a treatment period, and an end-of-trial visit (EOT).</w:t>
            </w:r>
            <w:r w:rsidRPr="00AD70DE">
              <w:rPr>
                <w:lang w:val="en-GB"/>
              </w:rPr>
              <w:object w:dxaOrig="7191"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59.25pt;height:269.25pt" o:ole="">
                  <v:imagedata r:id="rId11" o:title=""/>
                </v:shape>
                <o:OLEObject Type="Embed" ProgID="PowerPoint.Show.12" ShapeID="_x0000_i1055" DrawAspect="Content" ObjectID="_1649249665" r:id="rId12"/>
              </w:object>
            </w:r>
            <w:r w:rsidRPr="00AD70DE">
              <w:rPr>
                <w:lang w:val="en-GB"/>
              </w:rPr>
              <w:t xml:space="preserve"> </w:t>
            </w:r>
          </w:p>
          <w:p w:rsidR="009C32E7" w:rsidRPr="00AD70DE" w:rsidRDefault="009C32E7" w:rsidP="00AD70DE">
            <w:pPr>
              <w:rPr>
                <w:lang w:val="en-GB"/>
              </w:rPr>
            </w:pPr>
            <w:r w:rsidRPr="00AD70DE">
              <w:rPr>
                <w:b/>
                <w:sz w:val="18"/>
                <w:szCs w:val="18"/>
                <w:lang w:val="en-GB"/>
              </w:rPr>
              <w:t xml:space="preserve">Figure 1: </w:t>
            </w:r>
            <w:r w:rsidRPr="00AD70DE">
              <w:rPr>
                <w:sz w:val="18"/>
                <w:szCs w:val="18"/>
                <w:lang w:val="en-GB"/>
              </w:rPr>
              <w:t xml:space="preserve">Trial design of a randomized two-arm, one sequence DDI trial in healthy volunteers evaluating the impact of pantoprazole therapy on HCQ PK. Concurrently, the relationship between HCQ PK and activities of CYP2D6 and CYP3A4 is investigated on the basis of exposure to the </w:t>
            </w:r>
            <w:proofErr w:type="spellStart"/>
            <w:r w:rsidRPr="00AD70DE">
              <w:rPr>
                <w:sz w:val="18"/>
                <w:szCs w:val="18"/>
                <w:lang w:val="en-GB"/>
              </w:rPr>
              <w:t>microdosed</w:t>
            </w:r>
            <w:proofErr w:type="spellEnd"/>
            <w:r w:rsidRPr="00AD70DE">
              <w:rPr>
                <w:sz w:val="18"/>
                <w:szCs w:val="18"/>
                <w:lang w:val="en-GB"/>
              </w:rPr>
              <w:t xml:space="preserve"> probe drugs </w:t>
            </w:r>
            <w:proofErr w:type="spellStart"/>
            <w:r w:rsidRPr="00AD70DE">
              <w:rPr>
                <w:sz w:val="18"/>
                <w:szCs w:val="18"/>
                <w:lang w:val="en-GB"/>
              </w:rPr>
              <w:t>yohimbine</w:t>
            </w:r>
            <w:proofErr w:type="spellEnd"/>
            <w:r w:rsidRPr="00AD70DE">
              <w:rPr>
                <w:sz w:val="18"/>
                <w:szCs w:val="18"/>
                <w:lang w:val="en-GB"/>
              </w:rPr>
              <w:t xml:space="preserve"> and midazolam (µMµY).</w:t>
            </w:r>
          </w:p>
          <w:p w:rsidR="009C32E7" w:rsidRPr="00AD70DE" w:rsidRDefault="009C32E7" w:rsidP="00AD70DE">
            <w:pPr>
              <w:keepNext/>
              <w:keepLines/>
              <w:spacing w:before="120"/>
              <w:rPr>
                <w:b/>
                <w:lang w:val="en-GB"/>
              </w:rPr>
            </w:pPr>
          </w:p>
          <w:p w:rsidR="00DC121A" w:rsidRPr="00AD70DE" w:rsidRDefault="00DC121A" w:rsidP="00AD70DE">
            <w:pPr>
              <w:keepNext/>
              <w:keepLines/>
              <w:spacing w:before="120"/>
              <w:rPr>
                <w:b/>
                <w:lang w:val="en-GB"/>
              </w:rPr>
            </w:pPr>
          </w:p>
          <w:p w:rsidR="00DC121A" w:rsidRPr="00AD70DE" w:rsidRDefault="00DC121A" w:rsidP="00AD70DE">
            <w:pPr>
              <w:keepNext/>
              <w:keepLines/>
              <w:spacing w:before="120"/>
              <w:rPr>
                <w:b/>
                <w:lang w:val="en-GB"/>
              </w:rPr>
            </w:pPr>
          </w:p>
          <w:p w:rsidR="00DC121A" w:rsidRPr="00AD70DE" w:rsidRDefault="00DC121A" w:rsidP="00AD70DE">
            <w:pPr>
              <w:keepNext/>
              <w:keepLines/>
              <w:spacing w:before="120"/>
              <w:rPr>
                <w:b/>
                <w:lang w:val="en-GB"/>
              </w:rPr>
            </w:pPr>
          </w:p>
          <w:p w:rsidR="00DC121A" w:rsidRPr="00AD70DE" w:rsidRDefault="00DC121A" w:rsidP="00AD70DE">
            <w:pPr>
              <w:keepNext/>
              <w:keepLines/>
              <w:spacing w:before="120"/>
              <w:rPr>
                <w:b/>
                <w:lang w:val="en-GB"/>
              </w:rPr>
            </w:pPr>
          </w:p>
          <w:p w:rsidR="009C32E7" w:rsidRPr="00AD70DE" w:rsidRDefault="009C32E7" w:rsidP="00AD70DE">
            <w:pPr>
              <w:keepNext/>
              <w:keepLines/>
              <w:spacing w:before="120"/>
              <w:rPr>
                <w:b/>
                <w:lang w:val="en-GB"/>
              </w:rPr>
            </w:pPr>
            <w:r w:rsidRPr="00AD70DE">
              <w:rPr>
                <w:b/>
                <w:lang w:val="en-GB"/>
              </w:rPr>
              <w:t>Treatment period:</w:t>
            </w:r>
          </w:p>
          <w:tbl>
            <w:tblPr>
              <w:tblW w:w="0" w:type="auto"/>
              <w:tblLayout w:type="fixed"/>
              <w:tblLook w:val="00A0" w:firstRow="1" w:lastRow="0" w:firstColumn="1" w:lastColumn="0" w:noHBand="0" w:noVBand="0"/>
            </w:tblPr>
            <w:tblGrid>
              <w:gridCol w:w="1877"/>
              <w:gridCol w:w="5263"/>
            </w:tblGrid>
            <w:tr w:rsidR="009C32E7" w:rsidRPr="00AD70DE" w:rsidTr="008355A9">
              <w:trPr>
                <w:trHeight w:val="599"/>
              </w:trPr>
              <w:tc>
                <w:tcPr>
                  <w:tcW w:w="1877" w:type="dxa"/>
                </w:tcPr>
                <w:p w:rsidR="009C32E7" w:rsidRPr="00AD70DE" w:rsidRDefault="009C32E7" w:rsidP="00AD70DE">
                  <w:pPr>
                    <w:keepNext/>
                    <w:keepLines/>
                    <w:spacing w:before="120"/>
                    <w:rPr>
                      <w:lang w:val="en-GB"/>
                    </w:rPr>
                  </w:pPr>
                  <w:r w:rsidRPr="00AD70DE">
                    <w:rPr>
                      <w:lang w:val="en-GB"/>
                    </w:rPr>
                    <w:t>Visit 1 (day 1):</w:t>
                  </w:r>
                </w:p>
              </w:tc>
              <w:tc>
                <w:tcPr>
                  <w:tcW w:w="5263" w:type="dxa"/>
                </w:tcPr>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Breakfast (3 h before drug administration)</w:t>
                  </w:r>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 xml:space="preserve">Administration of 30 µg midazolam per </w:t>
                  </w:r>
                  <w:proofErr w:type="spellStart"/>
                  <w:r w:rsidRPr="00AD70DE">
                    <w:rPr>
                      <w:lang w:val="en-GB"/>
                    </w:rPr>
                    <w:t>os</w:t>
                  </w:r>
                  <w:proofErr w:type="spellEnd"/>
                  <w:r w:rsidRPr="00AD70DE">
                    <w:rPr>
                      <w:lang w:val="en-GB"/>
                    </w:rPr>
                    <w:t xml:space="preserve"> (</w:t>
                  </w:r>
                  <w:proofErr w:type="spellStart"/>
                  <w:r w:rsidRPr="00AD70DE">
                    <w:rPr>
                      <w:lang w:val="en-GB"/>
                    </w:rPr>
                    <w:t>p.o.</w:t>
                  </w:r>
                  <w:proofErr w:type="spellEnd"/>
                  <w:r w:rsidRPr="00AD70DE">
                    <w:rPr>
                      <w:lang w:val="en-GB"/>
                    </w:rPr>
                    <w:t xml:space="preserve">), and </w:t>
                  </w:r>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 xml:space="preserve">Administration of 50 µg </w:t>
                  </w:r>
                  <w:proofErr w:type="spellStart"/>
                  <w:r w:rsidRPr="00AD70DE">
                    <w:rPr>
                      <w:lang w:val="en-GB"/>
                    </w:rPr>
                    <w:t>yohimbine</w:t>
                  </w:r>
                  <w:proofErr w:type="spellEnd"/>
                  <w:r w:rsidRPr="00AD70DE">
                    <w:rPr>
                      <w:lang w:val="en-GB"/>
                    </w:rPr>
                    <w:t xml:space="preserve"> </w:t>
                  </w:r>
                  <w:proofErr w:type="spellStart"/>
                  <w:r w:rsidRPr="00AD70DE">
                    <w:rPr>
                      <w:lang w:val="en-GB"/>
                    </w:rPr>
                    <w:t>p.o.</w:t>
                  </w:r>
                  <w:proofErr w:type="spellEnd"/>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 xml:space="preserve">Start 0-6 h pharmacokinetic assessments (PK) </w:t>
                  </w:r>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After PK assessments start with pantoprazole (</w:t>
                  </w:r>
                  <w:proofErr w:type="spellStart"/>
                  <w:r w:rsidRPr="00AD70DE">
                    <w:rPr>
                      <w:lang w:val="en-GB"/>
                    </w:rPr>
                    <w:t>p.o.</w:t>
                  </w:r>
                  <w:proofErr w:type="spellEnd"/>
                  <w:r w:rsidRPr="00AD70DE">
                    <w:rPr>
                      <w:lang w:val="en-GB"/>
                    </w:rPr>
                    <w:t>) for 9 d</w:t>
                  </w:r>
                </w:p>
                <w:p w:rsidR="009C32E7" w:rsidRPr="00AD70DE" w:rsidRDefault="009C32E7" w:rsidP="00AD70DE">
                  <w:pPr>
                    <w:keepNext/>
                    <w:keepLines/>
                    <w:spacing w:before="120"/>
                    <w:jc w:val="both"/>
                    <w:rPr>
                      <w:sz w:val="20"/>
                      <w:szCs w:val="20"/>
                      <w:lang w:val="en-GB"/>
                    </w:rPr>
                  </w:pPr>
                  <w:r w:rsidRPr="00AD70DE">
                    <w:rPr>
                      <w:lang w:val="en-GB"/>
                    </w:rPr>
                    <w:t>Timing will be aligned with the expected timing of breakfast and dosing on V2.</w:t>
                  </w:r>
                </w:p>
              </w:tc>
            </w:tr>
            <w:tr w:rsidR="009C32E7" w:rsidRPr="00AD70DE" w:rsidTr="008355A9">
              <w:tc>
                <w:tcPr>
                  <w:tcW w:w="1877" w:type="dxa"/>
                </w:tcPr>
                <w:p w:rsidR="009C32E7" w:rsidRPr="00AD70DE" w:rsidRDefault="009C32E7" w:rsidP="00AD70DE">
                  <w:pPr>
                    <w:spacing w:before="120"/>
                    <w:rPr>
                      <w:lang w:val="en-GB"/>
                    </w:rPr>
                  </w:pPr>
                  <w:r w:rsidRPr="00AD70DE">
                    <w:rPr>
                      <w:lang w:val="en-GB"/>
                    </w:rPr>
                    <w:t>Visit 2 (day 6):</w:t>
                  </w:r>
                </w:p>
              </w:tc>
              <w:tc>
                <w:tcPr>
                  <w:tcW w:w="5263" w:type="dxa"/>
                </w:tcPr>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PPI therapy continued (morning dose 1 h before breakfast)</w:t>
                  </w:r>
                </w:p>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 xml:space="preserve">400 mg HCQ </w:t>
                  </w:r>
                  <w:proofErr w:type="spellStart"/>
                  <w:r w:rsidRPr="00AD70DE">
                    <w:rPr>
                      <w:lang w:val="en-GB"/>
                    </w:rPr>
                    <w:t>p.o.</w:t>
                  </w:r>
                  <w:proofErr w:type="spellEnd"/>
                  <w:r w:rsidRPr="00AD70DE">
                    <w:rPr>
                      <w:lang w:val="en-GB"/>
                    </w:rPr>
                    <w:t xml:space="preserve"> with food</w:t>
                  </w:r>
                </w:p>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Start 0-24 h HCQ PK</w:t>
                  </w:r>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 xml:space="preserve">3 h after HCQ: administration of 30 µg midazolam and 50 µg </w:t>
                  </w:r>
                  <w:proofErr w:type="spellStart"/>
                  <w:r w:rsidRPr="00AD70DE">
                    <w:rPr>
                      <w:lang w:val="en-GB"/>
                    </w:rPr>
                    <w:t>yohimbine</w:t>
                  </w:r>
                  <w:proofErr w:type="spellEnd"/>
                  <w:r w:rsidRPr="00AD70DE">
                    <w:rPr>
                      <w:lang w:val="en-GB"/>
                    </w:rPr>
                    <w:t xml:space="preserve"> </w:t>
                  </w:r>
                  <w:proofErr w:type="spellStart"/>
                  <w:r w:rsidRPr="00AD70DE">
                    <w:rPr>
                      <w:lang w:val="en-GB"/>
                    </w:rPr>
                    <w:t>p.o.</w:t>
                  </w:r>
                  <w:proofErr w:type="spellEnd"/>
                </w:p>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 xml:space="preserve">Start 0-6 h midazolam and </w:t>
                  </w:r>
                  <w:proofErr w:type="spellStart"/>
                  <w:r w:rsidRPr="00AD70DE">
                    <w:rPr>
                      <w:lang w:val="en-GB"/>
                    </w:rPr>
                    <w:t>yohimbine</w:t>
                  </w:r>
                  <w:proofErr w:type="spellEnd"/>
                  <w:r w:rsidRPr="00AD70DE">
                    <w:rPr>
                      <w:lang w:val="en-GB"/>
                    </w:rPr>
                    <w:t xml:space="preserve"> PK</w:t>
                  </w:r>
                </w:p>
              </w:tc>
            </w:tr>
            <w:tr w:rsidR="009C32E7" w:rsidRPr="00AD70DE" w:rsidTr="008355A9">
              <w:tc>
                <w:tcPr>
                  <w:tcW w:w="1877" w:type="dxa"/>
                </w:tcPr>
                <w:p w:rsidR="009C32E7" w:rsidRPr="00AD70DE" w:rsidRDefault="009C32E7" w:rsidP="00AD70DE">
                  <w:pPr>
                    <w:spacing w:before="120"/>
                    <w:rPr>
                      <w:lang w:val="en-GB"/>
                    </w:rPr>
                  </w:pPr>
                  <w:r w:rsidRPr="00AD70DE">
                    <w:rPr>
                      <w:lang w:val="en-GB"/>
                    </w:rPr>
                    <w:t>Visit 3 – 5</w:t>
                  </w:r>
                </w:p>
                <w:p w:rsidR="009C32E7" w:rsidRPr="00AD70DE" w:rsidRDefault="009C32E7" w:rsidP="00AD70DE">
                  <w:pPr>
                    <w:spacing w:before="120"/>
                    <w:rPr>
                      <w:lang w:val="en-GB"/>
                    </w:rPr>
                  </w:pPr>
                  <w:r w:rsidRPr="00AD70DE">
                    <w:rPr>
                      <w:lang w:val="en-GB"/>
                    </w:rPr>
                    <w:t>(day 7-9):</w:t>
                  </w:r>
                </w:p>
              </w:tc>
              <w:tc>
                <w:tcPr>
                  <w:tcW w:w="5263" w:type="dxa"/>
                </w:tcPr>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PPI therapy continued until day 9</w:t>
                  </w:r>
                </w:p>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PK sampling 24, 36, 48, and 72 h after HCQ administration</w:t>
                  </w:r>
                </w:p>
              </w:tc>
            </w:tr>
          </w:tbl>
          <w:p w:rsidR="009C32E7" w:rsidRPr="00AD70DE" w:rsidRDefault="009C32E7" w:rsidP="00AD70DE">
            <w:pPr>
              <w:keepNext/>
              <w:keepLines/>
              <w:spacing w:before="120"/>
              <w:rPr>
                <w:lang w:val="en-GB"/>
              </w:rPr>
            </w:pPr>
            <w:r w:rsidRPr="00AD70DE">
              <w:rPr>
                <w:b/>
                <w:lang w:val="en-GB"/>
              </w:rPr>
              <w:t xml:space="preserve">EOT: </w:t>
            </w:r>
            <w:r w:rsidRPr="00AD70DE">
              <w:rPr>
                <w:lang w:val="en-GB"/>
              </w:rPr>
              <w:t>Assessment of the volunteers’ health at the end of the trial.</w:t>
            </w:r>
          </w:p>
          <w:p w:rsidR="009C32E7" w:rsidRPr="00AD70DE" w:rsidRDefault="009C32E7" w:rsidP="00AD70DE">
            <w:pPr>
              <w:keepNext/>
              <w:keepLines/>
              <w:spacing w:before="120"/>
              <w:rPr>
                <w:b/>
                <w:lang w:val="en-GB"/>
              </w:rPr>
            </w:pPr>
            <w:r w:rsidRPr="00AD70DE">
              <w:rPr>
                <w:lang w:val="en-GB"/>
              </w:rPr>
              <w:t>Telephone safety follow-up 90 d</w:t>
            </w:r>
          </w:p>
        </w:tc>
      </w:tr>
      <w:tr w:rsidR="009C32E7" w:rsidRPr="00AD70DE" w:rsidTr="00093E06">
        <w:tc>
          <w:tcPr>
            <w:tcW w:w="1809" w:type="dxa"/>
          </w:tcPr>
          <w:p w:rsidR="009C32E7" w:rsidRPr="00AD70DE" w:rsidRDefault="009C32E7" w:rsidP="00AD70DE">
            <w:pPr>
              <w:rPr>
                <w:b/>
                <w:lang w:val="en-GB"/>
              </w:rPr>
            </w:pPr>
            <w:r w:rsidRPr="00AD70DE">
              <w:rPr>
                <w:b/>
                <w:lang w:val="en-GB"/>
              </w:rPr>
              <w:t>Investigational medicinal product</w:t>
            </w:r>
          </w:p>
        </w:tc>
        <w:tc>
          <w:tcPr>
            <w:tcW w:w="7371" w:type="dxa"/>
            <w:tcBorders>
              <w:bottom w:val="single" w:sz="4" w:space="0" w:color="auto"/>
            </w:tcBorders>
          </w:tcPr>
          <w:p w:rsidR="009C32E7" w:rsidRPr="00AD70DE" w:rsidRDefault="009C32E7" w:rsidP="00AD70DE">
            <w:pPr>
              <w:pStyle w:val="Listenabsatz"/>
              <w:numPr>
                <w:ilvl w:val="0"/>
                <w:numId w:val="23"/>
              </w:numPr>
              <w:rPr>
                <w:lang w:val="en-US"/>
              </w:rPr>
            </w:pPr>
            <w:r w:rsidRPr="00AD70DE">
              <w:rPr>
                <w:lang w:val="en-US"/>
              </w:rPr>
              <w:t xml:space="preserve">HCQ: 400 mg, single oral dose (V2) </w:t>
            </w:r>
          </w:p>
          <w:p w:rsidR="009C32E7" w:rsidRPr="00AD70DE" w:rsidRDefault="009C32E7" w:rsidP="00AD70DE">
            <w:pPr>
              <w:pStyle w:val="Listenabsatz"/>
              <w:numPr>
                <w:ilvl w:val="0"/>
                <w:numId w:val="23"/>
              </w:numPr>
              <w:rPr>
                <w:lang w:val="en-US"/>
              </w:rPr>
            </w:pPr>
            <w:r w:rsidRPr="00AD70DE">
              <w:rPr>
                <w:lang w:val="en-US"/>
              </w:rPr>
              <w:t>Pantoprazole: 40 mg oral dosing, daily for 9 d (visits 1-5)</w:t>
            </w:r>
          </w:p>
          <w:p w:rsidR="009C32E7" w:rsidRPr="00AD70DE" w:rsidRDefault="009C32E7" w:rsidP="00AD70DE">
            <w:pPr>
              <w:rPr>
                <w:lang w:val="en-US"/>
              </w:rPr>
            </w:pPr>
            <w:r w:rsidRPr="00AD70DE">
              <w:rPr>
                <w:lang w:val="en-US"/>
              </w:rPr>
              <w:t>Pantoprazole will be taken after PK sampling on V1. Pantoprazole will be taken 1 h before a meal, usually breakfast. On V2/day 6 pantoprazole will be taken 1 h before breakfast and HCQ will be taken together with breakfast. On days 2-5, and 7-9 pantoprazole must be taken at home 1 h before breakfast.</w:t>
            </w:r>
          </w:p>
          <w:p w:rsidR="009C32E7" w:rsidRPr="00AD70DE" w:rsidRDefault="009C32E7" w:rsidP="00AD70DE">
            <w:pPr>
              <w:rPr>
                <w:lang w:val="en-US"/>
              </w:rPr>
            </w:pPr>
            <w:r w:rsidRPr="00AD70DE">
              <w:rPr>
                <w:lang w:val="en-US"/>
              </w:rPr>
              <w:t xml:space="preserve">Microdosing for CYP phenotyping will be performed at V1 and V2: </w:t>
            </w:r>
          </w:p>
          <w:p w:rsidR="009C32E7" w:rsidRPr="00AD70DE" w:rsidRDefault="009C32E7" w:rsidP="00AD70DE">
            <w:pPr>
              <w:pStyle w:val="Listenabsatz"/>
              <w:numPr>
                <w:ilvl w:val="0"/>
                <w:numId w:val="23"/>
              </w:numPr>
              <w:rPr>
                <w:lang w:val="en-US"/>
              </w:rPr>
            </w:pPr>
            <w:r w:rsidRPr="00AD70DE">
              <w:rPr>
                <w:lang w:val="en-US"/>
              </w:rPr>
              <w:t>Midazolam 30 µg oral dosing</w:t>
            </w:r>
          </w:p>
          <w:p w:rsidR="009C32E7" w:rsidRPr="00AD70DE" w:rsidRDefault="009C32E7" w:rsidP="00AD70DE">
            <w:pPr>
              <w:pStyle w:val="Listenabsatz"/>
              <w:numPr>
                <w:ilvl w:val="0"/>
                <w:numId w:val="23"/>
              </w:numPr>
              <w:rPr>
                <w:lang w:val="en-US"/>
              </w:rPr>
            </w:pPr>
            <w:proofErr w:type="spellStart"/>
            <w:r w:rsidRPr="00AD70DE">
              <w:rPr>
                <w:lang w:val="en-US"/>
              </w:rPr>
              <w:t>Yohimbine</w:t>
            </w:r>
            <w:proofErr w:type="spellEnd"/>
            <w:r w:rsidRPr="00AD70DE">
              <w:rPr>
                <w:lang w:val="en-US"/>
              </w:rPr>
              <w:t xml:space="preserve"> 50 µg (2 tablets 25 µg each) oral dosing</w:t>
            </w:r>
          </w:p>
          <w:p w:rsidR="009C32E7" w:rsidRPr="00AD70DE" w:rsidRDefault="009C32E7" w:rsidP="00AD70DE">
            <w:pPr>
              <w:rPr>
                <w:lang w:val="en-US"/>
              </w:rPr>
            </w:pPr>
            <w:proofErr w:type="spellStart"/>
            <w:r w:rsidRPr="00AD70DE">
              <w:rPr>
                <w:lang w:val="en-US"/>
              </w:rPr>
              <w:t>Microdoses</w:t>
            </w:r>
            <w:proofErr w:type="spellEnd"/>
            <w:r w:rsidRPr="00AD70DE">
              <w:rPr>
                <w:lang w:val="en-US"/>
              </w:rPr>
              <w:t xml:space="preserve"> will be given 3 h after breakfast/HCQ intake. Volunteers will not be allowed to eat for 2 more hours. Timing for </w:t>
            </w:r>
            <w:r w:rsidRPr="00AD70DE">
              <w:rPr>
                <w:lang w:val="en-GB"/>
              </w:rPr>
              <w:t>administration</w:t>
            </w:r>
            <w:r w:rsidRPr="00AD70DE">
              <w:rPr>
                <w:lang w:val="en-US"/>
              </w:rPr>
              <w:t>and dosing for V1 and V2 will be aligned.</w:t>
            </w:r>
          </w:p>
        </w:tc>
      </w:tr>
    </w:tbl>
    <w:p w:rsidR="009C32E7" w:rsidRPr="00AD70DE" w:rsidRDefault="009C32E7" w:rsidP="00AD70DE">
      <w:pPr>
        <w:rPr>
          <w:lang w:val="en-US"/>
        </w:rPr>
      </w:pPr>
      <w:r w:rsidRPr="00AD70DE">
        <w:rPr>
          <w:lang w:val="en-US"/>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7371"/>
      </w:tblGrid>
      <w:tr w:rsidR="009C32E7" w:rsidRPr="00AD70DE" w:rsidTr="00093E06">
        <w:tc>
          <w:tcPr>
            <w:tcW w:w="1809" w:type="dxa"/>
            <w:tcBorders>
              <w:bottom w:val="single" w:sz="4" w:space="0" w:color="auto"/>
            </w:tcBorders>
          </w:tcPr>
          <w:p w:rsidR="009C32E7" w:rsidRPr="00AD70DE" w:rsidRDefault="009C32E7" w:rsidP="00AD70DE">
            <w:pPr>
              <w:rPr>
                <w:b/>
                <w:lang w:val="en-GB"/>
              </w:rPr>
            </w:pPr>
            <w:r w:rsidRPr="00AD70DE">
              <w:rPr>
                <w:b/>
                <w:lang w:val="en-GB"/>
              </w:rPr>
              <w:t>Pharmaco</w:t>
            </w:r>
            <w:r w:rsidRPr="00AD70DE">
              <w:rPr>
                <w:b/>
                <w:lang w:val="en-GB"/>
              </w:rPr>
              <w:softHyphen/>
              <w:t>kinetic sampling</w:t>
            </w:r>
          </w:p>
        </w:tc>
        <w:tc>
          <w:tcPr>
            <w:tcW w:w="7371" w:type="dxa"/>
            <w:tcBorders>
              <w:bottom w:val="single" w:sz="4" w:space="0" w:color="auto"/>
            </w:tcBorders>
          </w:tcPr>
          <w:p w:rsidR="009C32E7" w:rsidRPr="00AD70DE" w:rsidRDefault="009C32E7" w:rsidP="00AD70DE">
            <w:pPr>
              <w:rPr>
                <w:lang w:val="en-US"/>
              </w:rPr>
            </w:pPr>
            <w:r w:rsidRPr="00AD70DE">
              <w:rPr>
                <w:lang w:val="en-US"/>
              </w:rPr>
              <w:t xml:space="preserve">Midazolam and </w:t>
            </w:r>
            <w:proofErr w:type="spellStart"/>
            <w:r w:rsidRPr="00AD70DE">
              <w:rPr>
                <w:lang w:val="en-US"/>
              </w:rPr>
              <w:t>yohimbine</w:t>
            </w:r>
            <w:proofErr w:type="spellEnd"/>
            <w:r w:rsidRPr="00AD70DE">
              <w:rPr>
                <w:lang w:val="en-US"/>
              </w:rPr>
              <w:t xml:space="preserve"> (plasma): predose, 0.5 h, 1 h, 2 h, 2.5 h, 3 h, 4 h, and 6 h.</w:t>
            </w:r>
          </w:p>
          <w:p w:rsidR="009C32E7" w:rsidRPr="00AD70DE" w:rsidRDefault="009C32E7" w:rsidP="00AD70DE">
            <w:pPr>
              <w:rPr>
                <w:lang w:val="en-US"/>
              </w:rPr>
            </w:pPr>
            <w:r w:rsidRPr="00AD70DE">
              <w:rPr>
                <w:lang w:val="en-US"/>
              </w:rPr>
              <w:t>HCQ (lithium-heparin whole blood and plasma): predose, q20 min until 6 h, q 30 min until 8 h, q1h until 12 h, thereafter at 24 h, 36 h, 48 h, and 72 h.</w:t>
            </w:r>
          </w:p>
          <w:p w:rsidR="009C32E7" w:rsidRPr="00AD70DE" w:rsidRDefault="009C32E7" w:rsidP="00AD70DE">
            <w:pPr>
              <w:rPr>
                <w:lang w:val="en-US"/>
              </w:rPr>
            </w:pPr>
            <w:r w:rsidRPr="00AD70DE">
              <w:rPr>
                <w:lang w:val="en-US"/>
              </w:rPr>
              <w:t>PBMCs (sodium citrate cell preparation tube): 2h, 4 h, and 24 h (after HCQ).</w:t>
            </w:r>
          </w:p>
        </w:tc>
      </w:tr>
      <w:tr w:rsidR="009C32E7" w:rsidRPr="00AD70DE" w:rsidTr="00093E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09" w:type="dxa"/>
            <w:tcBorders>
              <w:top w:val="single" w:sz="4" w:space="0" w:color="auto"/>
              <w:left w:val="single" w:sz="4" w:space="0" w:color="auto"/>
              <w:bottom w:val="single" w:sz="4" w:space="0" w:color="auto"/>
              <w:right w:val="single" w:sz="4" w:space="0" w:color="auto"/>
            </w:tcBorders>
          </w:tcPr>
          <w:p w:rsidR="009C32E7" w:rsidRPr="00AD70DE" w:rsidRDefault="009C32E7" w:rsidP="00AD70DE">
            <w:pPr>
              <w:rPr>
                <w:b/>
                <w:lang w:val="en-GB"/>
              </w:rPr>
            </w:pPr>
            <w:r w:rsidRPr="00AD70DE">
              <w:rPr>
                <w:b/>
                <w:lang w:val="en-GB"/>
              </w:rPr>
              <w:t>Inclusion criteria</w:t>
            </w:r>
          </w:p>
        </w:tc>
        <w:tc>
          <w:tcPr>
            <w:tcW w:w="7371" w:type="dxa"/>
            <w:tcBorders>
              <w:top w:val="single" w:sz="4" w:space="0" w:color="auto"/>
              <w:left w:val="single" w:sz="4" w:space="0" w:color="auto"/>
              <w:bottom w:val="single" w:sz="4" w:space="0" w:color="auto"/>
              <w:right w:val="single" w:sz="4" w:space="0" w:color="auto"/>
            </w:tcBorders>
          </w:tcPr>
          <w:p w:rsidR="009C32E7" w:rsidRPr="00AD70DE" w:rsidRDefault="009C32E7" w:rsidP="00AD70DE">
            <w:pPr>
              <w:numPr>
                <w:ilvl w:val="0"/>
                <w:numId w:val="16"/>
              </w:numPr>
              <w:spacing w:after="0"/>
              <w:ind w:left="281" w:hanging="310"/>
              <w:contextualSpacing/>
              <w:jc w:val="both"/>
              <w:rPr>
                <w:lang w:val="en-GB"/>
              </w:rPr>
            </w:pPr>
            <w:r w:rsidRPr="00AD70DE">
              <w:rPr>
                <w:lang w:val="en-GB"/>
              </w:rPr>
              <w:t>Age 18-60 y inclusive at the time of consent,</w:t>
            </w:r>
          </w:p>
          <w:p w:rsidR="009C32E7" w:rsidRPr="00AD70DE" w:rsidRDefault="009C32E7" w:rsidP="00AD70DE">
            <w:pPr>
              <w:numPr>
                <w:ilvl w:val="0"/>
                <w:numId w:val="16"/>
              </w:numPr>
              <w:spacing w:after="0"/>
              <w:ind w:left="281" w:hanging="310"/>
              <w:contextualSpacing/>
              <w:jc w:val="both"/>
              <w:rPr>
                <w:lang w:val="en-GB"/>
              </w:rPr>
            </w:pPr>
            <w:r w:rsidRPr="00AD70DE">
              <w:rPr>
                <w:lang w:val="en-GB"/>
              </w:rPr>
              <w:t>Males and females of child-bearing potential who are willing to use a highly effective method of contraception during the treatment and for 3 months after last administration of the IMP or women not of child-bearing potential (WNCBP) or individuals who are convincingly sexually abstinent.</w:t>
            </w:r>
          </w:p>
          <w:p w:rsidR="009C32E7" w:rsidRPr="00AD70DE" w:rsidRDefault="009C32E7" w:rsidP="00AD70DE">
            <w:pPr>
              <w:spacing w:after="0"/>
              <w:ind w:left="-29"/>
              <w:contextualSpacing/>
              <w:rPr>
                <w:lang w:val="en-GB"/>
              </w:rPr>
            </w:pPr>
          </w:p>
          <w:p w:rsidR="009C32E7" w:rsidRPr="00AD70DE" w:rsidRDefault="009C32E7" w:rsidP="00AD70DE">
            <w:pPr>
              <w:spacing w:after="240"/>
              <w:ind w:left="391" w:firstLine="5"/>
              <w:contextualSpacing/>
              <w:rPr>
                <w:sz w:val="18"/>
                <w:lang w:val="en-GB"/>
              </w:rPr>
            </w:pPr>
            <w:r w:rsidRPr="00AD70DE">
              <w:rPr>
                <w:i/>
                <w:snapToGrid w:val="0"/>
                <w:sz w:val="18"/>
                <w:lang w:val="en-GB"/>
              </w:rPr>
              <w:t>Accepted methods of contraception are: combined hormonal contraception associated with inhibition of ovulation (oral, intravaginal, or transdermal), progestogen-only hormonal contraception associated with inhibition of ovulation (oral, injectable, or implantable), intrauterine device, intrauterine hormone-releasing system, bilateral tubal occlusion, vasectomized partner, or sexual abstinence.</w:t>
            </w:r>
          </w:p>
          <w:p w:rsidR="009C32E7" w:rsidRPr="00AD70DE" w:rsidRDefault="009C32E7" w:rsidP="00AD70DE">
            <w:pPr>
              <w:spacing w:after="0"/>
              <w:ind w:left="391" w:firstLine="5"/>
              <w:contextualSpacing/>
              <w:rPr>
                <w:sz w:val="18"/>
                <w:lang w:val="en-GB"/>
              </w:rPr>
            </w:pPr>
            <w:r w:rsidRPr="00AD70DE">
              <w:rPr>
                <w:i/>
                <w:snapToGrid w:val="0"/>
                <w:sz w:val="18"/>
                <w:lang w:val="en-GB"/>
              </w:rPr>
              <w:t>WNCBP are defined as women who have been surgically sterilized (total hysterectomy or bilateral oophorectomy, bilateral tubal ligation, staples, or another type of sterilization) or who are postmenopausal for at least 2 y. Individuals who are convincingly sexually abstinent are also eligible.</w:t>
            </w:r>
          </w:p>
          <w:p w:rsidR="009C32E7" w:rsidRPr="00AD70DE" w:rsidRDefault="009C32E7" w:rsidP="00AD70DE">
            <w:pPr>
              <w:numPr>
                <w:ilvl w:val="0"/>
                <w:numId w:val="16"/>
              </w:numPr>
              <w:spacing w:after="0"/>
              <w:ind w:left="391" w:hanging="391"/>
              <w:contextualSpacing/>
              <w:jc w:val="both"/>
              <w:rPr>
                <w:lang w:val="en-GB"/>
              </w:rPr>
            </w:pPr>
            <w:r w:rsidRPr="00AD70DE">
              <w:rPr>
                <w:lang w:val="en-GB"/>
              </w:rPr>
              <w:t xml:space="preserve">Understanding, ability, and willingness to fully comply with trial interventions and restrictions, </w:t>
            </w:r>
          </w:p>
          <w:p w:rsidR="009C32E7" w:rsidRPr="00AD70DE" w:rsidRDefault="009C32E7" w:rsidP="00AD70DE">
            <w:pPr>
              <w:numPr>
                <w:ilvl w:val="0"/>
                <w:numId w:val="16"/>
              </w:numPr>
              <w:spacing w:after="0"/>
              <w:ind w:left="391" w:hanging="391"/>
              <w:contextualSpacing/>
              <w:jc w:val="both"/>
              <w:rPr>
                <w:lang w:val="en-GB"/>
              </w:rPr>
            </w:pPr>
            <w:r w:rsidRPr="00AD70DE">
              <w:rPr>
                <w:lang w:val="en-GB"/>
              </w:rPr>
              <w:t>Willingness to participate in a genotyping study (K093), and</w:t>
            </w:r>
          </w:p>
          <w:p w:rsidR="009C32E7" w:rsidRPr="00AD70DE" w:rsidRDefault="009C32E7" w:rsidP="00AD70DE">
            <w:pPr>
              <w:numPr>
                <w:ilvl w:val="0"/>
                <w:numId w:val="16"/>
              </w:numPr>
              <w:spacing w:after="0"/>
              <w:ind w:left="391" w:hanging="391"/>
              <w:contextualSpacing/>
              <w:jc w:val="both"/>
              <w:rPr>
                <w:lang w:val="en-GB"/>
              </w:rPr>
            </w:pPr>
            <w:r w:rsidRPr="00AD70DE">
              <w:rPr>
                <w:lang w:val="en-GB"/>
              </w:rPr>
              <w:t>Ability to provide written, personally signed and dated informed consent to participate in the trial, in accordance with the International Conference on Harmonisation (ICH) Good Clinical Practice (GCP) Guideline E6, and applicable regulations, prior to any trial-related interventions.</w:t>
            </w:r>
          </w:p>
          <w:p w:rsidR="009C32E7" w:rsidRPr="00AD70DE" w:rsidRDefault="009C32E7" w:rsidP="00AD70DE">
            <w:pPr>
              <w:spacing w:after="0"/>
              <w:ind w:left="391"/>
              <w:contextualSpacing/>
              <w:rPr>
                <w:lang w:val="en-GB"/>
              </w:rPr>
            </w:pPr>
          </w:p>
        </w:tc>
      </w:tr>
      <w:tr w:rsidR="009C32E7" w:rsidRPr="00AD70DE" w:rsidTr="00093E06">
        <w:trPr>
          <w:trHeight w:val="1056"/>
        </w:trPr>
        <w:tc>
          <w:tcPr>
            <w:tcW w:w="1809" w:type="dxa"/>
            <w:tcBorders>
              <w:top w:val="single" w:sz="4" w:space="0" w:color="auto"/>
            </w:tcBorders>
          </w:tcPr>
          <w:p w:rsidR="009C32E7" w:rsidRPr="00AD70DE" w:rsidRDefault="009C32E7" w:rsidP="00AD70DE">
            <w:pPr>
              <w:rPr>
                <w:b/>
                <w:lang w:val="en-GB"/>
              </w:rPr>
            </w:pPr>
            <w:r w:rsidRPr="00AD70DE">
              <w:rPr>
                <w:b/>
                <w:lang w:val="en-GB"/>
              </w:rPr>
              <w:t>Exclusion criteria</w:t>
            </w:r>
          </w:p>
        </w:tc>
        <w:tc>
          <w:tcPr>
            <w:tcW w:w="7371" w:type="dxa"/>
            <w:tcBorders>
              <w:top w:val="single" w:sz="4" w:space="0" w:color="auto"/>
            </w:tcBorders>
          </w:tcPr>
          <w:p w:rsidR="009C32E7" w:rsidRPr="00AD70DE" w:rsidRDefault="009C32E7" w:rsidP="00AD70DE">
            <w:pPr>
              <w:pStyle w:val="standard1"/>
              <w:spacing w:after="160" w:line="259" w:lineRule="auto"/>
              <w:ind w:left="459" w:hanging="459"/>
              <w:contextualSpacing/>
              <w:jc w:val="left"/>
              <w:rPr>
                <w:rFonts w:ascii="Calibri" w:hAnsi="Calibri"/>
                <w:b/>
                <w:u w:val="single"/>
              </w:rPr>
            </w:pPr>
            <w:r w:rsidRPr="00AD70DE">
              <w:rPr>
                <w:rFonts w:ascii="Calibri" w:hAnsi="Calibri"/>
                <w:b/>
                <w:u w:val="single"/>
              </w:rPr>
              <w:t>At the time of screening:</w:t>
            </w:r>
          </w:p>
          <w:p w:rsidR="009C32E7" w:rsidRPr="00AD70DE" w:rsidRDefault="009C32E7" w:rsidP="00AD70DE">
            <w:pPr>
              <w:numPr>
                <w:ilvl w:val="0"/>
                <w:numId w:val="11"/>
              </w:numPr>
              <w:spacing w:after="0"/>
              <w:ind w:left="391" w:hanging="391"/>
              <w:contextualSpacing/>
              <w:jc w:val="both"/>
              <w:rPr>
                <w:lang w:val="en-GB"/>
              </w:rPr>
            </w:pPr>
            <w:r w:rsidRPr="00AD70DE">
              <w:rPr>
                <w:lang w:val="en-GB"/>
              </w:rPr>
              <w:t>Clinically significant or relevant abnormalities in the medical history, physical examination, and laboratory evaluation as assessed by the investigator,</w:t>
            </w:r>
          </w:p>
          <w:p w:rsidR="009C32E7" w:rsidRPr="00AD70DE" w:rsidRDefault="009C32E7" w:rsidP="00AD70DE">
            <w:pPr>
              <w:numPr>
                <w:ilvl w:val="0"/>
                <w:numId w:val="11"/>
              </w:numPr>
              <w:spacing w:after="0"/>
              <w:ind w:left="391" w:hanging="391"/>
              <w:contextualSpacing/>
              <w:jc w:val="both"/>
              <w:rPr>
                <w:lang w:val="en-GB"/>
              </w:rPr>
            </w:pPr>
            <w:r w:rsidRPr="00AD70DE">
              <w:rPr>
                <w:lang w:val="en-GB"/>
              </w:rPr>
              <w:t>Any medical disorder that may require treatment or make the participant unlikely to fully complete the trial, or any condition that presents undue risk from the IMPs or trial interventions,</w:t>
            </w:r>
          </w:p>
          <w:p w:rsidR="009C32E7" w:rsidRPr="00AD70DE" w:rsidRDefault="009C32E7" w:rsidP="00AD70DE">
            <w:pPr>
              <w:numPr>
                <w:ilvl w:val="0"/>
                <w:numId w:val="11"/>
              </w:numPr>
              <w:spacing w:after="0"/>
              <w:ind w:left="391" w:hanging="391"/>
              <w:contextualSpacing/>
              <w:rPr>
                <w:rFonts w:eastAsia="MS Mincho"/>
                <w:lang w:val="en-GB" w:eastAsia="ja-JP"/>
              </w:rPr>
            </w:pPr>
            <w:r w:rsidRPr="00AD70DE">
              <w:rPr>
                <w:lang w:val="en-GB"/>
              </w:rPr>
              <w:t>Clinically relevant ongoing or clinically relevant history of physical or psychiatric illness as judged by the investigator, especially</w:t>
            </w:r>
            <w:r w:rsidRPr="00AD70DE">
              <w:rPr>
                <w:lang w:val="en-GB"/>
              </w:rPr>
              <w:br/>
            </w:r>
            <w:r w:rsidRPr="00AD70DE">
              <w:rPr>
                <w:rFonts w:eastAsia="MS Mincho"/>
                <w:lang w:val="en-GB" w:eastAsia="ja-JP"/>
              </w:rPr>
              <w:t>a) Gastrointestinal, neurological, or haematological diseases</w:t>
            </w:r>
            <w:r w:rsidRPr="00AD70DE">
              <w:rPr>
                <w:rFonts w:eastAsia="MS Mincho"/>
                <w:lang w:val="en-GB" w:eastAsia="ja-JP"/>
              </w:rPr>
              <w:br/>
              <w:t>b) history of psoriasis, porphyria, or epilepsy</w:t>
            </w:r>
          </w:p>
          <w:p w:rsidR="009C32E7" w:rsidRPr="00AD70DE" w:rsidRDefault="009C32E7" w:rsidP="00AD70DE">
            <w:pPr>
              <w:numPr>
                <w:ilvl w:val="0"/>
                <w:numId w:val="11"/>
              </w:numPr>
              <w:spacing w:after="0"/>
              <w:ind w:left="391" w:hanging="391"/>
              <w:contextualSpacing/>
              <w:jc w:val="both"/>
              <w:rPr>
                <w:lang w:val="en-GB"/>
              </w:rPr>
            </w:pPr>
            <w:r w:rsidRPr="00AD70DE">
              <w:rPr>
                <w:lang w:val="en-GB"/>
              </w:rPr>
              <w:t>Pregnancy or breast feeding,</w:t>
            </w:r>
          </w:p>
          <w:p w:rsidR="009C32E7" w:rsidRPr="00AD70DE" w:rsidRDefault="009C32E7" w:rsidP="00AD70DE">
            <w:pPr>
              <w:numPr>
                <w:ilvl w:val="0"/>
                <w:numId w:val="11"/>
              </w:numPr>
              <w:spacing w:after="0"/>
              <w:ind w:left="391" w:hanging="391"/>
              <w:contextualSpacing/>
              <w:jc w:val="both"/>
              <w:rPr>
                <w:lang w:val="en-GB"/>
              </w:rPr>
            </w:pPr>
            <w:r w:rsidRPr="00AD70DE">
              <w:rPr>
                <w:lang w:val="en-GB"/>
              </w:rPr>
              <w:t xml:space="preserve">Any acute or chronic illness or clinically relevant finding known or expected to modify absorption, distribution, metabolism, or excretion of HCQ, midazolam, </w:t>
            </w:r>
            <w:proofErr w:type="spellStart"/>
            <w:r w:rsidRPr="00AD70DE">
              <w:rPr>
                <w:lang w:val="en-GB"/>
              </w:rPr>
              <w:t>yohimbine</w:t>
            </w:r>
            <w:proofErr w:type="spellEnd"/>
            <w:r w:rsidRPr="00AD70DE">
              <w:rPr>
                <w:lang w:val="en-GB"/>
              </w:rPr>
              <w:t>, or pantoprazole,</w:t>
            </w:r>
          </w:p>
          <w:p w:rsidR="009C32E7" w:rsidRPr="00AD70DE" w:rsidRDefault="009C32E7" w:rsidP="00AD70DE">
            <w:pPr>
              <w:numPr>
                <w:ilvl w:val="0"/>
                <w:numId w:val="11"/>
              </w:numPr>
              <w:spacing w:after="0"/>
              <w:ind w:left="391" w:hanging="391"/>
              <w:contextualSpacing/>
              <w:jc w:val="both"/>
              <w:rPr>
                <w:lang w:val="en-GB"/>
              </w:rPr>
            </w:pPr>
            <w:r w:rsidRPr="00AD70DE">
              <w:rPr>
                <w:lang w:val="en-GB"/>
              </w:rPr>
              <w:t>Any known history of severe allergic or anaphylactic reactions to drugs or food or any other clinically significant allergies (except mild forms of hay fever),</w:t>
            </w:r>
          </w:p>
          <w:p w:rsidR="009C32E7" w:rsidRPr="00AD70DE" w:rsidRDefault="009C32E7" w:rsidP="00AD70DE">
            <w:pPr>
              <w:numPr>
                <w:ilvl w:val="0"/>
                <w:numId w:val="11"/>
              </w:numPr>
              <w:spacing w:after="0"/>
              <w:ind w:left="391" w:hanging="391"/>
              <w:contextualSpacing/>
              <w:jc w:val="both"/>
              <w:rPr>
                <w:lang w:val="en-GB"/>
              </w:rPr>
            </w:pPr>
            <w:r w:rsidRPr="00AD70DE">
              <w:rPr>
                <w:lang w:val="en-GB"/>
              </w:rPr>
              <w:t xml:space="preserve">Any known allergies to the compound or further ingredients of HCQ, quinine, pantoprazole, midazolam, or </w:t>
            </w:r>
            <w:proofErr w:type="spellStart"/>
            <w:r w:rsidRPr="00AD70DE">
              <w:rPr>
                <w:lang w:val="en-GB"/>
              </w:rPr>
              <w:t>yohimbine</w:t>
            </w:r>
            <w:proofErr w:type="spellEnd"/>
            <w:r w:rsidRPr="00AD70DE">
              <w:rPr>
                <w:lang w:val="en-GB"/>
              </w:rPr>
              <w:t xml:space="preserve"> preparations,</w:t>
            </w:r>
          </w:p>
          <w:p w:rsidR="009C32E7" w:rsidRPr="00AD70DE" w:rsidRDefault="009C32E7" w:rsidP="00AD70DE">
            <w:pPr>
              <w:numPr>
                <w:ilvl w:val="0"/>
                <w:numId w:val="11"/>
              </w:numPr>
              <w:spacing w:after="0"/>
              <w:ind w:left="391" w:hanging="391"/>
              <w:contextualSpacing/>
              <w:jc w:val="both"/>
              <w:rPr>
                <w:lang w:val="en-GB"/>
              </w:rPr>
            </w:pPr>
            <w:r w:rsidRPr="00AD70DE">
              <w:rPr>
                <w:lang w:val="en-GB"/>
              </w:rPr>
              <w:t xml:space="preserve">Prolonged </w:t>
            </w:r>
            <w:proofErr w:type="spellStart"/>
            <w:r w:rsidRPr="00AD70DE">
              <w:rPr>
                <w:lang w:val="en-GB"/>
              </w:rPr>
              <w:t>QTc</w:t>
            </w:r>
            <w:proofErr w:type="spellEnd"/>
            <w:r w:rsidRPr="00AD70DE">
              <w:rPr>
                <w:lang w:val="en-GB"/>
              </w:rPr>
              <w:t xml:space="preserve"> time: women: </w:t>
            </w:r>
            <w:proofErr w:type="spellStart"/>
            <w:r w:rsidRPr="00AD70DE">
              <w:rPr>
                <w:lang w:val="en-GB"/>
              </w:rPr>
              <w:t>QTcF</w:t>
            </w:r>
            <w:proofErr w:type="spellEnd"/>
            <w:r w:rsidRPr="00AD70DE">
              <w:rPr>
                <w:lang w:val="en-GB"/>
              </w:rPr>
              <w:t xml:space="preserve"> &gt; 460 </w:t>
            </w:r>
            <w:proofErr w:type="spellStart"/>
            <w:r w:rsidRPr="00AD70DE">
              <w:rPr>
                <w:lang w:val="en-GB"/>
              </w:rPr>
              <w:t>ms</w:t>
            </w:r>
            <w:proofErr w:type="spellEnd"/>
            <w:r w:rsidRPr="00AD70DE">
              <w:rPr>
                <w:lang w:val="en-GB"/>
              </w:rPr>
              <w:t xml:space="preserve">, men: </w:t>
            </w:r>
            <w:proofErr w:type="spellStart"/>
            <w:r w:rsidRPr="00AD70DE">
              <w:rPr>
                <w:lang w:val="en-GB"/>
              </w:rPr>
              <w:t>QTcF</w:t>
            </w:r>
            <w:proofErr w:type="spellEnd"/>
            <w:r w:rsidRPr="00AD70DE">
              <w:rPr>
                <w:lang w:val="en-GB"/>
              </w:rPr>
              <w:t xml:space="preserve"> &gt; 440 </w:t>
            </w:r>
            <w:proofErr w:type="spellStart"/>
            <w:r w:rsidRPr="00AD70DE">
              <w:rPr>
                <w:lang w:val="en-GB"/>
              </w:rPr>
              <w:t>ms</w:t>
            </w:r>
            <w:proofErr w:type="spellEnd"/>
          </w:p>
          <w:p w:rsidR="009C32E7" w:rsidRPr="00AD70DE" w:rsidRDefault="009C32E7" w:rsidP="00AD70DE">
            <w:pPr>
              <w:numPr>
                <w:ilvl w:val="0"/>
                <w:numId w:val="11"/>
              </w:numPr>
              <w:spacing w:after="0"/>
              <w:ind w:left="391" w:hanging="391"/>
              <w:contextualSpacing/>
              <w:jc w:val="both"/>
              <w:rPr>
                <w:lang w:val="en-GB"/>
              </w:rPr>
            </w:pPr>
            <w:r w:rsidRPr="00AD70DE">
              <w:rPr>
                <w:lang w:val="en-GB"/>
              </w:rPr>
              <w:t>Clinically relevant findings in any of the following investigations at SCR. Minor deviations of laboratory values from the normal range can be acceptable, if judged by the investigator to be of no clinical relevance for this trial:</w:t>
            </w:r>
          </w:p>
          <w:p w:rsidR="009C32E7" w:rsidRPr="00AD70DE" w:rsidRDefault="009C32E7" w:rsidP="00AD70DE">
            <w:pPr>
              <w:pStyle w:val="standard1"/>
              <w:numPr>
                <w:ilvl w:val="0"/>
                <w:numId w:val="18"/>
              </w:numPr>
              <w:spacing w:after="160" w:line="259" w:lineRule="auto"/>
              <w:ind w:left="721" w:hanging="284"/>
              <w:contextualSpacing/>
              <w:jc w:val="left"/>
              <w:rPr>
                <w:rFonts w:ascii="Calibri" w:hAnsi="Calibri" w:cs="Times"/>
                <w:szCs w:val="22"/>
                <w:lang w:eastAsia="de-DE"/>
              </w:rPr>
            </w:pPr>
            <w:proofErr w:type="spellStart"/>
            <w:r w:rsidRPr="00AD70DE">
              <w:rPr>
                <w:rFonts w:ascii="Calibri" w:hAnsi="Calibri" w:cs="Times"/>
                <w:szCs w:val="22"/>
                <w:lang w:eastAsia="de-DE"/>
              </w:rPr>
              <w:t>Hemoglobin</w:t>
            </w:r>
            <w:proofErr w:type="spellEnd"/>
            <w:r w:rsidRPr="00AD70DE">
              <w:rPr>
                <w:rFonts w:ascii="Calibri" w:hAnsi="Calibri" w:cs="Times"/>
                <w:szCs w:val="22"/>
                <w:lang w:eastAsia="de-DE"/>
              </w:rPr>
              <w:t xml:space="preserve"> (</w:t>
            </w:r>
            <w:proofErr w:type="spellStart"/>
            <w:r w:rsidRPr="00AD70DE">
              <w:rPr>
                <w:rFonts w:ascii="Calibri" w:hAnsi="Calibri" w:cs="Times"/>
                <w:szCs w:val="22"/>
                <w:lang w:eastAsia="de-DE"/>
              </w:rPr>
              <w:t>Hb</w:t>
            </w:r>
            <w:proofErr w:type="spellEnd"/>
            <w:r w:rsidRPr="00AD70DE">
              <w:rPr>
                <w:rFonts w:ascii="Calibri" w:hAnsi="Calibri" w:cs="Times"/>
                <w:szCs w:val="22"/>
                <w:lang w:eastAsia="de-DE"/>
              </w:rPr>
              <w:t>) &lt; 12 g/dl (males) or &lt; 11 g/dl (females),</w:t>
            </w:r>
          </w:p>
          <w:p w:rsidR="009C32E7" w:rsidRPr="00AD70DE" w:rsidRDefault="009C32E7" w:rsidP="00AD70DE">
            <w:pPr>
              <w:pStyle w:val="standard1"/>
              <w:numPr>
                <w:ilvl w:val="0"/>
                <w:numId w:val="18"/>
              </w:numPr>
              <w:spacing w:after="160" w:line="259" w:lineRule="auto"/>
              <w:ind w:left="721" w:hanging="284"/>
              <w:contextualSpacing/>
              <w:jc w:val="left"/>
              <w:rPr>
                <w:rFonts w:ascii="Calibri" w:hAnsi="Calibri"/>
                <w:szCs w:val="22"/>
              </w:rPr>
            </w:pPr>
            <w:r w:rsidRPr="00AD70DE">
              <w:rPr>
                <w:rFonts w:ascii="Calibri" w:hAnsi="Calibri" w:cs="Times"/>
                <w:szCs w:val="22"/>
                <w:lang w:eastAsia="de-DE"/>
              </w:rPr>
              <w:t>Creatinine (</w:t>
            </w:r>
            <w:proofErr w:type="spellStart"/>
            <w:r w:rsidRPr="00AD70DE">
              <w:rPr>
                <w:rFonts w:ascii="Calibri" w:hAnsi="Calibri" w:cs="Times"/>
                <w:szCs w:val="22"/>
                <w:lang w:eastAsia="de-DE"/>
              </w:rPr>
              <w:t>Crea</w:t>
            </w:r>
            <w:proofErr w:type="spellEnd"/>
            <w:r w:rsidRPr="00AD70DE">
              <w:rPr>
                <w:rFonts w:ascii="Calibri" w:hAnsi="Calibri" w:cs="Times"/>
                <w:szCs w:val="22"/>
                <w:lang w:eastAsia="de-DE"/>
              </w:rPr>
              <w:t>) clearance (Cl) &lt; 60 ml/min (Cockcroft-Gault),</w:t>
            </w:r>
          </w:p>
          <w:p w:rsidR="009C32E7" w:rsidRPr="00AD70DE" w:rsidRDefault="009C32E7" w:rsidP="00AD70DE">
            <w:pPr>
              <w:pStyle w:val="standard1"/>
              <w:numPr>
                <w:ilvl w:val="0"/>
                <w:numId w:val="18"/>
              </w:numPr>
              <w:spacing w:after="160" w:line="259" w:lineRule="auto"/>
              <w:ind w:left="721" w:hanging="284"/>
              <w:contextualSpacing/>
              <w:jc w:val="left"/>
              <w:rPr>
                <w:rFonts w:ascii="Calibri" w:hAnsi="Calibri" w:cs="Times"/>
                <w:szCs w:val="22"/>
                <w:lang w:eastAsia="de-DE"/>
              </w:rPr>
            </w:pPr>
            <w:r w:rsidRPr="00AD70DE">
              <w:rPr>
                <w:rFonts w:ascii="Calibri" w:hAnsi="Calibri" w:cs="Times"/>
                <w:szCs w:val="22"/>
                <w:lang w:eastAsia="de-DE"/>
              </w:rPr>
              <w:t xml:space="preserve">Bilirubin &gt; upper limit of normal (ULN) x 1.2, </w:t>
            </w:r>
            <w:r w:rsidRPr="00AD70DE">
              <w:rPr>
                <w:rFonts w:ascii="Calibri" w:hAnsi="Calibri" w:cs="Times"/>
                <w:szCs w:val="22"/>
                <w:lang w:eastAsia="de-DE"/>
              </w:rPr>
              <w:br/>
            </w:r>
            <w:proofErr w:type="gramStart"/>
            <w:r w:rsidRPr="00AD70DE">
              <w:rPr>
                <w:rFonts w:ascii="Calibri" w:hAnsi="Calibri" w:cs="Times"/>
                <w:szCs w:val="22"/>
                <w:lang w:eastAsia="de-DE"/>
              </w:rPr>
              <w:t>In</w:t>
            </w:r>
            <w:proofErr w:type="gramEnd"/>
            <w:r w:rsidRPr="00AD70DE">
              <w:rPr>
                <w:rFonts w:ascii="Calibri" w:hAnsi="Calibri" w:cs="Times"/>
                <w:szCs w:val="22"/>
                <w:lang w:eastAsia="de-DE"/>
              </w:rPr>
              <w:t xml:space="preserve"> case of suspected Gilbert’s disease: non-fasting total bilirubin ≤ ULN x 1.2 and fasting total bilirubin ≤ ULN x 1.5 are acceptable.</w:t>
            </w:r>
          </w:p>
          <w:p w:rsidR="009C32E7" w:rsidRPr="00AD70DE" w:rsidRDefault="009C32E7" w:rsidP="00AD70DE">
            <w:pPr>
              <w:pStyle w:val="standard1"/>
              <w:numPr>
                <w:ilvl w:val="0"/>
                <w:numId w:val="18"/>
              </w:numPr>
              <w:spacing w:after="160" w:line="259" w:lineRule="auto"/>
              <w:ind w:left="721" w:hanging="284"/>
              <w:contextualSpacing/>
              <w:jc w:val="left"/>
              <w:rPr>
                <w:rFonts w:ascii="Calibri" w:hAnsi="Calibri" w:cs="Times"/>
                <w:szCs w:val="22"/>
                <w:lang w:eastAsia="de-DE"/>
              </w:rPr>
            </w:pPr>
            <w:r w:rsidRPr="00AD70DE">
              <w:rPr>
                <w:rFonts w:ascii="Calibri" w:hAnsi="Calibri"/>
                <w:szCs w:val="22"/>
              </w:rPr>
              <w:t>Alanine aminotransferase (ALT) &gt; ULN x 1.1,</w:t>
            </w:r>
          </w:p>
          <w:p w:rsidR="009C32E7" w:rsidRPr="00AD70DE" w:rsidRDefault="009C32E7" w:rsidP="00AD70DE">
            <w:pPr>
              <w:pStyle w:val="standard1"/>
              <w:numPr>
                <w:ilvl w:val="0"/>
                <w:numId w:val="18"/>
              </w:numPr>
              <w:spacing w:after="160" w:line="259" w:lineRule="auto"/>
              <w:ind w:left="721" w:hanging="284"/>
              <w:contextualSpacing/>
              <w:jc w:val="left"/>
              <w:rPr>
                <w:rFonts w:ascii="Calibri" w:hAnsi="Calibri" w:cs="Times"/>
                <w:szCs w:val="22"/>
                <w:lang w:eastAsia="de-DE"/>
              </w:rPr>
            </w:pPr>
            <w:r w:rsidRPr="00AD70DE">
              <w:rPr>
                <w:rFonts w:ascii="Calibri" w:hAnsi="Calibri" w:cs="Calibri"/>
                <w:color w:val="000000"/>
                <w:szCs w:val="22"/>
              </w:rPr>
              <w:t xml:space="preserve">Aspartate aminotransferase </w:t>
            </w:r>
            <w:r w:rsidRPr="00AD70DE">
              <w:rPr>
                <w:rFonts w:ascii="Calibri" w:hAnsi="Calibri"/>
                <w:szCs w:val="22"/>
              </w:rPr>
              <w:t>(AST) &gt; ULN x 1.2,</w:t>
            </w:r>
          </w:p>
          <w:p w:rsidR="009C32E7" w:rsidRPr="00AD70DE" w:rsidRDefault="009C32E7" w:rsidP="00AD70DE">
            <w:pPr>
              <w:pStyle w:val="standard1"/>
              <w:numPr>
                <w:ilvl w:val="0"/>
                <w:numId w:val="18"/>
              </w:numPr>
              <w:spacing w:after="160" w:line="259" w:lineRule="auto"/>
              <w:ind w:left="721" w:hanging="284"/>
              <w:contextualSpacing/>
              <w:jc w:val="left"/>
              <w:rPr>
                <w:rFonts w:ascii="Calibri" w:hAnsi="Calibri"/>
                <w:szCs w:val="22"/>
              </w:rPr>
            </w:pPr>
            <w:proofErr w:type="spellStart"/>
            <w:r w:rsidRPr="00AD70DE">
              <w:rPr>
                <w:rFonts w:ascii="Calibri" w:hAnsi="Calibri" w:cs="Times"/>
                <w:szCs w:val="22"/>
                <w:lang w:eastAsia="de-DE"/>
              </w:rPr>
              <w:t>Creatine</w:t>
            </w:r>
            <w:proofErr w:type="spellEnd"/>
            <w:r w:rsidRPr="00AD70DE">
              <w:rPr>
                <w:rFonts w:ascii="Calibri" w:hAnsi="Calibri" w:cs="Times"/>
                <w:szCs w:val="22"/>
                <w:lang w:eastAsia="de-DE"/>
              </w:rPr>
              <w:t xml:space="preserve"> kinase (CK) not within normal limits (volunteers with CK elevations between ULN and ULN x 3 may be included if troponin T is negative, and</w:t>
            </w:r>
          </w:p>
          <w:p w:rsidR="009C32E7" w:rsidRPr="00AD70DE" w:rsidRDefault="009C32E7" w:rsidP="00AD70DE">
            <w:pPr>
              <w:pStyle w:val="standard1"/>
              <w:numPr>
                <w:ilvl w:val="0"/>
                <w:numId w:val="18"/>
              </w:numPr>
              <w:spacing w:line="259" w:lineRule="auto"/>
              <w:ind w:left="721" w:hanging="284"/>
              <w:contextualSpacing/>
              <w:jc w:val="left"/>
              <w:rPr>
                <w:rFonts w:ascii="Calibri" w:hAnsi="Calibri"/>
                <w:szCs w:val="22"/>
              </w:rPr>
            </w:pPr>
            <w:r w:rsidRPr="00AD70DE">
              <w:rPr>
                <w:rFonts w:ascii="Calibri" w:hAnsi="Calibri" w:cs="Times"/>
                <w:szCs w:val="22"/>
                <w:lang w:eastAsia="de-DE"/>
              </w:rPr>
              <w:t>Thyroid stimulating hormone (TSH) not within normal limits,</w:t>
            </w:r>
          </w:p>
          <w:p w:rsidR="009C32E7" w:rsidRPr="00AD70DE" w:rsidRDefault="009C32E7" w:rsidP="00AD70DE">
            <w:pPr>
              <w:numPr>
                <w:ilvl w:val="0"/>
                <w:numId w:val="11"/>
              </w:numPr>
              <w:spacing w:after="0"/>
              <w:ind w:left="391" w:hanging="391"/>
              <w:contextualSpacing/>
              <w:jc w:val="both"/>
              <w:rPr>
                <w:lang w:val="en-GB"/>
              </w:rPr>
            </w:pPr>
            <w:r w:rsidRPr="00AD70DE">
              <w:rPr>
                <w:lang w:val="en-GB"/>
              </w:rPr>
              <w:t>A positive human immunodeficiency virus and hepatitis C antibody screen,</w:t>
            </w:r>
          </w:p>
          <w:p w:rsidR="009C32E7" w:rsidRPr="00AD70DE" w:rsidRDefault="009C32E7" w:rsidP="00AD70DE">
            <w:pPr>
              <w:numPr>
                <w:ilvl w:val="0"/>
                <w:numId w:val="11"/>
              </w:numPr>
              <w:spacing w:after="0"/>
              <w:ind w:left="391" w:hanging="391"/>
              <w:contextualSpacing/>
              <w:jc w:val="both"/>
              <w:rPr>
                <w:lang w:val="en-GB"/>
              </w:rPr>
            </w:pPr>
            <w:r w:rsidRPr="00AD70DE">
              <w:rPr>
                <w:lang w:val="en-GB"/>
              </w:rPr>
              <w:t>A positive result in the drug screening test (at SCR, see section 7.2.2)</w:t>
            </w:r>
          </w:p>
          <w:p w:rsidR="009C32E7" w:rsidRPr="00AD70DE" w:rsidRDefault="009C32E7" w:rsidP="00AD70DE">
            <w:pPr>
              <w:numPr>
                <w:ilvl w:val="0"/>
                <w:numId w:val="11"/>
              </w:numPr>
              <w:spacing w:after="0"/>
              <w:ind w:left="391" w:hanging="391"/>
              <w:contextualSpacing/>
              <w:jc w:val="both"/>
              <w:rPr>
                <w:lang w:val="en-GB"/>
              </w:rPr>
            </w:pPr>
            <w:r w:rsidRPr="00AD70DE">
              <w:rPr>
                <w:lang w:val="en-GB"/>
              </w:rPr>
              <w:t xml:space="preserve">Any intake of HCQ, chloroquine or travel to malaria risk regions within the last 3 months, </w:t>
            </w:r>
          </w:p>
          <w:p w:rsidR="009C32E7" w:rsidRPr="00AD70DE" w:rsidRDefault="009C32E7" w:rsidP="00AD70DE">
            <w:pPr>
              <w:numPr>
                <w:ilvl w:val="0"/>
                <w:numId w:val="11"/>
              </w:numPr>
              <w:spacing w:after="0"/>
              <w:ind w:left="391" w:hanging="391"/>
              <w:contextualSpacing/>
              <w:jc w:val="both"/>
              <w:rPr>
                <w:lang w:val="en-GB"/>
              </w:rPr>
            </w:pPr>
            <w:r w:rsidRPr="00AD70DE">
              <w:rPr>
                <w:lang w:val="en-GB"/>
              </w:rPr>
              <w:t>Use of any medication (prescription medication, non-prescription medication including multivitamin or herbal preparations) with active ingredients except hormonal contraception and thyroid hormones, or any intake of substances known to induce or inhibit HCQ-metabolizing enzymes or drug transporters within a period of less than 5 times the respective elimination half-life (t</w:t>
            </w:r>
            <w:r w:rsidRPr="00AD70DE">
              <w:rPr>
                <w:vertAlign w:val="subscript"/>
                <w:lang w:val="en-GB"/>
              </w:rPr>
              <w:t>1/2</w:t>
            </w:r>
            <w:r w:rsidRPr="00AD70DE">
              <w:rPr>
                <w:lang w:val="en-GB"/>
              </w:rPr>
              <w:t xml:space="preserve">) with regard to the expected date of the first dose of IMP, </w:t>
            </w:r>
          </w:p>
          <w:p w:rsidR="009C32E7" w:rsidRPr="00AD70DE" w:rsidRDefault="009C32E7" w:rsidP="00AD70DE">
            <w:pPr>
              <w:numPr>
                <w:ilvl w:val="0"/>
                <w:numId w:val="11"/>
              </w:numPr>
              <w:spacing w:after="0"/>
              <w:ind w:left="391" w:hanging="391"/>
              <w:contextualSpacing/>
              <w:jc w:val="both"/>
              <w:rPr>
                <w:lang w:val="en-GB"/>
              </w:rPr>
            </w:pPr>
            <w:r w:rsidRPr="00AD70DE">
              <w:rPr>
                <w:lang w:val="en-GB"/>
              </w:rPr>
              <w:t>Consumption of citrus fruits or products of these fruits within 7 d prior to the expected date of first dose of IMP and expected nonadherence to refrain from such products until V5,</w:t>
            </w:r>
          </w:p>
          <w:p w:rsidR="009C32E7" w:rsidRPr="00AD70DE" w:rsidRDefault="009C32E7" w:rsidP="00AD70DE">
            <w:pPr>
              <w:numPr>
                <w:ilvl w:val="0"/>
                <w:numId w:val="11"/>
              </w:numPr>
              <w:spacing w:after="0"/>
              <w:ind w:left="391" w:hanging="391"/>
              <w:contextualSpacing/>
              <w:jc w:val="both"/>
              <w:rPr>
                <w:lang w:val="en-GB"/>
              </w:rPr>
            </w:pPr>
            <w:r w:rsidRPr="00AD70DE">
              <w:rPr>
                <w:lang w:val="en-GB"/>
              </w:rPr>
              <w:t xml:space="preserve">Expected nonadherence to refrain from alcohol 24 h prior to V1 until V5 of this trial, or excessive alcohol consumption. </w:t>
            </w:r>
          </w:p>
          <w:p w:rsidR="009C32E7" w:rsidRPr="00AD70DE" w:rsidRDefault="009C32E7" w:rsidP="00AD70DE">
            <w:pPr>
              <w:numPr>
                <w:ilvl w:val="0"/>
                <w:numId w:val="11"/>
              </w:numPr>
              <w:spacing w:after="0"/>
              <w:ind w:left="391" w:hanging="391"/>
              <w:contextualSpacing/>
              <w:jc w:val="both"/>
              <w:rPr>
                <w:lang w:val="en-GB"/>
              </w:rPr>
            </w:pPr>
            <w:r w:rsidRPr="00AD70DE">
              <w:rPr>
                <w:lang w:val="en-GB"/>
              </w:rPr>
              <w:t>Intake of quinine, or consumption of quinine-containing drinks (bitter lemon, tonic water, bitter orange)</w:t>
            </w:r>
          </w:p>
          <w:p w:rsidR="009C32E7" w:rsidRPr="00AD70DE" w:rsidRDefault="009C32E7" w:rsidP="00AD70DE">
            <w:pPr>
              <w:numPr>
                <w:ilvl w:val="0"/>
                <w:numId w:val="11"/>
              </w:numPr>
              <w:spacing w:after="0"/>
              <w:ind w:left="391" w:hanging="391"/>
              <w:contextualSpacing/>
              <w:jc w:val="both"/>
              <w:rPr>
                <w:lang w:val="en-GB"/>
              </w:rPr>
            </w:pPr>
            <w:r w:rsidRPr="00AD70DE">
              <w:rPr>
                <w:lang w:val="en-GB"/>
              </w:rPr>
              <w:t>Use of an IMP within 30 d prior to the expected date of receiving the first dose of IMP or active enrolment in another drug or vaccine clinical trial.</w:t>
            </w:r>
          </w:p>
          <w:p w:rsidR="009C32E7" w:rsidRPr="00AD70DE" w:rsidRDefault="009C32E7" w:rsidP="00AD70DE">
            <w:pPr>
              <w:numPr>
                <w:ilvl w:val="0"/>
                <w:numId w:val="11"/>
              </w:numPr>
              <w:spacing w:after="0"/>
              <w:ind w:left="391" w:hanging="391"/>
              <w:contextualSpacing/>
              <w:jc w:val="both"/>
              <w:rPr>
                <w:lang w:val="en-GB"/>
              </w:rPr>
            </w:pPr>
            <w:r w:rsidRPr="00AD70DE">
              <w:rPr>
                <w:lang w:val="en-GB"/>
              </w:rPr>
              <w:t>Contraindications to HCQ use:</w:t>
            </w:r>
          </w:p>
          <w:p w:rsidR="009C32E7" w:rsidRPr="00AD70DE" w:rsidRDefault="009C32E7" w:rsidP="00AD70DE">
            <w:pPr>
              <w:pStyle w:val="standard1"/>
              <w:numPr>
                <w:ilvl w:val="0"/>
                <w:numId w:val="26"/>
              </w:numPr>
              <w:spacing w:after="160" w:line="259" w:lineRule="auto"/>
              <w:ind w:left="721" w:hanging="284"/>
              <w:contextualSpacing/>
              <w:jc w:val="left"/>
              <w:rPr>
                <w:rFonts w:ascii="Calibri" w:hAnsi="Calibri" w:cs="Times"/>
                <w:szCs w:val="22"/>
                <w:lang w:eastAsia="de-DE"/>
              </w:rPr>
            </w:pPr>
            <w:r w:rsidRPr="00AD70DE">
              <w:rPr>
                <w:rFonts w:ascii="Calibri" w:hAnsi="Calibri" w:cs="Times"/>
                <w:szCs w:val="22"/>
                <w:lang w:eastAsia="de-DE"/>
              </w:rPr>
              <w:t>Hypersensitivity to the active substance, 4-aminoquinoline, or to any of the excipients</w:t>
            </w:r>
          </w:p>
          <w:p w:rsidR="009C32E7" w:rsidRPr="00AD70DE" w:rsidRDefault="009C32E7" w:rsidP="00AD70DE">
            <w:pPr>
              <w:pStyle w:val="standard1"/>
              <w:numPr>
                <w:ilvl w:val="0"/>
                <w:numId w:val="26"/>
              </w:numPr>
              <w:spacing w:after="160" w:line="259" w:lineRule="auto"/>
              <w:ind w:left="721" w:hanging="284"/>
              <w:contextualSpacing/>
              <w:jc w:val="left"/>
              <w:rPr>
                <w:rFonts w:ascii="Calibri" w:hAnsi="Calibri" w:cs="Times"/>
                <w:szCs w:val="22"/>
                <w:lang w:eastAsia="de-DE"/>
              </w:rPr>
            </w:pPr>
            <w:r w:rsidRPr="00AD70DE">
              <w:rPr>
                <w:rFonts w:ascii="Calibri" w:hAnsi="Calibri" w:cs="Times"/>
                <w:szCs w:val="22"/>
                <w:lang w:eastAsia="de-DE"/>
              </w:rPr>
              <w:t>History of retinopathy or maculopathy</w:t>
            </w:r>
          </w:p>
          <w:p w:rsidR="009C32E7" w:rsidRPr="00AD70DE" w:rsidRDefault="009C32E7" w:rsidP="00AD70DE">
            <w:pPr>
              <w:pStyle w:val="standard1"/>
              <w:numPr>
                <w:ilvl w:val="0"/>
                <w:numId w:val="26"/>
              </w:numPr>
              <w:spacing w:after="160" w:line="259" w:lineRule="auto"/>
              <w:ind w:left="721" w:hanging="284"/>
              <w:contextualSpacing/>
              <w:jc w:val="left"/>
              <w:rPr>
                <w:rFonts w:ascii="Calibri" w:hAnsi="Calibri" w:cs="Times"/>
                <w:szCs w:val="22"/>
                <w:lang w:eastAsia="de-DE"/>
              </w:rPr>
            </w:pPr>
            <w:r w:rsidRPr="00AD70DE">
              <w:rPr>
                <w:rFonts w:ascii="Calibri" w:hAnsi="Calibri" w:cs="Times"/>
                <w:szCs w:val="22"/>
                <w:lang w:eastAsia="de-DE"/>
              </w:rPr>
              <w:t xml:space="preserve">Glucose-6-phosphat-dehydrogenase deficiency (fauvism, haemolytic </w:t>
            </w:r>
            <w:proofErr w:type="spellStart"/>
            <w:r w:rsidRPr="00AD70DE">
              <w:rPr>
                <w:rFonts w:ascii="Calibri" w:hAnsi="Calibri" w:cs="Times"/>
                <w:szCs w:val="22"/>
                <w:lang w:eastAsia="de-DE"/>
              </w:rPr>
              <w:t>anemia</w:t>
            </w:r>
            <w:proofErr w:type="spellEnd"/>
            <w:r w:rsidRPr="00AD70DE">
              <w:rPr>
                <w:rFonts w:ascii="Calibri" w:hAnsi="Calibri" w:cs="Times"/>
                <w:szCs w:val="22"/>
                <w:lang w:eastAsia="de-DE"/>
              </w:rPr>
              <w:t>)</w:t>
            </w:r>
          </w:p>
          <w:p w:rsidR="009C32E7" w:rsidRPr="00AD70DE" w:rsidRDefault="009C32E7" w:rsidP="00AD70DE">
            <w:pPr>
              <w:pStyle w:val="standard1"/>
              <w:numPr>
                <w:ilvl w:val="0"/>
                <w:numId w:val="26"/>
              </w:numPr>
              <w:spacing w:after="160" w:line="259" w:lineRule="auto"/>
              <w:ind w:left="721" w:hanging="284"/>
              <w:contextualSpacing/>
              <w:jc w:val="left"/>
              <w:rPr>
                <w:rFonts w:ascii="Calibri" w:hAnsi="Calibri" w:cs="Times"/>
                <w:szCs w:val="22"/>
                <w:lang w:eastAsia="de-DE"/>
              </w:rPr>
            </w:pPr>
            <w:r w:rsidRPr="00AD70DE">
              <w:rPr>
                <w:rFonts w:ascii="Calibri" w:hAnsi="Calibri" w:cs="Times"/>
                <w:szCs w:val="22"/>
                <w:lang w:eastAsia="de-DE"/>
              </w:rPr>
              <w:t>Diseases of the haematopoietic system</w:t>
            </w:r>
          </w:p>
          <w:p w:rsidR="009C32E7" w:rsidRPr="00AD70DE" w:rsidRDefault="009C32E7" w:rsidP="00AD70DE">
            <w:pPr>
              <w:pStyle w:val="standard1"/>
              <w:numPr>
                <w:ilvl w:val="0"/>
                <w:numId w:val="26"/>
              </w:numPr>
              <w:spacing w:after="160" w:line="259" w:lineRule="auto"/>
              <w:ind w:left="721" w:hanging="284"/>
              <w:contextualSpacing/>
              <w:jc w:val="left"/>
              <w:rPr>
                <w:rFonts w:ascii="Calibri" w:hAnsi="Calibri" w:cs="Times"/>
                <w:szCs w:val="22"/>
                <w:lang w:eastAsia="de-DE"/>
              </w:rPr>
            </w:pPr>
            <w:r w:rsidRPr="00AD70DE">
              <w:rPr>
                <w:rFonts w:ascii="Calibri" w:hAnsi="Calibri" w:cs="Times"/>
                <w:szCs w:val="22"/>
                <w:lang w:eastAsia="de-DE"/>
              </w:rPr>
              <w:t>Myasthenia gravis</w:t>
            </w:r>
          </w:p>
          <w:p w:rsidR="009C32E7" w:rsidRPr="00AD70DE" w:rsidRDefault="009C32E7" w:rsidP="00AD70DE">
            <w:pPr>
              <w:pStyle w:val="standard1"/>
              <w:numPr>
                <w:ilvl w:val="0"/>
                <w:numId w:val="26"/>
              </w:numPr>
              <w:spacing w:after="160" w:line="259" w:lineRule="auto"/>
              <w:ind w:left="721" w:hanging="284"/>
              <w:contextualSpacing/>
              <w:jc w:val="left"/>
              <w:rPr>
                <w:rFonts w:ascii="Calibri" w:hAnsi="Calibri" w:cs="Times"/>
                <w:szCs w:val="22"/>
                <w:lang w:eastAsia="de-DE"/>
              </w:rPr>
            </w:pPr>
            <w:r w:rsidRPr="00AD70DE">
              <w:rPr>
                <w:rFonts w:ascii="Calibri" w:hAnsi="Calibri" w:cs="Times"/>
                <w:szCs w:val="22"/>
                <w:lang w:eastAsia="de-DE"/>
              </w:rPr>
              <w:t>During pregnancy (except for treatment of malaria)</w:t>
            </w:r>
          </w:p>
          <w:p w:rsidR="009C32E7" w:rsidRPr="00AD70DE" w:rsidRDefault="009C32E7" w:rsidP="00AD70DE">
            <w:pPr>
              <w:pStyle w:val="standard1"/>
              <w:numPr>
                <w:ilvl w:val="0"/>
                <w:numId w:val="26"/>
              </w:numPr>
              <w:spacing w:after="160" w:line="259" w:lineRule="auto"/>
              <w:ind w:left="721" w:hanging="284"/>
              <w:contextualSpacing/>
              <w:jc w:val="left"/>
              <w:rPr>
                <w:rFonts w:ascii="Calibri" w:hAnsi="Calibri" w:cs="Times"/>
                <w:szCs w:val="22"/>
                <w:lang w:eastAsia="de-DE"/>
              </w:rPr>
            </w:pPr>
            <w:r w:rsidRPr="00AD70DE">
              <w:rPr>
                <w:rFonts w:ascii="Calibri" w:hAnsi="Calibri" w:cs="Times"/>
                <w:szCs w:val="22"/>
                <w:lang w:eastAsia="de-DE"/>
              </w:rPr>
              <w:t>While breastfeeding</w:t>
            </w:r>
          </w:p>
          <w:p w:rsidR="009C32E7" w:rsidRPr="00AD70DE" w:rsidRDefault="009C32E7" w:rsidP="00AD70DE">
            <w:pPr>
              <w:pStyle w:val="standard1"/>
              <w:spacing w:after="160" w:line="259" w:lineRule="auto"/>
              <w:ind w:left="720"/>
              <w:contextualSpacing/>
              <w:rPr>
                <w:rFonts w:ascii="Calibri" w:hAnsi="Calibri"/>
              </w:rPr>
            </w:pPr>
          </w:p>
          <w:p w:rsidR="009C32E7" w:rsidRPr="00AD70DE" w:rsidRDefault="009C32E7" w:rsidP="00AD70DE">
            <w:pPr>
              <w:pStyle w:val="standard1"/>
              <w:spacing w:after="160" w:line="259" w:lineRule="auto"/>
              <w:contextualSpacing/>
              <w:jc w:val="left"/>
              <w:rPr>
                <w:rFonts w:ascii="Calibri" w:hAnsi="Calibri"/>
              </w:rPr>
            </w:pPr>
            <w:r w:rsidRPr="00AD70DE">
              <w:rPr>
                <w:rFonts w:ascii="Calibri" w:hAnsi="Calibri"/>
                <w:b/>
              </w:rPr>
              <w:t>At V1, prior to dosing:</w:t>
            </w:r>
          </w:p>
          <w:p w:rsidR="009C32E7" w:rsidRPr="00AD70DE" w:rsidRDefault="009C32E7" w:rsidP="00AD70DE">
            <w:pPr>
              <w:numPr>
                <w:ilvl w:val="0"/>
                <w:numId w:val="11"/>
              </w:numPr>
              <w:spacing w:after="0"/>
              <w:ind w:left="391" w:hanging="391"/>
              <w:contextualSpacing/>
              <w:jc w:val="both"/>
              <w:rPr>
                <w:lang w:val="en-GB"/>
              </w:rPr>
            </w:pPr>
            <w:r w:rsidRPr="00AD70DE">
              <w:rPr>
                <w:lang w:val="en-GB"/>
              </w:rPr>
              <w:t>Use of any medication (prescription medication, non-prescription medication including multivitamin or herbal preparations) with active ingredients except hormonal contraception and thyroid hormones or any intake of substances known to induce or inhibit HCQ-metabolizing enzymes or drug transporters within a period of less than 5 times the respective elimination half-life (t1/2) with regard to the expected date of the first dose of IMP, and</w:t>
            </w:r>
          </w:p>
          <w:p w:rsidR="009C32E7" w:rsidRPr="00AD70DE" w:rsidRDefault="009C32E7" w:rsidP="00AD70DE">
            <w:pPr>
              <w:numPr>
                <w:ilvl w:val="0"/>
                <w:numId w:val="11"/>
              </w:numPr>
              <w:spacing w:after="0"/>
              <w:ind w:left="391" w:hanging="391"/>
              <w:contextualSpacing/>
              <w:jc w:val="both"/>
              <w:rPr>
                <w:lang w:val="en-GB"/>
              </w:rPr>
            </w:pPr>
            <w:r w:rsidRPr="00AD70DE">
              <w:rPr>
                <w:lang w:val="en-GB"/>
              </w:rPr>
              <w:t>Use of an IMP within 30 d prior to receiving the first dose of IMP or active enrolment in another drug or vaccine clinical trial.</w:t>
            </w:r>
          </w:p>
        </w:tc>
      </w:tr>
      <w:tr w:rsidR="009C32E7" w:rsidRPr="00AD70DE" w:rsidTr="008355A9">
        <w:tc>
          <w:tcPr>
            <w:tcW w:w="1809" w:type="dxa"/>
          </w:tcPr>
          <w:p w:rsidR="009C32E7" w:rsidRPr="00AD70DE" w:rsidRDefault="009C32E7" w:rsidP="00AD70DE">
            <w:pPr>
              <w:rPr>
                <w:b/>
                <w:lang w:val="en-GB"/>
              </w:rPr>
            </w:pPr>
            <w:r w:rsidRPr="00AD70DE">
              <w:rPr>
                <w:b/>
                <w:lang w:val="en-GB"/>
              </w:rPr>
              <w:t>Statistics</w:t>
            </w:r>
          </w:p>
        </w:tc>
        <w:tc>
          <w:tcPr>
            <w:tcW w:w="7371" w:type="dxa"/>
          </w:tcPr>
          <w:p w:rsidR="009C32E7" w:rsidRPr="00AD70DE" w:rsidRDefault="009C32E7" w:rsidP="00AD70DE">
            <w:pPr>
              <w:rPr>
                <w:lang w:val="en-GB"/>
              </w:rPr>
            </w:pPr>
            <w:r w:rsidRPr="00AD70DE">
              <w:rPr>
                <w:lang w:val="en-GB"/>
              </w:rPr>
              <w:t>Planned sample size: of 24 healthy volunteers, 12 in each arm.</w:t>
            </w:r>
          </w:p>
          <w:p w:rsidR="009C32E7" w:rsidRPr="00AD70DE" w:rsidRDefault="009C32E7" w:rsidP="00AD70DE">
            <w:pPr>
              <w:rPr>
                <w:lang w:val="en-GB"/>
              </w:rPr>
            </w:pPr>
            <w:r w:rsidRPr="00AD70DE">
              <w:rPr>
                <w:lang w:val="en-GB"/>
              </w:rPr>
              <w:t>The sample size calculation is based on previous data after single dose of HCQ [1]. An online calculator was used for the sample size calculation (http://hedwig.mgh.harvard.edu/sample_size/js/js_parallel_quant.html). With the AUC</w:t>
            </w:r>
            <w:r w:rsidRPr="00AD70DE">
              <w:rPr>
                <w:vertAlign w:val="subscript"/>
                <w:lang w:val="en-GB"/>
              </w:rPr>
              <w:t>0-72 h</w:t>
            </w:r>
            <w:r w:rsidRPr="00AD70DE">
              <w:rPr>
                <w:lang w:val="en-GB"/>
              </w:rPr>
              <w:t xml:space="preserve"> data available, a sample size of 14 (7 in each group) is needed to detect a 30 % difference in AUC</w:t>
            </w:r>
            <w:r w:rsidRPr="00AD70DE">
              <w:rPr>
                <w:vertAlign w:val="subscript"/>
                <w:lang w:val="en-GB"/>
              </w:rPr>
              <w:t>0-72 h</w:t>
            </w:r>
            <w:r w:rsidRPr="00AD70DE">
              <w:rPr>
                <w:lang w:val="en-GB"/>
              </w:rPr>
              <w:t xml:space="preserve"> with a power of 0.8 and </w:t>
            </w:r>
            <w:proofErr w:type="gramStart"/>
            <w:r w:rsidRPr="00AD70DE">
              <w:rPr>
                <w:lang w:val="en-GB"/>
              </w:rPr>
              <w:t>an</w:t>
            </w:r>
            <w:proofErr w:type="gramEnd"/>
            <w:r w:rsidRPr="00AD70DE">
              <w:rPr>
                <w:lang w:val="en-GB"/>
              </w:rPr>
              <w:t xml:space="preserve"> α-error of 5 %. Therefore, a sample size of 12 per group is regarded as sufficient to detect a PPI-induced difference on HCQ AUC</w:t>
            </w:r>
            <w:r w:rsidRPr="00AD70DE">
              <w:rPr>
                <w:vertAlign w:val="subscript"/>
                <w:lang w:val="en-GB"/>
              </w:rPr>
              <w:t>0-72 h</w:t>
            </w:r>
            <w:r w:rsidRPr="00AD70DE">
              <w:rPr>
                <w:lang w:val="en-GB"/>
              </w:rPr>
              <w:t xml:space="preserve"> exceeding the bioequivalence range (80-125 %).</w:t>
            </w:r>
          </w:p>
          <w:p w:rsidR="009C32E7" w:rsidRPr="00AD70DE" w:rsidRDefault="009C32E7" w:rsidP="00AD70DE">
            <w:pPr>
              <w:rPr>
                <w:lang w:val="en-GB"/>
              </w:rPr>
            </w:pPr>
            <w:r w:rsidRPr="00AD70DE">
              <w:rPr>
                <w:lang w:val="en-GB"/>
              </w:rPr>
              <w:t>Up to 12 volunteers may be replaced if enrolled volunteers drop out prior to exposure with HCQ or prior to completing the 72 h PK sampling period.</w:t>
            </w:r>
          </w:p>
        </w:tc>
      </w:tr>
      <w:tr w:rsidR="009C32E7" w:rsidRPr="00AD70DE" w:rsidTr="008355A9">
        <w:tc>
          <w:tcPr>
            <w:tcW w:w="1809" w:type="dxa"/>
          </w:tcPr>
          <w:p w:rsidR="009C32E7" w:rsidRPr="00AD70DE" w:rsidRDefault="009C32E7" w:rsidP="00AD70DE">
            <w:pPr>
              <w:rPr>
                <w:b/>
                <w:lang w:val="en-GB"/>
              </w:rPr>
            </w:pPr>
            <w:r w:rsidRPr="00AD70DE">
              <w:rPr>
                <w:b/>
                <w:lang w:val="en-GB"/>
              </w:rPr>
              <w:t>Timelines</w:t>
            </w:r>
          </w:p>
        </w:tc>
        <w:tc>
          <w:tcPr>
            <w:tcW w:w="7371" w:type="dxa"/>
          </w:tcPr>
          <w:p w:rsidR="009C32E7" w:rsidRPr="00AD70DE" w:rsidRDefault="009C32E7" w:rsidP="00AD70DE">
            <w:pPr>
              <w:tabs>
                <w:tab w:val="left" w:pos="2586"/>
              </w:tabs>
              <w:rPr>
                <w:lang w:val="en-GB"/>
              </w:rPr>
            </w:pPr>
            <w:r w:rsidRPr="00AD70DE">
              <w:rPr>
                <w:lang w:val="en-GB"/>
              </w:rPr>
              <w:t>Approved protocol</w:t>
            </w:r>
            <w:r w:rsidRPr="00AD70DE">
              <w:rPr>
                <w:lang w:val="en-GB"/>
              </w:rPr>
              <w:tab/>
              <w:t>2</w:t>
            </w:r>
            <w:r w:rsidRPr="00AD70DE">
              <w:rPr>
                <w:vertAlign w:val="superscript"/>
                <w:lang w:val="en-GB"/>
              </w:rPr>
              <w:t>nd</w:t>
            </w:r>
            <w:r w:rsidRPr="00AD70DE">
              <w:rPr>
                <w:lang w:val="en-GB"/>
              </w:rPr>
              <w:t xml:space="preserve"> quarter 2020</w:t>
            </w:r>
          </w:p>
          <w:p w:rsidR="009C32E7" w:rsidRPr="00AD70DE" w:rsidRDefault="009C32E7" w:rsidP="00AD70DE">
            <w:pPr>
              <w:tabs>
                <w:tab w:val="left" w:pos="2586"/>
              </w:tabs>
              <w:rPr>
                <w:lang w:val="en-GB"/>
              </w:rPr>
            </w:pPr>
            <w:r w:rsidRPr="00AD70DE">
              <w:rPr>
                <w:lang w:val="en-GB"/>
              </w:rPr>
              <w:t>First participant enrolled</w:t>
            </w:r>
            <w:r w:rsidRPr="00AD70DE">
              <w:rPr>
                <w:lang w:val="en-GB"/>
              </w:rPr>
              <w:tab/>
              <w:t>2</w:t>
            </w:r>
            <w:r w:rsidRPr="00AD70DE">
              <w:rPr>
                <w:vertAlign w:val="superscript"/>
                <w:lang w:val="en-GB"/>
              </w:rPr>
              <w:t>nd</w:t>
            </w:r>
            <w:r w:rsidRPr="00AD70DE">
              <w:rPr>
                <w:lang w:val="en-GB"/>
              </w:rPr>
              <w:t xml:space="preserve"> quarter 2020</w:t>
            </w:r>
          </w:p>
          <w:p w:rsidR="009C32E7" w:rsidRPr="00AD70DE" w:rsidRDefault="009C32E7" w:rsidP="00AD70DE">
            <w:pPr>
              <w:tabs>
                <w:tab w:val="left" w:pos="2586"/>
              </w:tabs>
              <w:ind w:left="3578" w:hanging="3578"/>
              <w:rPr>
                <w:lang w:val="en-GB"/>
              </w:rPr>
            </w:pPr>
            <w:r w:rsidRPr="00AD70DE">
              <w:rPr>
                <w:lang w:val="en-GB"/>
              </w:rPr>
              <w:t>Last participant last visit</w:t>
            </w:r>
            <w:r w:rsidRPr="00AD70DE">
              <w:rPr>
                <w:lang w:val="en-GB"/>
              </w:rPr>
              <w:tab/>
              <w:t>Q III 2020</w:t>
            </w:r>
          </w:p>
          <w:p w:rsidR="009C32E7" w:rsidRPr="00AD70DE" w:rsidRDefault="009C32E7" w:rsidP="00AD70DE">
            <w:pPr>
              <w:tabs>
                <w:tab w:val="left" w:pos="2586"/>
              </w:tabs>
              <w:rPr>
                <w:lang w:val="en-GB"/>
              </w:rPr>
            </w:pPr>
            <w:r w:rsidRPr="00AD70DE">
              <w:rPr>
                <w:lang w:val="en-GB"/>
              </w:rPr>
              <w:t>Data base lock</w:t>
            </w:r>
            <w:r w:rsidRPr="00AD70DE">
              <w:rPr>
                <w:lang w:val="en-GB"/>
              </w:rPr>
              <w:tab/>
              <w:t>Q IV 2020</w:t>
            </w:r>
          </w:p>
          <w:p w:rsidR="009C32E7" w:rsidRPr="00AD70DE" w:rsidRDefault="009C32E7" w:rsidP="00AD70DE">
            <w:pPr>
              <w:tabs>
                <w:tab w:val="left" w:pos="2586"/>
              </w:tabs>
              <w:rPr>
                <w:lang w:val="en-GB"/>
              </w:rPr>
            </w:pPr>
            <w:r w:rsidRPr="00AD70DE">
              <w:rPr>
                <w:lang w:val="en-GB"/>
              </w:rPr>
              <w:t>End of trial report</w:t>
            </w:r>
            <w:r w:rsidRPr="00AD70DE">
              <w:rPr>
                <w:lang w:val="en-GB"/>
              </w:rPr>
              <w:tab/>
              <w:t>2</w:t>
            </w:r>
            <w:r w:rsidRPr="00AD70DE">
              <w:rPr>
                <w:vertAlign w:val="superscript"/>
                <w:lang w:val="en-GB"/>
              </w:rPr>
              <w:t>nd</w:t>
            </w:r>
            <w:r w:rsidRPr="00AD70DE">
              <w:rPr>
                <w:lang w:val="en-GB"/>
              </w:rPr>
              <w:t xml:space="preserve"> quarter 2021</w:t>
            </w:r>
          </w:p>
        </w:tc>
      </w:tr>
      <w:bookmarkEnd w:id="100"/>
      <w:bookmarkEnd w:id="101"/>
      <w:bookmarkEnd w:id="102"/>
    </w:tbl>
    <w:p w:rsidR="009C32E7" w:rsidRPr="00AD70DE" w:rsidRDefault="009C32E7" w:rsidP="00AD70DE">
      <w:pPr>
        <w:rPr>
          <w:sz w:val="18"/>
          <w:szCs w:val="18"/>
          <w:lang w:val="en-US"/>
        </w:rPr>
      </w:pPr>
    </w:p>
    <w:p w:rsidR="009C32E7" w:rsidRPr="00AD70DE" w:rsidRDefault="009C32E7" w:rsidP="00AD70DE">
      <w:pPr>
        <w:rPr>
          <w:b/>
          <w:lang w:val="en-US"/>
        </w:rPr>
        <w:sectPr w:rsidR="009C32E7" w:rsidRPr="00AD70DE" w:rsidSect="008355A9">
          <w:headerReference w:type="default" r:id="rId13"/>
          <w:pgSz w:w="11906" w:h="16838" w:code="9"/>
          <w:pgMar w:top="1417" w:right="1417" w:bottom="1134" w:left="1417" w:header="708" w:footer="708" w:gutter="0"/>
          <w:pgBorders>
            <w:bottom w:val="single" w:sz="2" w:space="1" w:color="auto"/>
          </w:pgBorders>
          <w:cols w:space="708"/>
          <w:docGrid w:linePitch="360"/>
        </w:sectPr>
      </w:pPr>
    </w:p>
    <w:p w:rsidR="009C32E7" w:rsidRPr="00AD70DE" w:rsidRDefault="009C32E7" w:rsidP="00AD70DE">
      <w:pPr>
        <w:rPr>
          <w:rFonts w:cs="Calibri"/>
          <w:b/>
          <w:lang w:val="en-GB"/>
        </w:rPr>
      </w:pPr>
      <w:r w:rsidRPr="00AD70DE">
        <w:rPr>
          <w:rFonts w:cs="Calibri"/>
          <w:b/>
          <w:lang w:val="en-GB"/>
        </w:rPr>
        <w:t xml:space="preserve">Table 1: </w:t>
      </w:r>
      <w:r w:rsidRPr="00AD70DE">
        <w:rPr>
          <w:rFonts w:cs="Calibri"/>
          <w:lang w:val="en-GB"/>
        </w:rPr>
        <w:t>Trial procedures</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7"/>
        <w:gridCol w:w="1027"/>
        <w:gridCol w:w="731"/>
        <w:gridCol w:w="730"/>
        <w:gridCol w:w="732"/>
        <w:gridCol w:w="730"/>
        <w:gridCol w:w="732"/>
        <w:gridCol w:w="1021"/>
        <w:gridCol w:w="1157"/>
      </w:tblGrid>
      <w:tr w:rsidR="009C32E7" w:rsidRPr="00AD70DE" w:rsidTr="008355A9">
        <w:trPr>
          <w:tblHeader/>
        </w:trPr>
        <w:tc>
          <w:tcPr>
            <w:tcW w:w="1384" w:type="pct"/>
            <w:tcBorders>
              <w:right w:val="double" w:sz="4" w:space="0" w:color="auto"/>
            </w:tcBorders>
            <w:shd w:val="clear" w:color="auto" w:fill="808080"/>
          </w:tcPr>
          <w:p w:rsidR="009C32E7" w:rsidRPr="00AD70DE" w:rsidRDefault="009C32E7" w:rsidP="00AD70DE">
            <w:pPr>
              <w:tabs>
                <w:tab w:val="left" w:pos="197"/>
              </w:tabs>
              <w:rPr>
                <w:sz w:val="20"/>
                <w:szCs w:val="20"/>
                <w:lang w:val="en-GB"/>
              </w:rPr>
            </w:pPr>
            <w:r w:rsidRPr="00AD70DE">
              <w:rPr>
                <w:sz w:val="20"/>
                <w:szCs w:val="20"/>
                <w:lang w:val="en-GB"/>
              </w:rPr>
              <w:t>Visit</w:t>
            </w:r>
          </w:p>
        </w:tc>
        <w:tc>
          <w:tcPr>
            <w:tcW w:w="541" w:type="pct"/>
            <w:tcBorders>
              <w:right w:val="double" w:sz="4" w:space="0" w:color="auto"/>
            </w:tcBorders>
            <w:shd w:val="clear" w:color="auto" w:fill="A6A6A6"/>
          </w:tcPr>
          <w:p w:rsidR="009C32E7" w:rsidRPr="00AD70DE" w:rsidRDefault="009C32E7" w:rsidP="00AD70DE">
            <w:pPr>
              <w:jc w:val="center"/>
              <w:rPr>
                <w:sz w:val="20"/>
                <w:szCs w:val="20"/>
                <w:lang w:val="en-GB"/>
              </w:rPr>
            </w:pPr>
            <w:r w:rsidRPr="00AD70DE">
              <w:rPr>
                <w:b/>
                <w:sz w:val="20"/>
                <w:szCs w:val="20"/>
                <w:lang w:val="en-GB"/>
              </w:rPr>
              <w:t>Screening</w:t>
            </w:r>
            <w:r w:rsidRPr="00AD70DE">
              <w:rPr>
                <w:sz w:val="20"/>
                <w:szCs w:val="20"/>
                <w:lang w:val="en-GB"/>
              </w:rPr>
              <w:t xml:space="preserve"> </w:t>
            </w:r>
          </w:p>
        </w:tc>
        <w:tc>
          <w:tcPr>
            <w:tcW w:w="385" w:type="pct"/>
            <w:tcBorders>
              <w:right w:val="dotted" w:sz="4" w:space="0" w:color="auto"/>
            </w:tcBorders>
            <w:shd w:val="clear" w:color="auto" w:fill="A6A6A6"/>
          </w:tcPr>
          <w:p w:rsidR="009C32E7" w:rsidRPr="00AD70DE" w:rsidRDefault="009C32E7" w:rsidP="00AD70DE">
            <w:pPr>
              <w:jc w:val="center"/>
              <w:rPr>
                <w:sz w:val="20"/>
                <w:szCs w:val="20"/>
                <w:lang w:val="en-GB"/>
              </w:rPr>
            </w:pPr>
            <w:r w:rsidRPr="00AD70DE">
              <w:rPr>
                <w:sz w:val="20"/>
                <w:szCs w:val="20"/>
                <w:lang w:val="en-GB"/>
              </w:rPr>
              <w:t>1</w:t>
            </w:r>
          </w:p>
        </w:tc>
        <w:tc>
          <w:tcPr>
            <w:tcW w:w="385" w:type="pct"/>
            <w:tcBorders>
              <w:left w:val="dotted" w:sz="4" w:space="0" w:color="auto"/>
              <w:right w:val="dotted" w:sz="4" w:space="0" w:color="auto"/>
            </w:tcBorders>
            <w:shd w:val="clear" w:color="auto" w:fill="A6A6A6"/>
          </w:tcPr>
          <w:p w:rsidR="009C32E7" w:rsidRPr="00AD70DE" w:rsidRDefault="009C32E7" w:rsidP="00AD70DE">
            <w:pPr>
              <w:jc w:val="center"/>
              <w:rPr>
                <w:sz w:val="20"/>
                <w:szCs w:val="20"/>
                <w:lang w:val="en-GB"/>
              </w:rPr>
            </w:pPr>
            <w:r w:rsidRPr="00AD70DE">
              <w:rPr>
                <w:sz w:val="20"/>
                <w:szCs w:val="20"/>
                <w:lang w:val="en-GB"/>
              </w:rPr>
              <w:t>2</w:t>
            </w:r>
          </w:p>
        </w:tc>
        <w:tc>
          <w:tcPr>
            <w:tcW w:w="386" w:type="pct"/>
            <w:tcBorders>
              <w:left w:val="dotted" w:sz="4" w:space="0" w:color="auto"/>
              <w:right w:val="dotted" w:sz="4" w:space="0" w:color="auto"/>
            </w:tcBorders>
            <w:shd w:val="clear" w:color="auto" w:fill="A6A6A6"/>
          </w:tcPr>
          <w:p w:rsidR="009C32E7" w:rsidRPr="00AD70DE" w:rsidRDefault="009C32E7" w:rsidP="00AD70DE">
            <w:pPr>
              <w:jc w:val="center"/>
              <w:rPr>
                <w:sz w:val="20"/>
                <w:szCs w:val="20"/>
                <w:lang w:val="en-GB"/>
              </w:rPr>
            </w:pPr>
            <w:r w:rsidRPr="00AD70DE">
              <w:rPr>
                <w:sz w:val="20"/>
                <w:szCs w:val="20"/>
                <w:lang w:val="en-GB"/>
              </w:rPr>
              <w:t>3</w:t>
            </w:r>
          </w:p>
        </w:tc>
        <w:tc>
          <w:tcPr>
            <w:tcW w:w="385" w:type="pct"/>
            <w:tcBorders>
              <w:left w:val="dotted" w:sz="4" w:space="0" w:color="auto"/>
              <w:right w:val="dotted" w:sz="4" w:space="0" w:color="auto"/>
            </w:tcBorders>
            <w:shd w:val="clear" w:color="auto" w:fill="A6A6A6"/>
          </w:tcPr>
          <w:p w:rsidR="009C32E7" w:rsidRPr="00AD70DE" w:rsidRDefault="009C32E7" w:rsidP="00AD70DE">
            <w:pPr>
              <w:jc w:val="center"/>
              <w:rPr>
                <w:sz w:val="20"/>
                <w:szCs w:val="20"/>
                <w:lang w:val="en-GB"/>
              </w:rPr>
            </w:pPr>
            <w:r w:rsidRPr="00AD70DE">
              <w:rPr>
                <w:sz w:val="20"/>
                <w:szCs w:val="20"/>
                <w:lang w:val="en-GB"/>
              </w:rPr>
              <w:t>4</w:t>
            </w:r>
          </w:p>
        </w:tc>
        <w:tc>
          <w:tcPr>
            <w:tcW w:w="386" w:type="pct"/>
            <w:tcBorders>
              <w:left w:val="dotted" w:sz="4" w:space="0" w:color="auto"/>
              <w:right w:val="dotted" w:sz="4" w:space="0" w:color="auto"/>
            </w:tcBorders>
            <w:shd w:val="clear" w:color="auto" w:fill="A6A6A6"/>
          </w:tcPr>
          <w:p w:rsidR="009C32E7" w:rsidRPr="00AD70DE" w:rsidRDefault="009C32E7" w:rsidP="00AD70DE">
            <w:pPr>
              <w:jc w:val="center"/>
              <w:rPr>
                <w:sz w:val="20"/>
                <w:szCs w:val="20"/>
                <w:lang w:val="en-GB"/>
              </w:rPr>
            </w:pPr>
            <w:r w:rsidRPr="00AD70DE">
              <w:rPr>
                <w:sz w:val="20"/>
                <w:szCs w:val="20"/>
                <w:lang w:val="en-GB"/>
              </w:rPr>
              <w:t>5</w:t>
            </w:r>
          </w:p>
        </w:tc>
        <w:tc>
          <w:tcPr>
            <w:tcW w:w="538" w:type="pct"/>
            <w:shd w:val="clear" w:color="auto" w:fill="A6A6A6"/>
          </w:tcPr>
          <w:p w:rsidR="009C32E7" w:rsidRPr="00AD70DE" w:rsidRDefault="009C32E7" w:rsidP="00AD70DE">
            <w:pPr>
              <w:jc w:val="center"/>
              <w:rPr>
                <w:sz w:val="20"/>
                <w:szCs w:val="20"/>
                <w:lang w:val="en-GB"/>
              </w:rPr>
            </w:pPr>
            <w:r w:rsidRPr="00AD70DE">
              <w:rPr>
                <w:sz w:val="20"/>
                <w:szCs w:val="20"/>
                <w:lang w:val="en-GB"/>
              </w:rPr>
              <w:t>EOT</w:t>
            </w:r>
          </w:p>
        </w:tc>
        <w:tc>
          <w:tcPr>
            <w:tcW w:w="610" w:type="pct"/>
            <w:shd w:val="clear" w:color="auto" w:fill="A6A6A6"/>
          </w:tcPr>
          <w:p w:rsidR="009C32E7" w:rsidRPr="00AD70DE" w:rsidRDefault="009C32E7" w:rsidP="00AD70DE">
            <w:pPr>
              <w:jc w:val="center"/>
              <w:rPr>
                <w:sz w:val="20"/>
                <w:szCs w:val="20"/>
                <w:lang w:val="en-GB"/>
              </w:rPr>
            </w:pPr>
            <w:r w:rsidRPr="00AD70DE">
              <w:rPr>
                <w:sz w:val="20"/>
                <w:szCs w:val="20"/>
                <w:lang w:val="en-GB"/>
              </w:rPr>
              <w:t>Safety call</w:t>
            </w:r>
          </w:p>
        </w:tc>
      </w:tr>
      <w:tr w:rsidR="009C32E7" w:rsidRPr="00AD70DE" w:rsidTr="008355A9">
        <w:trPr>
          <w:trHeight w:val="731"/>
          <w:tblHeader/>
        </w:trPr>
        <w:tc>
          <w:tcPr>
            <w:tcW w:w="1384" w:type="pct"/>
            <w:tcBorders>
              <w:right w:val="double" w:sz="4" w:space="0" w:color="auto"/>
            </w:tcBorders>
            <w:shd w:val="clear" w:color="auto" w:fill="808080"/>
          </w:tcPr>
          <w:p w:rsidR="009C32E7" w:rsidRPr="00AD70DE" w:rsidRDefault="009C32E7" w:rsidP="00AD70DE">
            <w:pPr>
              <w:tabs>
                <w:tab w:val="left" w:pos="197"/>
              </w:tabs>
              <w:rPr>
                <w:sz w:val="20"/>
                <w:szCs w:val="20"/>
                <w:lang w:val="en-GB"/>
              </w:rPr>
            </w:pPr>
            <w:r w:rsidRPr="00AD70DE">
              <w:rPr>
                <w:b/>
                <w:sz w:val="20"/>
                <w:szCs w:val="20"/>
                <w:lang w:val="en-GB"/>
              </w:rPr>
              <w:t>Trial day</w:t>
            </w:r>
            <w:r w:rsidRPr="00AD70DE">
              <w:rPr>
                <w:sz w:val="18"/>
                <w:szCs w:val="20"/>
                <w:lang w:val="en-GB"/>
              </w:rPr>
              <w:br/>
              <w:t>(h/day in relation to exposure)</w:t>
            </w:r>
          </w:p>
        </w:tc>
        <w:tc>
          <w:tcPr>
            <w:tcW w:w="541" w:type="pct"/>
            <w:tcBorders>
              <w:right w:val="double" w:sz="4" w:space="0" w:color="auto"/>
            </w:tcBorders>
            <w:shd w:val="clear" w:color="auto" w:fill="A6A6A6"/>
          </w:tcPr>
          <w:p w:rsidR="009C32E7" w:rsidRPr="00AD70DE" w:rsidRDefault="009C32E7" w:rsidP="00AD70DE">
            <w:pPr>
              <w:jc w:val="center"/>
              <w:rPr>
                <w:b/>
                <w:sz w:val="20"/>
                <w:szCs w:val="20"/>
                <w:lang w:val="en-GB"/>
              </w:rPr>
            </w:pPr>
            <w:r w:rsidRPr="00AD70DE">
              <w:rPr>
                <w:b/>
                <w:sz w:val="20"/>
                <w:szCs w:val="20"/>
                <w:lang w:val="en-GB"/>
              </w:rPr>
              <w:t>- 28 to -1</w:t>
            </w:r>
            <w:r w:rsidRPr="00AD70DE">
              <w:rPr>
                <w:sz w:val="20"/>
                <w:szCs w:val="20"/>
                <w:lang w:val="en-GB"/>
              </w:rPr>
              <w:t xml:space="preserve"> </w:t>
            </w:r>
          </w:p>
        </w:tc>
        <w:tc>
          <w:tcPr>
            <w:tcW w:w="385" w:type="pct"/>
            <w:tcBorders>
              <w:right w:val="dotted" w:sz="4" w:space="0" w:color="auto"/>
            </w:tcBorders>
            <w:shd w:val="clear" w:color="auto" w:fill="A6A6A6"/>
          </w:tcPr>
          <w:p w:rsidR="009C32E7" w:rsidRPr="00AD70DE" w:rsidRDefault="009C32E7" w:rsidP="00AD70DE">
            <w:pPr>
              <w:jc w:val="center"/>
              <w:rPr>
                <w:b/>
                <w:sz w:val="20"/>
                <w:szCs w:val="20"/>
                <w:lang w:val="en-GB"/>
              </w:rPr>
            </w:pPr>
            <w:r w:rsidRPr="00AD70DE">
              <w:rPr>
                <w:b/>
                <w:sz w:val="20"/>
                <w:szCs w:val="20"/>
                <w:lang w:val="en-GB"/>
              </w:rPr>
              <w:t>1</w:t>
            </w:r>
          </w:p>
        </w:tc>
        <w:tc>
          <w:tcPr>
            <w:tcW w:w="385" w:type="pct"/>
            <w:tcBorders>
              <w:left w:val="dotted" w:sz="4" w:space="0" w:color="auto"/>
              <w:right w:val="dotted" w:sz="4" w:space="0" w:color="auto"/>
            </w:tcBorders>
            <w:shd w:val="clear" w:color="auto" w:fill="A6A6A6"/>
          </w:tcPr>
          <w:p w:rsidR="009C32E7" w:rsidRPr="00AD70DE" w:rsidRDefault="009C32E7" w:rsidP="00AD70DE">
            <w:pPr>
              <w:jc w:val="center"/>
              <w:rPr>
                <w:sz w:val="20"/>
                <w:szCs w:val="20"/>
                <w:lang w:val="en-GB"/>
              </w:rPr>
            </w:pPr>
            <w:r w:rsidRPr="00AD70DE">
              <w:rPr>
                <w:b/>
                <w:sz w:val="20"/>
                <w:szCs w:val="20"/>
                <w:lang w:val="en-GB"/>
              </w:rPr>
              <w:t>6</w:t>
            </w:r>
            <w:r w:rsidRPr="00AD70DE">
              <w:rPr>
                <w:sz w:val="16"/>
                <w:szCs w:val="20"/>
                <w:lang w:val="en-GB"/>
              </w:rPr>
              <w:br/>
              <w:t>(0-12 h)</w:t>
            </w:r>
          </w:p>
        </w:tc>
        <w:tc>
          <w:tcPr>
            <w:tcW w:w="386" w:type="pct"/>
            <w:tcBorders>
              <w:left w:val="dotted" w:sz="4" w:space="0" w:color="auto"/>
              <w:right w:val="dotted" w:sz="4" w:space="0" w:color="auto"/>
            </w:tcBorders>
            <w:shd w:val="clear" w:color="auto" w:fill="A6A6A6"/>
          </w:tcPr>
          <w:p w:rsidR="009C32E7" w:rsidRPr="00AD70DE" w:rsidRDefault="009C32E7" w:rsidP="00AD70DE">
            <w:pPr>
              <w:jc w:val="center"/>
              <w:rPr>
                <w:sz w:val="16"/>
                <w:szCs w:val="16"/>
                <w:lang w:val="en-GB"/>
              </w:rPr>
            </w:pPr>
            <w:r w:rsidRPr="00AD70DE">
              <w:rPr>
                <w:b/>
                <w:sz w:val="20"/>
                <w:szCs w:val="20"/>
                <w:lang w:val="en-GB"/>
              </w:rPr>
              <w:t>7</w:t>
            </w:r>
            <w:r w:rsidRPr="00AD70DE">
              <w:rPr>
                <w:b/>
                <w:sz w:val="20"/>
                <w:szCs w:val="20"/>
                <w:lang w:val="en-GB"/>
              </w:rPr>
              <w:br/>
            </w:r>
            <w:r w:rsidRPr="00AD70DE">
              <w:rPr>
                <w:sz w:val="16"/>
                <w:szCs w:val="16"/>
                <w:lang w:val="en-GB"/>
              </w:rPr>
              <w:t>(24 ± 1, 36 ± 1 h)</w:t>
            </w:r>
          </w:p>
        </w:tc>
        <w:tc>
          <w:tcPr>
            <w:tcW w:w="385" w:type="pct"/>
            <w:tcBorders>
              <w:left w:val="dotted" w:sz="4" w:space="0" w:color="auto"/>
              <w:right w:val="dotted" w:sz="4" w:space="0" w:color="auto"/>
            </w:tcBorders>
            <w:shd w:val="clear" w:color="auto" w:fill="A6A6A6"/>
          </w:tcPr>
          <w:p w:rsidR="009C32E7" w:rsidRPr="00AD70DE" w:rsidRDefault="009C32E7" w:rsidP="00AD70DE">
            <w:pPr>
              <w:jc w:val="center"/>
              <w:rPr>
                <w:sz w:val="16"/>
                <w:szCs w:val="16"/>
                <w:lang w:val="en-GB"/>
              </w:rPr>
            </w:pPr>
            <w:r w:rsidRPr="00AD70DE">
              <w:rPr>
                <w:b/>
                <w:sz w:val="20"/>
                <w:szCs w:val="20"/>
                <w:lang w:val="en-GB"/>
              </w:rPr>
              <w:t>8</w:t>
            </w:r>
            <w:r w:rsidRPr="00AD70DE">
              <w:rPr>
                <w:b/>
                <w:sz w:val="20"/>
                <w:szCs w:val="20"/>
                <w:lang w:val="en-GB"/>
              </w:rPr>
              <w:br/>
            </w:r>
            <w:r w:rsidRPr="00AD70DE">
              <w:rPr>
                <w:sz w:val="16"/>
                <w:szCs w:val="16"/>
                <w:lang w:val="en-GB"/>
              </w:rPr>
              <w:t>(48 ± 2 h)</w:t>
            </w:r>
          </w:p>
        </w:tc>
        <w:tc>
          <w:tcPr>
            <w:tcW w:w="386" w:type="pct"/>
            <w:tcBorders>
              <w:left w:val="dotted" w:sz="4" w:space="0" w:color="auto"/>
              <w:right w:val="dotted" w:sz="4" w:space="0" w:color="auto"/>
            </w:tcBorders>
            <w:shd w:val="clear" w:color="auto" w:fill="A6A6A6"/>
          </w:tcPr>
          <w:p w:rsidR="009C32E7" w:rsidRPr="00AD70DE" w:rsidRDefault="009C32E7" w:rsidP="00AD70DE">
            <w:pPr>
              <w:jc w:val="center"/>
              <w:rPr>
                <w:b/>
                <w:sz w:val="20"/>
                <w:szCs w:val="20"/>
                <w:lang w:val="en-GB"/>
              </w:rPr>
            </w:pPr>
            <w:r w:rsidRPr="00AD70DE">
              <w:rPr>
                <w:b/>
                <w:sz w:val="20"/>
                <w:szCs w:val="20"/>
                <w:lang w:val="en-GB"/>
              </w:rPr>
              <w:t>9</w:t>
            </w:r>
            <w:r w:rsidRPr="00AD70DE">
              <w:rPr>
                <w:b/>
                <w:sz w:val="20"/>
                <w:szCs w:val="20"/>
                <w:lang w:val="en-GB"/>
              </w:rPr>
              <w:br/>
            </w:r>
            <w:r w:rsidRPr="00AD70DE">
              <w:rPr>
                <w:sz w:val="16"/>
                <w:szCs w:val="16"/>
                <w:lang w:val="en-GB"/>
              </w:rPr>
              <w:t>(72 ± 2 h)</w:t>
            </w:r>
          </w:p>
        </w:tc>
        <w:tc>
          <w:tcPr>
            <w:tcW w:w="538" w:type="pct"/>
            <w:shd w:val="clear" w:color="auto" w:fill="A6A6A6"/>
          </w:tcPr>
          <w:p w:rsidR="009C32E7" w:rsidRPr="00AD70DE" w:rsidRDefault="009C32E7" w:rsidP="00AD70DE">
            <w:pPr>
              <w:jc w:val="center"/>
              <w:rPr>
                <w:sz w:val="16"/>
                <w:szCs w:val="16"/>
                <w:lang w:val="en-GB"/>
              </w:rPr>
            </w:pPr>
            <w:r w:rsidRPr="00AD70DE">
              <w:rPr>
                <w:b/>
                <w:sz w:val="20"/>
                <w:szCs w:val="20"/>
                <w:lang w:val="en-GB"/>
              </w:rPr>
              <w:t xml:space="preserve">+7 to + 28 </w:t>
            </w:r>
            <w:r w:rsidRPr="00AD70DE">
              <w:rPr>
                <w:sz w:val="16"/>
                <w:szCs w:val="16"/>
                <w:lang w:val="en-GB"/>
              </w:rPr>
              <w:t>(day 16 - 37)</w:t>
            </w:r>
          </w:p>
        </w:tc>
        <w:tc>
          <w:tcPr>
            <w:tcW w:w="610" w:type="pct"/>
            <w:shd w:val="clear" w:color="auto" w:fill="A6A6A6"/>
          </w:tcPr>
          <w:p w:rsidR="009C32E7" w:rsidRPr="00AD70DE" w:rsidRDefault="009C32E7" w:rsidP="00AD70DE">
            <w:pPr>
              <w:jc w:val="center"/>
              <w:rPr>
                <w:b/>
                <w:sz w:val="20"/>
                <w:szCs w:val="20"/>
                <w:lang w:val="en-GB"/>
              </w:rPr>
            </w:pPr>
            <w:r w:rsidRPr="00AD70DE" w:rsidDel="00322D8D">
              <w:rPr>
                <w:b/>
                <w:sz w:val="20"/>
                <w:szCs w:val="20"/>
                <w:lang w:val="en-GB"/>
              </w:rPr>
              <w:t xml:space="preserve"> </w:t>
            </w:r>
            <w:r w:rsidRPr="00AD70DE">
              <w:rPr>
                <w:b/>
                <w:sz w:val="20"/>
                <w:szCs w:val="20"/>
                <w:lang w:val="en-GB"/>
              </w:rPr>
              <w:br/>
            </w:r>
            <w:r w:rsidRPr="00AD70DE">
              <w:rPr>
                <w:sz w:val="16"/>
                <w:szCs w:val="20"/>
                <w:lang w:val="en-GB"/>
              </w:rPr>
              <w:t>(day 90-120)</w:t>
            </w:r>
          </w:p>
        </w:tc>
      </w:tr>
      <w:tr w:rsidR="009C32E7" w:rsidRPr="00AD70DE" w:rsidTr="008355A9">
        <w:tc>
          <w:tcPr>
            <w:tcW w:w="1384" w:type="pct"/>
            <w:tcBorders>
              <w:right w:val="double" w:sz="4" w:space="0" w:color="auto"/>
            </w:tcBorders>
          </w:tcPr>
          <w:p w:rsidR="009C32E7" w:rsidRPr="00AD70DE" w:rsidRDefault="009C32E7" w:rsidP="00AD70DE">
            <w:pPr>
              <w:tabs>
                <w:tab w:val="left" w:pos="197"/>
              </w:tabs>
              <w:rPr>
                <w:sz w:val="20"/>
                <w:szCs w:val="20"/>
                <w:lang w:val="en-GB"/>
              </w:rPr>
            </w:pPr>
            <w:r w:rsidRPr="00AD70DE">
              <w:rPr>
                <w:sz w:val="20"/>
                <w:szCs w:val="20"/>
                <w:lang w:val="en-GB"/>
              </w:rPr>
              <w:t>Participant information and informed consent</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c>
          <w:tcPr>
            <w:tcW w:w="1384" w:type="pct"/>
            <w:tcBorders>
              <w:right w:val="double" w:sz="4" w:space="0" w:color="auto"/>
            </w:tcBorders>
          </w:tcPr>
          <w:p w:rsidR="009C32E7" w:rsidRPr="00AD70DE" w:rsidRDefault="009C32E7" w:rsidP="00AD70DE">
            <w:pPr>
              <w:tabs>
                <w:tab w:val="left" w:pos="197"/>
              </w:tabs>
              <w:rPr>
                <w:sz w:val="20"/>
                <w:szCs w:val="20"/>
                <w:lang w:val="en-GB"/>
              </w:rPr>
            </w:pPr>
            <w:r w:rsidRPr="00AD70DE">
              <w:rPr>
                <w:sz w:val="20"/>
                <w:szCs w:val="20"/>
                <w:lang w:val="en-GB"/>
              </w:rPr>
              <w:t>Inclusion / exclusion criteria</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543"/>
        </w:trPr>
        <w:tc>
          <w:tcPr>
            <w:tcW w:w="1384" w:type="pct"/>
            <w:tcBorders>
              <w:right w:val="double" w:sz="4" w:space="0" w:color="auto"/>
            </w:tcBorders>
          </w:tcPr>
          <w:p w:rsidR="009C32E7" w:rsidRPr="00AD70DE" w:rsidRDefault="009C32E7" w:rsidP="00AD70DE">
            <w:pPr>
              <w:tabs>
                <w:tab w:val="left" w:pos="197"/>
              </w:tabs>
              <w:spacing w:after="0"/>
              <w:rPr>
                <w:sz w:val="20"/>
                <w:szCs w:val="20"/>
                <w:lang w:val="en-GB"/>
              </w:rPr>
            </w:pPr>
            <w:r w:rsidRPr="00AD70DE">
              <w:rPr>
                <w:sz w:val="20"/>
                <w:szCs w:val="20"/>
                <w:lang w:val="en-GB"/>
              </w:rPr>
              <w:t>Relevant medical history / current medical condition</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501"/>
        </w:trPr>
        <w:tc>
          <w:tcPr>
            <w:tcW w:w="1384" w:type="pct"/>
            <w:tcBorders>
              <w:right w:val="double" w:sz="4" w:space="0" w:color="auto"/>
            </w:tcBorders>
          </w:tcPr>
          <w:p w:rsidR="009C32E7" w:rsidRPr="00AD70DE" w:rsidRDefault="009C32E7" w:rsidP="00AD70DE">
            <w:pPr>
              <w:tabs>
                <w:tab w:val="left" w:pos="197"/>
              </w:tabs>
              <w:rPr>
                <w:sz w:val="20"/>
                <w:szCs w:val="20"/>
                <w:lang w:val="en-GB"/>
              </w:rPr>
            </w:pPr>
            <w:r w:rsidRPr="00AD70DE">
              <w:rPr>
                <w:sz w:val="20"/>
                <w:szCs w:val="20"/>
                <w:lang w:val="en-GB"/>
              </w:rPr>
              <w:t>Co-medication</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501"/>
        </w:trPr>
        <w:tc>
          <w:tcPr>
            <w:tcW w:w="1384" w:type="pct"/>
            <w:tcBorders>
              <w:right w:val="double" w:sz="4" w:space="0" w:color="auto"/>
            </w:tcBorders>
          </w:tcPr>
          <w:p w:rsidR="009C32E7" w:rsidRPr="00AD70DE" w:rsidRDefault="009C32E7" w:rsidP="00AD70DE">
            <w:pPr>
              <w:tabs>
                <w:tab w:val="left" w:pos="197"/>
              </w:tabs>
              <w:rPr>
                <w:sz w:val="20"/>
                <w:szCs w:val="20"/>
                <w:lang w:val="en-GB"/>
              </w:rPr>
            </w:pPr>
            <w:r w:rsidRPr="00AD70DE">
              <w:rPr>
                <w:sz w:val="20"/>
                <w:szCs w:val="20"/>
                <w:lang w:val="en-GB"/>
              </w:rPr>
              <w:t>Physical examination</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r w:rsidRPr="00AD70DE">
              <w:rPr>
                <w:sz w:val="20"/>
                <w:szCs w:val="20"/>
                <w:lang w:val="en-GB"/>
              </w:rPr>
              <w:t>x</w:t>
            </w:r>
          </w:p>
        </w:tc>
        <w:tc>
          <w:tcPr>
            <w:tcW w:w="610" w:type="pct"/>
          </w:tcPr>
          <w:p w:rsidR="009C32E7" w:rsidRPr="00AD70DE" w:rsidRDefault="009C32E7" w:rsidP="00AD70DE">
            <w:pPr>
              <w:jc w:val="center"/>
              <w:rPr>
                <w:sz w:val="20"/>
                <w:szCs w:val="20"/>
                <w:lang w:val="en-GB"/>
              </w:rPr>
            </w:pPr>
          </w:p>
        </w:tc>
      </w:tr>
      <w:tr w:rsidR="009C32E7" w:rsidRPr="00AD70DE" w:rsidTr="008355A9">
        <w:tc>
          <w:tcPr>
            <w:tcW w:w="1384" w:type="pct"/>
            <w:tcBorders>
              <w:right w:val="double" w:sz="4" w:space="0" w:color="auto"/>
            </w:tcBorders>
          </w:tcPr>
          <w:p w:rsidR="009C32E7" w:rsidRPr="00AD70DE" w:rsidRDefault="009C32E7" w:rsidP="00AD70DE">
            <w:pPr>
              <w:tabs>
                <w:tab w:val="left" w:pos="197"/>
              </w:tabs>
              <w:rPr>
                <w:sz w:val="20"/>
                <w:szCs w:val="20"/>
                <w:vertAlign w:val="superscript"/>
                <w:lang w:val="en-GB"/>
              </w:rPr>
            </w:pPr>
            <w:r w:rsidRPr="00AD70DE">
              <w:rPr>
                <w:sz w:val="20"/>
                <w:szCs w:val="20"/>
                <w:lang w:val="en-GB"/>
              </w:rPr>
              <w:t>Haematology, blood chemistry</w:t>
            </w:r>
            <w:r w:rsidRPr="00AD70DE">
              <w:rPr>
                <w:sz w:val="20"/>
                <w:szCs w:val="20"/>
                <w:vertAlign w:val="superscript"/>
                <w:lang w:val="en-GB"/>
              </w:rPr>
              <w:t>1</w:t>
            </w:r>
            <w:r w:rsidRPr="00AD70DE">
              <w:rPr>
                <w:sz w:val="20"/>
                <w:szCs w:val="20"/>
                <w:lang w:val="en-GB"/>
              </w:rPr>
              <w:t xml:space="preserve"> </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r w:rsidRPr="00AD70DE">
              <w:rPr>
                <w:sz w:val="20"/>
                <w:szCs w:val="20"/>
                <w:lang w:val="en-GB"/>
              </w:rPr>
              <w:t>x</w:t>
            </w:r>
          </w:p>
        </w:tc>
        <w:tc>
          <w:tcPr>
            <w:tcW w:w="610" w:type="pct"/>
          </w:tcPr>
          <w:p w:rsidR="009C32E7" w:rsidRPr="00AD70DE" w:rsidRDefault="009C32E7" w:rsidP="00AD70DE">
            <w:pPr>
              <w:jc w:val="center"/>
              <w:rPr>
                <w:sz w:val="20"/>
                <w:szCs w:val="20"/>
                <w:lang w:val="en-GB"/>
              </w:rPr>
            </w:pPr>
          </w:p>
        </w:tc>
      </w:tr>
      <w:tr w:rsidR="009C32E7" w:rsidRPr="00AD70DE" w:rsidTr="008355A9">
        <w:tc>
          <w:tcPr>
            <w:tcW w:w="1384" w:type="pct"/>
            <w:tcBorders>
              <w:right w:val="double" w:sz="4" w:space="0" w:color="auto"/>
            </w:tcBorders>
          </w:tcPr>
          <w:p w:rsidR="009C32E7" w:rsidRPr="00AD70DE" w:rsidRDefault="009C32E7" w:rsidP="00AD70DE">
            <w:pPr>
              <w:tabs>
                <w:tab w:val="left" w:pos="197"/>
              </w:tabs>
              <w:rPr>
                <w:sz w:val="20"/>
                <w:szCs w:val="20"/>
                <w:lang w:val="en-GB"/>
              </w:rPr>
            </w:pPr>
            <w:proofErr w:type="spellStart"/>
            <w:r w:rsidRPr="00AD70DE">
              <w:rPr>
                <w:sz w:val="20"/>
                <w:szCs w:val="20"/>
                <w:lang w:val="en-GB"/>
              </w:rPr>
              <w:t>Urinanalysis</w:t>
            </w:r>
            <w:proofErr w:type="spellEnd"/>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r w:rsidRPr="00AD70DE">
              <w:rPr>
                <w:sz w:val="20"/>
                <w:szCs w:val="20"/>
                <w:lang w:val="en-GB"/>
              </w:rPr>
              <w:t>x</w:t>
            </w:r>
          </w:p>
        </w:tc>
        <w:tc>
          <w:tcPr>
            <w:tcW w:w="610" w:type="pct"/>
          </w:tcPr>
          <w:p w:rsidR="009C32E7" w:rsidRPr="00AD70DE" w:rsidRDefault="009C32E7" w:rsidP="00AD70DE">
            <w:pPr>
              <w:jc w:val="center"/>
              <w:rPr>
                <w:sz w:val="20"/>
                <w:szCs w:val="20"/>
                <w:lang w:val="en-GB"/>
              </w:rPr>
            </w:pPr>
          </w:p>
        </w:tc>
      </w:tr>
      <w:tr w:rsidR="009C32E7" w:rsidRPr="00AD70DE" w:rsidTr="008355A9">
        <w:tc>
          <w:tcPr>
            <w:tcW w:w="1384" w:type="pct"/>
            <w:tcBorders>
              <w:right w:val="double" w:sz="4" w:space="0" w:color="auto"/>
            </w:tcBorders>
          </w:tcPr>
          <w:p w:rsidR="009C32E7" w:rsidRPr="00AD70DE" w:rsidRDefault="009C32E7" w:rsidP="00AD70DE">
            <w:pPr>
              <w:tabs>
                <w:tab w:val="left" w:pos="197"/>
              </w:tabs>
              <w:rPr>
                <w:sz w:val="20"/>
                <w:szCs w:val="20"/>
                <w:lang w:val="en-GB"/>
              </w:rPr>
            </w:pPr>
            <w:r w:rsidRPr="00AD70DE">
              <w:rPr>
                <w:sz w:val="20"/>
                <w:szCs w:val="20"/>
                <w:lang w:val="en-GB"/>
              </w:rPr>
              <w:t>Pregnancy test (female volunteers)</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r w:rsidRPr="00AD70DE">
              <w:rPr>
                <w:sz w:val="20"/>
                <w:szCs w:val="20"/>
                <w:lang w:val="en-GB"/>
              </w:rPr>
              <w:t>x</w:t>
            </w:r>
          </w:p>
        </w:tc>
        <w:tc>
          <w:tcPr>
            <w:tcW w:w="610" w:type="pct"/>
          </w:tcPr>
          <w:p w:rsidR="009C32E7" w:rsidRPr="00AD70DE" w:rsidRDefault="009C32E7" w:rsidP="00AD70DE">
            <w:pPr>
              <w:jc w:val="center"/>
              <w:rPr>
                <w:sz w:val="20"/>
                <w:szCs w:val="20"/>
                <w:lang w:val="en-GB"/>
              </w:rPr>
            </w:pPr>
          </w:p>
        </w:tc>
      </w:tr>
      <w:tr w:rsidR="009C32E7" w:rsidRPr="00AD70DE" w:rsidTr="008355A9">
        <w:tc>
          <w:tcPr>
            <w:tcW w:w="1384" w:type="pct"/>
            <w:tcBorders>
              <w:right w:val="double" w:sz="4" w:space="0" w:color="auto"/>
            </w:tcBorders>
          </w:tcPr>
          <w:p w:rsidR="009C32E7" w:rsidRPr="00AD70DE" w:rsidRDefault="009C32E7" w:rsidP="00AD70DE">
            <w:pPr>
              <w:tabs>
                <w:tab w:val="left" w:pos="197"/>
              </w:tabs>
              <w:rPr>
                <w:sz w:val="20"/>
                <w:szCs w:val="20"/>
                <w:lang w:val="en-GB"/>
              </w:rPr>
            </w:pPr>
            <w:r w:rsidRPr="00AD70DE">
              <w:rPr>
                <w:sz w:val="20"/>
                <w:szCs w:val="20"/>
                <w:lang w:val="en-GB"/>
              </w:rPr>
              <w:t>HCV and HIV serology</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c>
          <w:tcPr>
            <w:tcW w:w="1384" w:type="pct"/>
            <w:tcBorders>
              <w:right w:val="double" w:sz="4" w:space="0" w:color="auto"/>
            </w:tcBorders>
          </w:tcPr>
          <w:p w:rsidR="009C32E7" w:rsidRPr="00AD70DE" w:rsidRDefault="009C32E7" w:rsidP="00AD70DE">
            <w:pPr>
              <w:tabs>
                <w:tab w:val="left" w:pos="197"/>
              </w:tabs>
              <w:rPr>
                <w:sz w:val="20"/>
                <w:szCs w:val="20"/>
                <w:lang w:val="en-GB"/>
              </w:rPr>
            </w:pPr>
            <w:r w:rsidRPr="00AD70DE">
              <w:rPr>
                <w:sz w:val="20"/>
                <w:szCs w:val="20"/>
                <w:lang w:val="en-GB"/>
              </w:rPr>
              <w:t>Drug screen</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tabs>
                <w:tab w:val="left" w:pos="197"/>
              </w:tabs>
              <w:rPr>
                <w:sz w:val="20"/>
                <w:szCs w:val="20"/>
                <w:lang w:val="en-GB"/>
              </w:rPr>
            </w:pPr>
            <w:r w:rsidRPr="00AD70DE">
              <w:rPr>
                <w:sz w:val="20"/>
                <w:szCs w:val="20"/>
                <w:lang w:val="en-GB"/>
              </w:rPr>
              <w:t>12-lead electrocardiogram</w:t>
            </w:r>
          </w:p>
        </w:tc>
        <w:tc>
          <w:tcPr>
            <w:tcW w:w="541" w:type="pct"/>
            <w:tcBorders>
              <w:right w:val="double"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 (4 h)</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r w:rsidRPr="00AD70DE">
              <w:rPr>
                <w:sz w:val="20"/>
                <w:szCs w:val="20"/>
                <w:lang w:val="en-GB"/>
              </w:rPr>
              <w:t>x</w:t>
            </w: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b/>
                <w:sz w:val="20"/>
                <w:szCs w:val="20"/>
                <w:u w:val="single"/>
                <w:lang w:val="en-GB"/>
              </w:rPr>
            </w:pPr>
            <w:r w:rsidRPr="00AD70DE">
              <w:rPr>
                <w:b/>
                <w:sz w:val="20"/>
                <w:szCs w:val="20"/>
                <w:u w:val="single"/>
                <w:lang w:val="en-GB"/>
              </w:rPr>
              <w:t>Vital signs and body measurements:</w:t>
            </w:r>
          </w:p>
        </w:tc>
        <w:tc>
          <w:tcPr>
            <w:tcW w:w="541" w:type="pct"/>
            <w:tcBorders>
              <w:right w:val="double" w:sz="4" w:space="0" w:color="auto"/>
            </w:tcBorders>
          </w:tcPr>
          <w:p w:rsidR="009C32E7" w:rsidRPr="00AD70DE" w:rsidRDefault="009C32E7" w:rsidP="00AD70DE">
            <w:pPr>
              <w:keepNext/>
              <w:keepLines/>
              <w:jc w:val="center"/>
              <w:rPr>
                <w:sz w:val="20"/>
                <w:szCs w:val="20"/>
                <w:lang w:val="en-GB"/>
              </w:rPr>
            </w:pPr>
          </w:p>
        </w:tc>
        <w:tc>
          <w:tcPr>
            <w:tcW w:w="385" w:type="pct"/>
            <w:tcBorders>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538" w:type="pct"/>
          </w:tcPr>
          <w:p w:rsidR="009C32E7" w:rsidRPr="00AD70DE" w:rsidRDefault="009C32E7" w:rsidP="00AD70DE">
            <w:pPr>
              <w:keepNext/>
              <w:keepLines/>
              <w:jc w:val="center"/>
              <w:rPr>
                <w:sz w:val="20"/>
                <w:szCs w:val="20"/>
                <w:lang w:val="en-GB"/>
              </w:rPr>
            </w:pPr>
          </w:p>
        </w:tc>
        <w:tc>
          <w:tcPr>
            <w:tcW w:w="610" w:type="pct"/>
          </w:tcPr>
          <w:p w:rsidR="009C32E7" w:rsidRPr="00AD70DE" w:rsidRDefault="009C32E7" w:rsidP="00AD70DE">
            <w:pPr>
              <w:keepNext/>
              <w:keepLines/>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lang w:val="en-GB"/>
              </w:rPr>
            </w:pPr>
            <w:r w:rsidRPr="00AD70DE">
              <w:rPr>
                <w:sz w:val="20"/>
                <w:szCs w:val="20"/>
                <w:lang w:val="en-GB"/>
              </w:rPr>
              <w:tab/>
              <w:t>Body height</w:t>
            </w:r>
          </w:p>
        </w:tc>
        <w:tc>
          <w:tcPr>
            <w:tcW w:w="541" w:type="pct"/>
            <w:tcBorders>
              <w:right w:val="double" w:sz="4" w:space="0" w:color="auto"/>
            </w:tcBorders>
          </w:tcPr>
          <w:p w:rsidR="009C32E7" w:rsidRPr="00AD70DE" w:rsidRDefault="009C32E7" w:rsidP="00AD70DE">
            <w:pPr>
              <w:keepNext/>
              <w:keepLines/>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538" w:type="pct"/>
          </w:tcPr>
          <w:p w:rsidR="009C32E7" w:rsidRPr="00AD70DE" w:rsidRDefault="009C32E7" w:rsidP="00AD70DE">
            <w:pPr>
              <w:keepNext/>
              <w:keepLines/>
              <w:jc w:val="center"/>
              <w:rPr>
                <w:sz w:val="20"/>
                <w:szCs w:val="20"/>
                <w:lang w:val="en-GB"/>
              </w:rPr>
            </w:pPr>
          </w:p>
        </w:tc>
        <w:tc>
          <w:tcPr>
            <w:tcW w:w="610" w:type="pct"/>
          </w:tcPr>
          <w:p w:rsidR="009C32E7" w:rsidRPr="00AD70DE" w:rsidRDefault="009C32E7" w:rsidP="00AD70DE">
            <w:pPr>
              <w:keepNext/>
              <w:keepLines/>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lang w:val="en-GB"/>
              </w:rPr>
            </w:pPr>
            <w:r w:rsidRPr="00AD70DE">
              <w:rPr>
                <w:sz w:val="20"/>
                <w:szCs w:val="20"/>
                <w:lang w:val="en-GB"/>
              </w:rPr>
              <w:tab/>
              <w:t>Body weight</w:t>
            </w:r>
          </w:p>
        </w:tc>
        <w:tc>
          <w:tcPr>
            <w:tcW w:w="541" w:type="pct"/>
            <w:tcBorders>
              <w:right w:val="double" w:sz="4" w:space="0" w:color="auto"/>
            </w:tcBorders>
          </w:tcPr>
          <w:p w:rsidR="009C32E7" w:rsidRPr="00AD70DE" w:rsidRDefault="009C32E7" w:rsidP="00AD70DE">
            <w:pPr>
              <w:keepNext/>
              <w:keepLines/>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538" w:type="pct"/>
          </w:tcPr>
          <w:p w:rsidR="009C32E7" w:rsidRPr="00AD70DE" w:rsidRDefault="009C32E7" w:rsidP="00AD70DE">
            <w:pPr>
              <w:keepNext/>
              <w:keepLines/>
              <w:jc w:val="center"/>
              <w:rPr>
                <w:sz w:val="20"/>
                <w:szCs w:val="20"/>
                <w:lang w:val="en-GB"/>
              </w:rPr>
            </w:pPr>
            <w:r w:rsidRPr="00AD70DE">
              <w:rPr>
                <w:sz w:val="20"/>
                <w:szCs w:val="20"/>
                <w:lang w:val="en-GB"/>
              </w:rPr>
              <w:t>x</w:t>
            </w:r>
          </w:p>
        </w:tc>
        <w:tc>
          <w:tcPr>
            <w:tcW w:w="610" w:type="pct"/>
          </w:tcPr>
          <w:p w:rsidR="009C32E7" w:rsidRPr="00AD70DE" w:rsidRDefault="009C32E7" w:rsidP="00AD70DE">
            <w:pPr>
              <w:keepNext/>
              <w:keepLines/>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lang w:val="en-GB"/>
              </w:rPr>
            </w:pPr>
            <w:r w:rsidRPr="00AD70DE">
              <w:rPr>
                <w:sz w:val="20"/>
                <w:szCs w:val="20"/>
                <w:lang w:val="en-GB"/>
              </w:rPr>
              <w:tab/>
              <w:t>Body temperature</w:t>
            </w:r>
          </w:p>
        </w:tc>
        <w:tc>
          <w:tcPr>
            <w:tcW w:w="541" w:type="pct"/>
            <w:tcBorders>
              <w:right w:val="double" w:sz="4" w:space="0" w:color="auto"/>
            </w:tcBorders>
          </w:tcPr>
          <w:p w:rsidR="009C32E7" w:rsidRPr="00AD70DE" w:rsidRDefault="009C32E7" w:rsidP="00AD70DE">
            <w:pPr>
              <w:keepNext/>
              <w:keepLines/>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538" w:type="pct"/>
          </w:tcPr>
          <w:p w:rsidR="009C32E7" w:rsidRPr="00AD70DE" w:rsidRDefault="009C32E7" w:rsidP="00AD70DE">
            <w:pPr>
              <w:keepNext/>
              <w:keepLines/>
              <w:jc w:val="center"/>
              <w:rPr>
                <w:sz w:val="20"/>
                <w:szCs w:val="20"/>
                <w:lang w:val="en-GB"/>
              </w:rPr>
            </w:pPr>
            <w:r w:rsidRPr="00AD70DE">
              <w:rPr>
                <w:sz w:val="20"/>
                <w:szCs w:val="20"/>
                <w:lang w:val="en-GB"/>
              </w:rPr>
              <w:t>x</w:t>
            </w:r>
          </w:p>
        </w:tc>
        <w:tc>
          <w:tcPr>
            <w:tcW w:w="610" w:type="pct"/>
          </w:tcPr>
          <w:p w:rsidR="009C32E7" w:rsidRPr="00AD70DE" w:rsidRDefault="009C32E7" w:rsidP="00AD70DE">
            <w:pPr>
              <w:keepNext/>
              <w:keepLines/>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vertAlign w:val="superscript"/>
                <w:lang w:val="en-GB"/>
              </w:rPr>
            </w:pPr>
            <w:r w:rsidRPr="00AD70DE">
              <w:rPr>
                <w:sz w:val="20"/>
                <w:szCs w:val="20"/>
                <w:lang w:val="en-GB"/>
              </w:rPr>
              <w:tab/>
              <w:t>Blood pressure / heart rate</w:t>
            </w:r>
          </w:p>
        </w:tc>
        <w:tc>
          <w:tcPr>
            <w:tcW w:w="541" w:type="pct"/>
            <w:tcBorders>
              <w:right w:val="double" w:sz="4" w:space="0" w:color="auto"/>
            </w:tcBorders>
          </w:tcPr>
          <w:p w:rsidR="009C32E7" w:rsidRPr="00AD70DE" w:rsidRDefault="009C32E7" w:rsidP="00AD70DE">
            <w:pPr>
              <w:keepNext/>
              <w:keepLines/>
              <w:jc w:val="center"/>
              <w:rPr>
                <w:sz w:val="20"/>
                <w:szCs w:val="20"/>
                <w:lang w:val="en-GB"/>
              </w:rPr>
            </w:pPr>
            <w:r w:rsidRPr="00AD70DE">
              <w:rPr>
                <w:sz w:val="20"/>
                <w:szCs w:val="20"/>
                <w:lang w:val="en-GB"/>
              </w:rPr>
              <w:t>x</w:t>
            </w:r>
          </w:p>
        </w:tc>
        <w:tc>
          <w:tcPr>
            <w:tcW w:w="385" w:type="pct"/>
            <w:tcBorders>
              <w:right w:val="dotted" w:sz="4" w:space="0" w:color="auto"/>
            </w:tcBorders>
          </w:tcPr>
          <w:p w:rsidR="009C32E7" w:rsidRPr="00AD70DE" w:rsidRDefault="009C32E7" w:rsidP="00AD70DE">
            <w:pPr>
              <w:keepNext/>
              <w:keepLines/>
              <w:jc w:val="center"/>
              <w:rPr>
                <w:sz w:val="20"/>
                <w:szCs w:val="20"/>
                <w:vertAlign w:val="superscript"/>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vertAlign w:val="superscript"/>
                <w:lang w:val="en-GB"/>
              </w:rPr>
            </w:pPr>
            <w:r w:rsidRPr="00AD70DE">
              <w:rPr>
                <w:sz w:val="20"/>
                <w:szCs w:val="20"/>
                <w:lang w:val="en-GB"/>
              </w:rPr>
              <w:t>x</w:t>
            </w:r>
            <w:r w:rsidRPr="00AD70DE">
              <w:rPr>
                <w:sz w:val="20"/>
                <w:szCs w:val="20"/>
                <w:vertAlign w:val="superscript"/>
                <w:lang w:val="en-GB"/>
              </w:rPr>
              <w:t>2</w:t>
            </w: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p>
        </w:tc>
        <w:tc>
          <w:tcPr>
            <w:tcW w:w="538" w:type="pct"/>
          </w:tcPr>
          <w:p w:rsidR="009C32E7" w:rsidRPr="00AD70DE" w:rsidRDefault="009C32E7" w:rsidP="00AD70DE">
            <w:pPr>
              <w:keepNext/>
              <w:keepLines/>
              <w:jc w:val="center"/>
              <w:rPr>
                <w:sz w:val="20"/>
                <w:szCs w:val="20"/>
                <w:lang w:val="en-GB"/>
              </w:rPr>
            </w:pPr>
            <w:r w:rsidRPr="00AD70DE">
              <w:rPr>
                <w:sz w:val="20"/>
                <w:szCs w:val="20"/>
                <w:lang w:val="en-GB"/>
              </w:rPr>
              <w:t>x</w:t>
            </w:r>
          </w:p>
        </w:tc>
        <w:tc>
          <w:tcPr>
            <w:tcW w:w="610" w:type="pct"/>
          </w:tcPr>
          <w:p w:rsidR="009C32E7" w:rsidRPr="00AD70DE" w:rsidRDefault="009C32E7" w:rsidP="00AD70DE">
            <w:pPr>
              <w:keepNext/>
              <w:keepLines/>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lang w:val="en-GB"/>
              </w:rPr>
            </w:pPr>
            <w:r w:rsidRPr="00AD70DE">
              <w:rPr>
                <w:sz w:val="20"/>
                <w:szCs w:val="20"/>
                <w:lang w:val="en-GB"/>
              </w:rPr>
              <w:tab/>
              <w:t>Adverse Events</w:t>
            </w:r>
          </w:p>
        </w:tc>
        <w:tc>
          <w:tcPr>
            <w:tcW w:w="541" w:type="pct"/>
            <w:tcBorders>
              <w:right w:val="double" w:sz="4" w:space="0" w:color="auto"/>
            </w:tcBorders>
          </w:tcPr>
          <w:p w:rsidR="009C32E7" w:rsidRPr="00AD70DE" w:rsidRDefault="009C32E7" w:rsidP="00AD70DE">
            <w:pPr>
              <w:keepNext/>
              <w:keepLines/>
              <w:jc w:val="center"/>
              <w:rPr>
                <w:sz w:val="20"/>
                <w:szCs w:val="20"/>
                <w:lang w:val="en-GB"/>
              </w:rPr>
            </w:pPr>
          </w:p>
        </w:tc>
        <w:tc>
          <w:tcPr>
            <w:tcW w:w="385" w:type="pct"/>
            <w:tcBorders>
              <w:right w:val="dotted" w:sz="4" w:space="0" w:color="auto"/>
            </w:tcBorders>
          </w:tcPr>
          <w:p w:rsidR="009C32E7" w:rsidRPr="00AD70DE" w:rsidRDefault="009C32E7" w:rsidP="00AD70DE">
            <w:pPr>
              <w:keepNext/>
              <w:keepLines/>
              <w:jc w:val="center"/>
              <w:rPr>
                <w:sz w:val="20"/>
                <w:szCs w:val="20"/>
                <w:vertAlign w:val="superscript"/>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vertAlign w:val="superscript"/>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keepNext/>
              <w:keepLines/>
              <w:jc w:val="center"/>
              <w:rPr>
                <w:sz w:val="20"/>
                <w:szCs w:val="20"/>
                <w:lang w:val="en-GB"/>
              </w:rPr>
            </w:pPr>
            <w:r w:rsidRPr="00AD70DE">
              <w:rPr>
                <w:sz w:val="20"/>
                <w:szCs w:val="20"/>
                <w:lang w:val="en-GB"/>
              </w:rPr>
              <w:t>x</w:t>
            </w:r>
          </w:p>
        </w:tc>
        <w:tc>
          <w:tcPr>
            <w:tcW w:w="538" w:type="pct"/>
          </w:tcPr>
          <w:p w:rsidR="009C32E7" w:rsidRPr="00AD70DE" w:rsidRDefault="009C32E7" w:rsidP="00AD70DE">
            <w:pPr>
              <w:keepNext/>
              <w:keepLines/>
              <w:jc w:val="center"/>
              <w:rPr>
                <w:sz w:val="20"/>
                <w:szCs w:val="20"/>
                <w:lang w:val="en-GB"/>
              </w:rPr>
            </w:pPr>
            <w:r w:rsidRPr="00AD70DE">
              <w:rPr>
                <w:sz w:val="20"/>
                <w:szCs w:val="20"/>
                <w:lang w:val="en-GB"/>
              </w:rPr>
              <w:t>x</w:t>
            </w:r>
          </w:p>
        </w:tc>
        <w:tc>
          <w:tcPr>
            <w:tcW w:w="610" w:type="pct"/>
          </w:tcPr>
          <w:p w:rsidR="009C32E7" w:rsidRPr="00AD70DE" w:rsidRDefault="009C32E7" w:rsidP="00AD70DE">
            <w:pPr>
              <w:keepNext/>
              <w:keepLines/>
              <w:jc w:val="center"/>
              <w:rPr>
                <w:sz w:val="20"/>
                <w:szCs w:val="20"/>
                <w:lang w:val="en-GB"/>
              </w:rPr>
            </w:pPr>
            <w:r w:rsidRPr="00AD70DE">
              <w:rPr>
                <w:sz w:val="20"/>
                <w:szCs w:val="20"/>
                <w:lang w:val="en-GB"/>
              </w:rPr>
              <w:t>x</w:t>
            </w:r>
          </w:p>
        </w:tc>
      </w:tr>
      <w:tr w:rsidR="009C32E7" w:rsidRPr="00AD70DE" w:rsidTr="008355A9">
        <w:trPr>
          <w:trHeight w:val="404"/>
        </w:trPr>
        <w:tc>
          <w:tcPr>
            <w:tcW w:w="1384" w:type="pct"/>
            <w:tcBorders>
              <w:right w:val="double" w:sz="4" w:space="0" w:color="auto"/>
            </w:tcBorders>
          </w:tcPr>
          <w:p w:rsidR="009C32E7" w:rsidRPr="00AD70DE" w:rsidRDefault="009C32E7" w:rsidP="00AD70DE">
            <w:pPr>
              <w:tabs>
                <w:tab w:val="left" w:pos="197"/>
              </w:tabs>
              <w:rPr>
                <w:b/>
                <w:sz w:val="20"/>
                <w:szCs w:val="20"/>
                <w:u w:val="single"/>
                <w:lang w:val="en-GB"/>
              </w:rPr>
            </w:pPr>
            <w:r w:rsidRPr="00AD70DE">
              <w:rPr>
                <w:b/>
                <w:sz w:val="20"/>
                <w:szCs w:val="20"/>
                <w:u w:val="single"/>
                <w:lang w:val="en-GB"/>
              </w:rPr>
              <w:t xml:space="preserve">Drugs administered </w:t>
            </w:r>
            <w:proofErr w:type="spellStart"/>
            <w:r w:rsidRPr="00AD70DE">
              <w:rPr>
                <w:b/>
                <w:sz w:val="20"/>
                <w:szCs w:val="20"/>
                <w:u w:val="single"/>
                <w:lang w:val="en-GB"/>
              </w:rPr>
              <w:t>p.o.</w:t>
            </w:r>
            <w:proofErr w:type="spellEnd"/>
            <w:r w:rsidRPr="00AD70DE">
              <w:rPr>
                <w:b/>
                <w:sz w:val="20"/>
                <w:szCs w:val="20"/>
                <w:u w:val="single"/>
                <w:lang w:val="en-GB"/>
              </w:rPr>
              <w:t>:</w:t>
            </w:r>
          </w:p>
        </w:tc>
        <w:tc>
          <w:tcPr>
            <w:tcW w:w="541" w:type="pct"/>
            <w:tcBorders>
              <w:right w:val="double" w:sz="4" w:space="0" w:color="auto"/>
            </w:tcBorders>
          </w:tcPr>
          <w:p w:rsidR="009C32E7" w:rsidRPr="00AD70DE" w:rsidRDefault="009C32E7" w:rsidP="00AD70DE">
            <w:pPr>
              <w:jc w:val="center"/>
              <w:rPr>
                <w:sz w:val="20"/>
                <w:szCs w:val="20"/>
                <w:lang w:val="en-GB"/>
              </w:rPr>
            </w:pP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rPr>
            </w:pPr>
            <w:r w:rsidRPr="00AD70DE">
              <w:rPr>
                <w:sz w:val="20"/>
                <w:szCs w:val="20"/>
                <w:lang w:val="en-GB"/>
              </w:rPr>
              <w:tab/>
              <w:t xml:space="preserve">400 mg HCQ </w:t>
            </w:r>
            <w:r w:rsidRPr="00AD70DE">
              <w:rPr>
                <w:sz w:val="20"/>
                <w:szCs w:val="20"/>
              </w:rPr>
              <w:t xml:space="preserve"> </w:t>
            </w:r>
          </w:p>
        </w:tc>
        <w:tc>
          <w:tcPr>
            <w:tcW w:w="541" w:type="pct"/>
            <w:tcBorders>
              <w:right w:val="double" w:sz="4" w:space="0" w:color="auto"/>
            </w:tcBorders>
          </w:tcPr>
          <w:p w:rsidR="009C32E7" w:rsidRPr="00AD70DE" w:rsidRDefault="009C32E7" w:rsidP="00AD70DE">
            <w:pPr>
              <w:jc w:val="center"/>
              <w:rPr>
                <w:sz w:val="20"/>
                <w:szCs w:val="20"/>
              </w:rPr>
            </w:pPr>
          </w:p>
        </w:tc>
        <w:tc>
          <w:tcPr>
            <w:tcW w:w="385" w:type="pct"/>
            <w:tcBorders>
              <w:right w:val="dotted" w:sz="4" w:space="0" w:color="auto"/>
            </w:tcBorders>
          </w:tcPr>
          <w:p w:rsidR="009C32E7" w:rsidRPr="00AD70DE" w:rsidRDefault="009C32E7" w:rsidP="00AD70DE">
            <w:pPr>
              <w:jc w:val="center"/>
              <w:rPr>
                <w:sz w:val="20"/>
                <w:szCs w:val="20"/>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lang w:val="en-US"/>
              </w:rPr>
            </w:pPr>
            <w:r w:rsidRPr="00AD70DE">
              <w:rPr>
                <w:sz w:val="20"/>
                <w:szCs w:val="20"/>
                <w:lang w:val="en-GB"/>
              </w:rPr>
              <w:tab/>
              <w:t>40 mg pantoprazole</w:t>
            </w:r>
          </w:p>
        </w:tc>
        <w:tc>
          <w:tcPr>
            <w:tcW w:w="541" w:type="pct"/>
            <w:tcBorders>
              <w:right w:val="double" w:sz="4" w:space="0" w:color="auto"/>
            </w:tcBorders>
          </w:tcPr>
          <w:p w:rsidR="009C32E7" w:rsidRPr="00AD70DE" w:rsidRDefault="009C32E7" w:rsidP="00AD70DE">
            <w:pPr>
              <w:jc w:val="center"/>
              <w:rPr>
                <w:sz w:val="20"/>
                <w:szCs w:val="20"/>
                <w:lang w:val="en-US"/>
              </w:rPr>
            </w:pPr>
          </w:p>
        </w:tc>
        <w:tc>
          <w:tcPr>
            <w:tcW w:w="385" w:type="pct"/>
            <w:tcBorders>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lang w:val="en-GB"/>
              </w:rPr>
            </w:pPr>
            <w:r w:rsidRPr="00AD70DE">
              <w:rPr>
                <w:sz w:val="20"/>
                <w:szCs w:val="20"/>
                <w:lang w:val="en-GB"/>
              </w:rPr>
              <w:tab/>
              <w:t>30 µg midazolam</w:t>
            </w:r>
          </w:p>
        </w:tc>
        <w:tc>
          <w:tcPr>
            <w:tcW w:w="541" w:type="pct"/>
            <w:tcBorders>
              <w:right w:val="double" w:sz="4" w:space="0" w:color="auto"/>
            </w:tcBorders>
          </w:tcPr>
          <w:p w:rsidR="009C32E7" w:rsidRPr="00AD70DE" w:rsidRDefault="009C32E7" w:rsidP="00AD70DE">
            <w:pPr>
              <w:jc w:val="center"/>
              <w:rPr>
                <w:sz w:val="20"/>
                <w:szCs w:val="20"/>
                <w:lang w:val="en-GB"/>
              </w:rPr>
            </w:pPr>
          </w:p>
        </w:tc>
        <w:tc>
          <w:tcPr>
            <w:tcW w:w="385" w:type="pct"/>
            <w:tcBorders>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keepNext/>
              <w:keepLines/>
              <w:tabs>
                <w:tab w:val="left" w:pos="197"/>
              </w:tabs>
              <w:rPr>
                <w:sz w:val="20"/>
                <w:szCs w:val="20"/>
                <w:lang w:val="en-GB"/>
              </w:rPr>
            </w:pPr>
            <w:r w:rsidRPr="00AD70DE">
              <w:rPr>
                <w:sz w:val="20"/>
                <w:szCs w:val="20"/>
                <w:lang w:val="en-GB"/>
              </w:rPr>
              <w:tab/>
              <w:t>50</w:t>
            </w:r>
            <w:r w:rsidRPr="00AD70DE">
              <w:rPr>
                <w:sz w:val="16"/>
                <w:szCs w:val="16"/>
                <w:lang w:val="en-GB"/>
              </w:rPr>
              <w:t xml:space="preserve"> </w:t>
            </w:r>
            <w:r w:rsidRPr="00AD70DE">
              <w:rPr>
                <w:sz w:val="20"/>
                <w:szCs w:val="20"/>
                <w:lang w:val="en-GB"/>
              </w:rPr>
              <w:t>µg</w:t>
            </w:r>
            <w:r w:rsidRPr="00AD70DE">
              <w:rPr>
                <w:sz w:val="16"/>
                <w:szCs w:val="16"/>
                <w:lang w:val="en-GB"/>
              </w:rPr>
              <w:t xml:space="preserve"> </w:t>
            </w:r>
            <w:proofErr w:type="spellStart"/>
            <w:r w:rsidRPr="00AD70DE">
              <w:rPr>
                <w:sz w:val="20"/>
                <w:szCs w:val="20"/>
                <w:lang w:val="en-GB"/>
              </w:rPr>
              <w:t>yohimbine</w:t>
            </w:r>
            <w:proofErr w:type="spellEnd"/>
            <w:r w:rsidRPr="00AD70DE">
              <w:rPr>
                <w:sz w:val="16"/>
                <w:szCs w:val="16"/>
                <w:lang w:val="en-GB"/>
              </w:rPr>
              <w:t xml:space="preserve"> </w:t>
            </w:r>
            <w:r w:rsidRPr="00AD70DE">
              <w:rPr>
                <w:sz w:val="20"/>
                <w:szCs w:val="20"/>
                <w:lang w:val="en-GB"/>
              </w:rPr>
              <w:t>(2</w:t>
            </w:r>
            <w:r w:rsidRPr="00AD70DE">
              <w:rPr>
                <w:sz w:val="16"/>
                <w:szCs w:val="16"/>
                <w:lang w:val="en-GB"/>
              </w:rPr>
              <w:t xml:space="preserve"> </w:t>
            </w:r>
            <w:r w:rsidRPr="00AD70DE">
              <w:rPr>
                <w:sz w:val="20"/>
                <w:szCs w:val="20"/>
                <w:lang w:val="en-GB"/>
              </w:rPr>
              <w:t>x</w:t>
            </w:r>
            <w:r w:rsidRPr="00AD70DE">
              <w:rPr>
                <w:sz w:val="16"/>
                <w:szCs w:val="16"/>
                <w:lang w:val="en-GB"/>
              </w:rPr>
              <w:t xml:space="preserve"> </w:t>
            </w:r>
            <w:r w:rsidRPr="00AD70DE">
              <w:rPr>
                <w:sz w:val="20"/>
                <w:szCs w:val="20"/>
                <w:lang w:val="en-GB"/>
              </w:rPr>
              <w:t>25</w:t>
            </w:r>
            <w:r w:rsidRPr="00AD70DE">
              <w:rPr>
                <w:sz w:val="16"/>
                <w:szCs w:val="16"/>
                <w:lang w:val="en-GB"/>
              </w:rPr>
              <w:t xml:space="preserve"> </w:t>
            </w:r>
            <w:r w:rsidRPr="00AD70DE">
              <w:rPr>
                <w:sz w:val="20"/>
                <w:szCs w:val="20"/>
                <w:lang w:val="en-GB"/>
              </w:rPr>
              <w:t>µg)</w:t>
            </w:r>
          </w:p>
        </w:tc>
        <w:tc>
          <w:tcPr>
            <w:tcW w:w="541" w:type="pct"/>
            <w:tcBorders>
              <w:right w:val="double" w:sz="4" w:space="0" w:color="auto"/>
            </w:tcBorders>
          </w:tcPr>
          <w:p w:rsidR="009C32E7" w:rsidRPr="00AD70DE" w:rsidRDefault="009C32E7" w:rsidP="00AD70DE">
            <w:pPr>
              <w:jc w:val="center"/>
              <w:rPr>
                <w:sz w:val="20"/>
                <w:szCs w:val="20"/>
                <w:lang w:val="en-GB"/>
              </w:rPr>
            </w:pPr>
          </w:p>
        </w:tc>
        <w:tc>
          <w:tcPr>
            <w:tcW w:w="385" w:type="pct"/>
            <w:tcBorders>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tabs>
                <w:tab w:val="left" w:pos="197"/>
              </w:tabs>
              <w:rPr>
                <w:b/>
                <w:color w:val="000000"/>
                <w:sz w:val="20"/>
                <w:szCs w:val="20"/>
                <w:u w:val="single"/>
                <w:lang w:val="en-GB"/>
              </w:rPr>
            </w:pPr>
            <w:r w:rsidRPr="00AD70DE">
              <w:rPr>
                <w:b/>
                <w:color w:val="000000"/>
                <w:sz w:val="20"/>
                <w:szCs w:val="20"/>
                <w:u w:val="single"/>
                <w:lang w:val="en-GB"/>
              </w:rPr>
              <w:t>Blood collections:</w:t>
            </w:r>
          </w:p>
        </w:tc>
        <w:tc>
          <w:tcPr>
            <w:tcW w:w="541" w:type="pct"/>
            <w:tcBorders>
              <w:right w:val="double" w:sz="4" w:space="0" w:color="auto"/>
            </w:tcBorders>
          </w:tcPr>
          <w:p w:rsidR="009C32E7" w:rsidRPr="00AD70DE" w:rsidRDefault="009C32E7" w:rsidP="00AD70DE">
            <w:pPr>
              <w:jc w:val="center"/>
              <w:rPr>
                <w:sz w:val="20"/>
                <w:szCs w:val="20"/>
                <w:lang w:val="en-GB"/>
              </w:rPr>
            </w:pP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tabs>
                <w:tab w:val="left" w:pos="197"/>
              </w:tabs>
              <w:rPr>
                <w:color w:val="000000"/>
                <w:sz w:val="20"/>
                <w:szCs w:val="20"/>
                <w:vertAlign w:val="superscript"/>
                <w:lang w:val="en-GB"/>
              </w:rPr>
            </w:pPr>
            <w:r w:rsidRPr="00AD70DE">
              <w:rPr>
                <w:color w:val="000000"/>
                <w:sz w:val="20"/>
                <w:szCs w:val="20"/>
                <w:lang w:val="en-GB"/>
              </w:rPr>
              <w:tab/>
              <w:t>PK blood collection (HCQ)</w:t>
            </w:r>
            <w:r w:rsidRPr="00AD70DE">
              <w:rPr>
                <w:color w:val="000000"/>
                <w:sz w:val="20"/>
                <w:szCs w:val="20"/>
                <w:vertAlign w:val="superscript"/>
                <w:lang w:val="en-GB"/>
              </w:rPr>
              <w:t>3</w:t>
            </w:r>
          </w:p>
        </w:tc>
        <w:tc>
          <w:tcPr>
            <w:tcW w:w="541" w:type="pct"/>
            <w:tcBorders>
              <w:right w:val="double" w:sz="4" w:space="0" w:color="auto"/>
            </w:tcBorders>
          </w:tcPr>
          <w:p w:rsidR="009C32E7" w:rsidRPr="00AD70DE" w:rsidRDefault="009C32E7" w:rsidP="00AD70DE">
            <w:pPr>
              <w:jc w:val="center"/>
              <w:rPr>
                <w:sz w:val="20"/>
                <w:szCs w:val="20"/>
                <w:lang w:val="en-GB"/>
              </w:rPr>
            </w:pP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vertAlign w:val="superscript"/>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tabs>
                <w:tab w:val="left" w:pos="198"/>
              </w:tabs>
              <w:ind w:left="198" w:hanging="198"/>
              <w:rPr>
                <w:color w:val="000000"/>
                <w:sz w:val="20"/>
                <w:szCs w:val="20"/>
                <w:lang w:val="en-GB"/>
              </w:rPr>
            </w:pPr>
            <w:r w:rsidRPr="00AD70DE">
              <w:rPr>
                <w:color w:val="000000"/>
                <w:sz w:val="20"/>
                <w:szCs w:val="20"/>
                <w:lang w:val="en-GB"/>
              </w:rPr>
              <w:tab/>
              <w:t xml:space="preserve">PK plasma collection (midazolam, </w:t>
            </w:r>
            <w:proofErr w:type="spellStart"/>
            <w:r w:rsidRPr="00AD70DE">
              <w:rPr>
                <w:color w:val="000000"/>
                <w:sz w:val="20"/>
                <w:szCs w:val="20"/>
                <w:lang w:val="en-GB"/>
              </w:rPr>
              <w:t>yohimbine</w:t>
            </w:r>
            <w:proofErr w:type="spellEnd"/>
            <w:r w:rsidRPr="00AD70DE">
              <w:rPr>
                <w:color w:val="000000"/>
                <w:sz w:val="20"/>
                <w:szCs w:val="20"/>
                <w:lang w:val="en-GB"/>
              </w:rPr>
              <w:t>)</w:t>
            </w:r>
            <w:r w:rsidRPr="00AD70DE">
              <w:rPr>
                <w:color w:val="000000"/>
                <w:sz w:val="20"/>
                <w:szCs w:val="20"/>
                <w:vertAlign w:val="superscript"/>
                <w:lang w:val="en-GB"/>
              </w:rPr>
              <w:t>4</w:t>
            </w:r>
          </w:p>
        </w:tc>
        <w:tc>
          <w:tcPr>
            <w:tcW w:w="541" w:type="pct"/>
            <w:tcBorders>
              <w:right w:val="double" w:sz="4" w:space="0" w:color="auto"/>
            </w:tcBorders>
          </w:tcPr>
          <w:p w:rsidR="009C32E7" w:rsidRPr="00AD70DE" w:rsidRDefault="009C32E7" w:rsidP="00AD70DE">
            <w:pPr>
              <w:jc w:val="center"/>
              <w:rPr>
                <w:sz w:val="20"/>
                <w:szCs w:val="20"/>
                <w:lang w:val="en-GB"/>
              </w:rPr>
            </w:pPr>
          </w:p>
        </w:tc>
        <w:tc>
          <w:tcPr>
            <w:tcW w:w="385" w:type="pct"/>
            <w:tcBorders>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r w:rsidR="009C32E7" w:rsidRPr="00AD70DE" w:rsidTr="008355A9">
        <w:trPr>
          <w:trHeight w:val="404"/>
        </w:trPr>
        <w:tc>
          <w:tcPr>
            <w:tcW w:w="1384" w:type="pct"/>
            <w:tcBorders>
              <w:right w:val="double" w:sz="4" w:space="0" w:color="auto"/>
            </w:tcBorders>
          </w:tcPr>
          <w:p w:rsidR="009C32E7" w:rsidRPr="00AD70DE" w:rsidRDefault="009C32E7" w:rsidP="00AD70DE">
            <w:pPr>
              <w:tabs>
                <w:tab w:val="left" w:pos="197"/>
              </w:tabs>
              <w:rPr>
                <w:color w:val="000000"/>
                <w:sz w:val="20"/>
                <w:szCs w:val="20"/>
                <w:vertAlign w:val="superscript"/>
                <w:lang w:val="en-GB"/>
              </w:rPr>
            </w:pPr>
            <w:r w:rsidRPr="00AD70DE">
              <w:rPr>
                <w:color w:val="000000"/>
                <w:sz w:val="20"/>
                <w:szCs w:val="20"/>
                <w:lang w:val="en-GB"/>
              </w:rPr>
              <w:tab/>
              <w:t>PBMC</w:t>
            </w:r>
            <w:r w:rsidRPr="00AD70DE">
              <w:rPr>
                <w:sz w:val="20"/>
                <w:szCs w:val="20"/>
                <w:vertAlign w:val="superscript"/>
                <w:lang w:val="en-GB"/>
              </w:rPr>
              <w:t>5</w:t>
            </w:r>
          </w:p>
        </w:tc>
        <w:tc>
          <w:tcPr>
            <w:tcW w:w="541" w:type="pct"/>
            <w:tcBorders>
              <w:right w:val="double" w:sz="4" w:space="0" w:color="auto"/>
            </w:tcBorders>
          </w:tcPr>
          <w:p w:rsidR="009C32E7" w:rsidRPr="00AD70DE" w:rsidRDefault="009C32E7" w:rsidP="00AD70DE">
            <w:pPr>
              <w:jc w:val="center"/>
              <w:rPr>
                <w:sz w:val="20"/>
                <w:szCs w:val="20"/>
                <w:lang w:val="en-GB"/>
              </w:rPr>
            </w:pPr>
          </w:p>
        </w:tc>
        <w:tc>
          <w:tcPr>
            <w:tcW w:w="385" w:type="pct"/>
            <w:tcBorders>
              <w:right w:val="dotted" w:sz="4" w:space="0" w:color="auto"/>
            </w:tcBorders>
          </w:tcPr>
          <w:p w:rsidR="009C32E7" w:rsidRPr="00AD70DE" w:rsidRDefault="009C32E7" w:rsidP="00AD70DE">
            <w:pPr>
              <w:jc w:val="center"/>
              <w:rPr>
                <w:sz w:val="20"/>
                <w:szCs w:val="20"/>
                <w:lang w:val="en-GB"/>
              </w:rPr>
            </w:pPr>
          </w:p>
        </w:tc>
        <w:tc>
          <w:tcPr>
            <w:tcW w:w="385" w:type="pct"/>
            <w:tcBorders>
              <w:left w:val="dotted" w:sz="4" w:space="0" w:color="auto"/>
              <w:right w:val="dotted" w:sz="4" w:space="0" w:color="auto"/>
            </w:tcBorders>
          </w:tcPr>
          <w:p w:rsidR="009C32E7" w:rsidRPr="00AD70DE" w:rsidRDefault="009C32E7" w:rsidP="00AD70DE">
            <w:pPr>
              <w:jc w:val="center"/>
              <w:rPr>
                <w:sz w:val="20"/>
                <w:szCs w:val="20"/>
                <w:vertAlign w:val="superscript"/>
                <w:lang w:val="en-GB"/>
              </w:rPr>
            </w:pPr>
            <w:r w:rsidRPr="00AD70DE">
              <w:rPr>
                <w:sz w:val="20"/>
                <w:szCs w:val="20"/>
                <w:lang w:val="en-GB"/>
              </w:rPr>
              <w:t>x</w:t>
            </w: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r w:rsidRPr="00AD70DE">
              <w:rPr>
                <w:sz w:val="20"/>
                <w:szCs w:val="20"/>
                <w:lang w:val="en-GB"/>
              </w:rPr>
              <w:t>x</w:t>
            </w:r>
          </w:p>
        </w:tc>
        <w:tc>
          <w:tcPr>
            <w:tcW w:w="385"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386" w:type="pct"/>
            <w:tcBorders>
              <w:left w:val="dotted" w:sz="4" w:space="0" w:color="auto"/>
              <w:right w:val="dotted" w:sz="4" w:space="0" w:color="auto"/>
            </w:tcBorders>
          </w:tcPr>
          <w:p w:rsidR="009C32E7" w:rsidRPr="00AD70DE" w:rsidRDefault="009C32E7" w:rsidP="00AD70DE">
            <w:pPr>
              <w:jc w:val="center"/>
              <w:rPr>
                <w:sz w:val="20"/>
                <w:szCs w:val="20"/>
                <w:lang w:val="en-GB"/>
              </w:rPr>
            </w:pPr>
          </w:p>
        </w:tc>
        <w:tc>
          <w:tcPr>
            <w:tcW w:w="538" w:type="pct"/>
          </w:tcPr>
          <w:p w:rsidR="009C32E7" w:rsidRPr="00AD70DE" w:rsidRDefault="009C32E7" w:rsidP="00AD70DE">
            <w:pPr>
              <w:jc w:val="center"/>
              <w:rPr>
                <w:sz w:val="20"/>
                <w:szCs w:val="20"/>
                <w:lang w:val="en-GB"/>
              </w:rPr>
            </w:pPr>
          </w:p>
        </w:tc>
        <w:tc>
          <w:tcPr>
            <w:tcW w:w="610" w:type="pct"/>
          </w:tcPr>
          <w:p w:rsidR="009C32E7" w:rsidRPr="00AD70DE" w:rsidRDefault="009C32E7" w:rsidP="00AD70DE">
            <w:pPr>
              <w:jc w:val="center"/>
              <w:rPr>
                <w:sz w:val="20"/>
                <w:szCs w:val="20"/>
                <w:lang w:val="en-GB"/>
              </w:rPr>
            </w:pPr>
          </w:p>
        </w:tc>
      </w:tr>
    </w:tbl>
    <w:p w:rsidR="009C32E7" w:rsidRPr="00AD70DE" w:rsidRDefault="009C32E7" w:rsidP="00AD70DE">
      <w:pPr>
        <w:rPr>
          <w:sz w:val="18"/>
          <w:szCs w:val="18"/>
          <w:lang w:val="en-GB"/>
        </w:rPr>
      </w:pPr>
      <w:proofErr w:type="gramStart"/>
      <w:r w:rsidRPr="00AD70DE">
        <w:rPr>
          <w:sz w:val="18"/>
          <w:szCs w:val="18"/>
          <w:lang w:val="en-GB"/>
        </w:rPr>
        <w:t xml:space="preserve">EOT end-of-trial visit, HCV hepatitis C virus, HIV human immunodeficiency virus, PBMC peripheral blood mononuclear cells, PK pharmacokinetics, </w:t>
      </w:r>
      <w:proofErr w:type="spellStart"/>
      <w:r w:rsidRPr="00AD70DE">
        <w:rPr>
          <w:sz w:val="18"/>
          <w:szCs w:val="18"/>
          <w:lang w:val="en-GB"/>
        </w:rPr>
        <w:t>p.o.</w:t>
      </w:r>
      <w:proofErr w:type="spellEnd"/>
      <w:r w:rsidRPr="00AD70DE">
        <w:rPr>
          <w:sz w:val="18"/>
          <w:szCs w:val="18"/>
          <w:lang w:val="en-GB"/>
        </w:rPr>
        <w:t xml:space="preserve"> per </w:t>
      </w:r>
      <w:proofErr w:type="spellStart"/>
      <w:r w:rsidRPr="00AD70DE">
        <w:rPr>
          <w:sz w:val="18"/>
          <w:szCs w:val="18"/>
          <w:lang w:val="en-GB"/>
        </w:rPr>
        <w:t>os</w:t>
      </w:r>
      <w:proofErr w:type="spellEnd"/>
      <w:r w:rsidRPr="00AD70DE">
        <w:rPr>
          <w:sz w:val="18"/>
          <w:szCs w:val="18"/>
          <w:lang w:val="en-GB"/>
        </w:rPr>
        <w:t>/oral intake.</w:t>
      </w:r>
      <w:proofErr w:type="gramEnd"/>
    </w:p>
    <w:p w:rsidR="009C32E7" w:rsidRPr="00AD70DE" w:rsidRDefault="009C32E7" w:rsidP="00AD70DE">
      <w:pPr>
        <w:tabs>
          <w:tab w:val="left" w:pos="426"/>
        </w:tabs>
        <w:spacing w:after="0" w:line="240" w:lineRule="auto"/>
        <w:ind w:left="426" w:hanging="426"/>
        <w:rPr>
          <w:color w:val="000000"/>
          <w:sz w:val="18"/>
          <w:szCs w:val="18"/>
          <w:lang w:val="en-GB"/>
        </w:rPr>
      </w:pPr>
      <w:r w:rsidRPr="00AD70DE">
        <w:rPr>
          <w:sz w:val="18"/>
          <w:szCs w:val="18"/>
          <w:lang w:val="en-GB"/>
        </w:rPr>
        <w:t xml:space="preserve">1: </w:t>
      </w:r>
      <w:r w:rsidRPr="00AD70DE">
        <w:rPr>
          <w:sz w:val="18"/>
          <w:szCs w:val="18"/>
          <w:lang w:val="en-GB"/>
        </w:rPr>
        <w:tab/>
      </w:r>
      <w:r w:rsidRPr="00AD70DE">
        <w:rPr>
          <w:rFonts w:cs="Times"/>
          <w:color w:val="000000"/>
          <w:sz w:val="18"/>
          <w:szCs w:val="18"/>
          <w:lang w:val="en-GB" w:eastAsia="de-DE"/>
        </w:rPr>
        <w:t xml:space="preserve">Red blood-cell count, haematocrit, haemoglobin, white blood-cell count with differentials (neutrophils, eosinophils, basophils, monocytes and lymphocytes), platelets. </w:t>
      </w:r>
      <w:proofErr w:type="gramStart"/>
      <w:r w:rsidRPr="00AD70DE">
        <w:rPr>
          <w:rFonts w:cs="Times"/>
          <w:color w:val="000000"/>
          <w:sz w:val="18"/>
          <w:szCs w:val="18"/>
          <w:lang w:val="en-GB" w:eastAsia="de-DE"/>
        </w:rPr>
        <w:t xml:space="preserve">Electrolytes (sodium, potassium, calcium, chloride, phosphate), aspartate aminotransferase, alanine aminotransferase, alkaline phosphatase, </w:t>
      </w:r>
      <w:r w:rsidRPr="00AD70DE">
        <w:rPr>
          <w:rFonts w:cs="Calibri"/>
          <w:color w:val="000000"/>
          <w:sz w:val="18"/>
          <w:szCs w:val="18"/>
          <w:lang w:val="en-GB"/>
        </w:rPr>
        <w:t>gamma-</w:t>
      </w:r>
      <w:proofErr w:type="spellStart"/>
      <w:r w:rsidRPr="00AD70DE">
        <w:rPr>
          <w:rFonts w:cs="Calibri"/>
          <w:color w:val="000000"/>
          <w:sz w:val="18"/>
          <w:szCs w:val="18"/>
          <w:lang w:val="en-GB"/>
        </w:rPr>
        <w:t>glutamyltranspeptidase</w:t>
      </w:r>
      <w:proofErr w:type="spellEnd"/>
      <w:r w:rsidRPr="00AD70DE">
        <w:rPr>
          <w:rFonts w:cs="Times"/>
          <w:color w:val="000000"/>
          <w:sz w:val="18"/>
          <w:szCs w:val="18"/>
          <w:lang w:val="en-GB" w:eastAsia="de-DE"/>
        </w:rPr>
        <w:t xml:space="preserve">, </w:t>
      </w:r>
      <w:proofErr w:type="spellStart"/>
      <w:r w:rsidRPr="00AD70DE">
        <w:rPr>
          <w:rFonts w:cs="Times"/>
          <w:color w:val="000000"/>
          <w:sz w:val="18"/>
          <w:szCs w:val="18"/>
          <w:lang w:val="en-GB" w:eastAsia="de-DE"/>
        </w:rPr>
        <w:t>creatine</w:t>
      </w:r>
      <w:proofErr w:type="spellEnd"/>
      <w:r w:rsidRPr="00AD70DE">
        <w:rPr>
          <w:rFonts w:cs="Times"/>
          <w:color w:val="000000"/>
          <w:sz w:val="18"/>
          <w:szCs w:val="18"/>
          <w:lang w:val="en-GB" w:eastAsia="de-DE"/>
        </w:rPr>
        <w:t xml:space="preserve"> kinase, troponin T, total bilirubin, creatinine, creatinine clearance (Cockcroft-Gault), total protein, albumin, lipase, and blood glucose.</w:t>
      </w:r>
      <w:proofErr w:type="gramEnd"/>
      <w:r w:rsidRPr="00AD70DE">
        <w:rPr>
          <w:color w:val="000000"/>
          <w:sz w:val="18"/>
          <w:szCs w:val="18"/>
          <w:lang w:val="en-GB"/>
        </w:rPr>
        <w:t xml:space="preserve"> </w:t>
      </w:r>
      <w:r w:rsidRPr="00AD70DE">
        <w:rPr>
          <w:color w:val="000000"/>
          <w:sz w:val="18"/>
          <w:szCs w:val="18"/>
          <w:lang w:val="en-GB"/>
        </w:rPr>
        <w:br/>
      </w:r>
      <w:r w:rsidRPr="00AD70DE">
        <w:rPr>
          <w:rFonts w:cs="Calibri"/>
          <w:color w:val="000000"/>
          <w:sz w:val="18"/>
          <w:szCs w:val="18"/>
          <w:lang w:val="en-GB"/>
        </w:rPr>
        <w:t xml:space="preserve">International normalized </w:t>
      </w:r>
      <w:proofErr w:type="gramStart"/>
      <w:r w:rsidRPr="00AD70DE">
        <w:rPr>
          <w:rFonts w:cs="Calibri"/>
          <w:color w:val="000000"/>
          <w:sz w:val="18"/>
          <w:szCs w:val="18"/>
          <w:lang w:val="en-GB"/>
        </w:rPr>
        <w:t>ratio</w:t>
      </w:r>
      <w:r w:rsidRPr="00AD70DE">
        <w:rPr>
          <w:color w:val="000000"/>
          <w:sz w:val="18"/>
          <w:szCs w:val="18"/>
          <w:lang w:val="en-GB"/>
        </w:rPr>
        <w:t>,</w:t>
      </w:r>
      <w:proofErr w:type="gramEnd"/>
      <w:r w:rsidRPr="00AD70DE">
        <w:rPr>
          <w:color w:val="000000"/>
          <w:sz w:val="18"/>
          <w:szCs w:val="18"/>
          <w:lang w:val="en-GB"/>
        </w:rPr>
        <w:t xml:space="preserve"> </w:t>
      </w:r>
      <w:r w:rsidRPr="00AD70DE">
        <w:rPr>
          <w:rFonts w:cs="Calibri"/>
          <w:color w:val="000000"/>
          <w:sz w:val="18"/>
          <w:szCs w:val="18"/>
          <w:lang w:val="en-GB"/>
        </w:rPr>
        <w:t>activated partial thromboplastin time.</w:t>
      </w:r>
      <w:r w:rsidRPr="00AD70DE">
        <w:rPr>
          <w:sz w:val="18"/>
          <w:szCs w:val="18"/>
          <w:lang w:val="en-GB"/>
        </w:rPr>
        <w:tab/>
      </w:r>
    </w:p>
    <w:p w:rsidR="009C32E7" w:rsidRPr="00AD70DE" w:rsidRDefault="009C32E7" w:rsidP="00AD70DE">
      <w:pPr>
        <w:tabs>
          <w:tab w:val="left" w:pos="426"/>
        </w:tabs>
        <w:spacing w:after="0" w:line="240" w:lineRule="auto"/>
        <w:ind w:left="426" w:hanging="426"/>
        <w:rPr>
          <w:sz w:val="18"/>
          <w:szCs w:val="18"/>
          <w:lang w:val="en-GB"/>
        </w:rPr>
      </w:pPr>
      <w:r w:rsidRPr="00AD70DE">
        <w:rPr>
          <w:sz w:val="18"/>
          <w:szCs w:val="18"/>
          <w:lang w:val="en-GB"/>
        </w:rPr>
        <w:t xml:space="preserve">2: </w:t>
      </w:r>
      <w:r w:rsidRPr="00AD70DE">
        <w:rPr>
          <w:sz w:val="18"/>
          <w:szCs w:val="18"/>
          <w:lang w:val="en-GB"/>
        </w:rPr>
        <w:tab/>
        <w:t xml:space="preserve">Predose, q3 h on V1 and V2. </w:t>
      </w:r>
    </w:p>
    <w:p w:rsidR="009C32E7" w:rsidRPr="00AD70DE" w:rsidRDefault="009C32E7" w:rsidP="00AD70DE">
      <w:pPr>
        <w:tabs>
          <w:tab w:val="left" w:pos="426"/>
        </w:tabs>
        <w:spacing w:after="0" w:line="240" w:lineRule="auto"/>
        <w:ind w:left="426" w:hanging="426"/>
        <w:rPr>
          <w:sz w:val="18"/>
          <w:szCs w:val="18"/>
          <w:lang w:val="en-GB"/>
        </w:rPr>
      </w:pPr>
      <w:r w:rsidRPr="00AD70DE">
        <w:rPr>
          <w:sz w:val="18"/>
          <w:szCs w:val="18"/>
          <w:lang w:val="en-GB"/>
        </w:rPr>
        <w:t>3</w:t>
      </w:r>
      <w:r w:rsidRPr="00AD70DE">
        <w:rPr>
          <w:sz w:val="18"/>
          <w:szCs w:val="18"/>
          <w:lang w:val="en-US"/>
        </w:rPr>
        <w:t xml:space="preserve">: </w:t>
      </w:r>
      <w:r w:rsidRPr="00AD70DE">
        <w:rPr>
          <w:sz w:val="18"/>
          <w:szCs w:val="18"/>
          <w:lang w:val="en-US"/>
        </w:rPr>
        <w:tab/>
      </w:r>
      <w:r w:rsidRPr="00AD70DE">
        <w:rPr>
          <w:sz w:val="18"/>
          <w:szCs w:val="18"/>
          <w:lang w:val="en-GB"/>
        </w:rPr>
        <w:t xml:space="preserve">V2: </w:t>
      </w:r>
      <w:r w:rsidRPr="00AD70DE">
        <w:rPr>
          <w:sz w:val="18"/>
          <w:szCs w:val="18"/>
          <w:lang w:val="en-US"/>
        </w:rPr>
        <w:t>predose, until 6 h post-dose: every 20 min; f</w:t>
      </w:r>
      <w:r w:rsidRPr="00AD70DE">
        <w:rPr>
          <w:sz w:val="18"/>
          <w:szCs w:val="18"/>
          <w:lang w:val="en-GB"/>
        </w:rPr>
        <w:t>rom 6-</w:t>
      </w:r>
      <w:r w:rsidR="000C3542" w:rsidRPr="00AD70DE">
        <w:rPr>
          <w:sz w:val="18"/>
          <w:szCs w:val="18"/>
          <w:lang w:val="en-GB"/>
        </w:rPr>
        <w:t>8</w:t>
      </w:r>
      <w:r w:rsidRPr="00AD70DE">
        <w:rPr>
          <w:sz w:val="18"/>
          <w:szCs w:val="18"/>
          <w:lang w:val="en-GB"/>
        </w:rPr>
        <w:t xml:space="preserve"> h post-dose: every 30 min</w:t>
      </w:r>
      <w:r w:rsidR="000C3542" w:rsidRPr="00AD70DE">
        <w:rPr>
          <w:sz w:val="18"/>
          <w:szCs w:val="18"/>
          <w:lang w:val="en-GB"/>
        </w:rPr>
        <w:t xml:space="preserve">; </w:t>
      </w:r>
      <w:r w:rsidR="000C3542" w:rsidRPr="00AD70DE">
        <w:rPr>
          <w:sz w:val="18"/>
          <w:szCs w:val="18"/>
          <w:lang w:val="en-US"/>
        </w:rPr>
        <w:t>f</w:t>
      </w:r>
      <w:r w:rsidR="000C3542" w:rsidRPr="00AD70DE">
        <w:rPr>
          <w:sz w:val="18"/>
          <w:szCs w:val="18"/>
          <w:lang w:val="en-GB"/>
        </w:rPr>
        <w:t xml:space="preserve">rom </w:t>
      </w:r>
      <w:r w:rsidR="000C3542" w:rsidRPr="00AD70DE">
        <w:rPr>
          <w:sz w:val="18"/>
          <w:szCs w:val="18"/>
          <w:lang w:val="en-GB"/>
        </w:rPr>
        <w:t>8</w:t>
      </w:r>
      <w:proofErr w:type="gramStart"/>
      <w:r w:rsidR="000C3542" w:rsidRPr="00AD70DE">
        <w:rPr>
          <w:sz w:val="18"/>
          <w:szCs w:val="18"/>
          <w:lang w:val="en-GB"/>
        </w:rPr>
        <w:t>,12</w:t>
      </w:r>
      <w:proofErr w:type="gramEnd"/>
      <w:r w:rsidR="000C3542" w:rsidRPr="00AD70DE">
        <w:rPr>
          <w:sz w:val="18"/>
          <w:szCs w:val="18"/>
          <w:lang w:val="en-GB"/>
        </w:rPr>
        <w:t xml:space="preserve"> h post-dose</w:t>
      </w:r>
      <w:r w:rsidR="000C3542" w:rsidRPr="00AD70DE">
        <w:rPr>
          <w:sz w:val="18"/>
          <w:szCs w:val="18"/>
          <w:lang w:val="en-GB"/>
        </w:rPr>
        <w:t>:</w:t>
      </w:r>
      <w:r w:rsidR="005541AA" w:rsidRPr="00AD70DE">
        <w:rPr>
          <w:sz w:val="18"/>
          <w:szCs w:val="18"/>
          <w:lang w:val="en-GB"/>
        </w:rPr>
        <w:t xml:space="preserve"> </w:t>
      </w:r>
      <w:r w:rsidR="000C3542" w:rsidRPr="00AD70DE">
        <w:rPr>
          <w:sz w:val="18"/>
          <w:szCs w:val="18"/>
          <w:lang w:val="en-GB"/>
        </w:rPr>
        <w:t>every hour</w:t>
      </w:r>
      <w:r w:rsidRPr="00AD70DE">
        <w:rPr>
          <w:sz w:val="18"/>
          <w:szCs w:val="18"/>
          <w:lang w:val="en-GB"/>
        </w:rPr>
        <w:t>. V3: 24 h and 36 h post-dose. V4: 48 h post-dose. V5: 72 h post-dose.</w:t>
      </w:r>
    </w:p>
    <w:p w:rsidR="009C32E7" w:rsidRPr="00AD70DE" w:rsidRDefault="009C32E7" w:rsidP="00AD70DE">
      <w:pPr>
        <w:tabs>
          <w:tab w:val="left" w:pos="426"/>
        </w:tabs>
        <w:spacing w:after="0" w:line="240" w:lineRule="auto"/>
        <w:rPr>
          <w:sz w:val="18"/>
          <w:szCs w:val="18"/>
          <w:lang w:val="en-GB"/>
        </w:rPr>
      </w:pPr>
      <w:r w:rsidRPr="00AD70DE">
        <w:rPr>
          <w:sz w:val="18"/>
          <w:szCs w:val="18"/>
          <w:lang w:val="en-GB"/>
        </w:rPr>
        <w:t>4:</w:t>
      </w:r>
      <w:r w:rsidRPr="00AD70DE">
        <w:rPr>
          <w:sz w:val="18"/>
          <w:szCs w:val="18"/>
          <w:lang w:val="en-GB"/>
        </w:rPr>
        <w:tab/>
        <w:t>V1, V2:</w:t>
      </w:r>
      <w:r w:rsidRPr="00AD70DE">
        <w:rPr>
          <w:lang w:val="en-US"/>
        </w:rPr>
        <w:t xml:space="preserve"> </w:t>
      </w:r>
      <w:r w:rsidRPr="00AD70DE">
        <w:rPr>
          <w:sz w:val="18"/>
          <w:szCs w:val="18"/>
          <w:lang w:val="en-US"/>
        </w:rPr>
        <w:t>predose, 0.5 h, 1 h, 2 h, 2.5 h, 3 h, 4 h, and 6 h</w:t>
      </w:r>
      <w:r w:rsidRPr="00AD70DE">
        <w:rPr>
          <w:sz w:val="18"/>
          <w:szCs w:val="18"/>
          <w:lang w:val="en-GB"/>
        </w:rPr>
        <w:t xml:space="preserve"> after administration.</w:t>
      </w:r>
    </w:p>
    <w:p w:rsidR="009C32E7" w:rsidRPr="00AD70DE" w:rsidRDefault="009C32E7" w:rsidP="00AD70DE">
      <w:pPr>
        <w:tabs>
          <w:tab w:val="left" w:pos="426"/>
        </w:tabs>
        <w:spacing w:after="0" w:line="240" w:lineRule="auto"/>
        <w:rPr>
          <w:sz w:val="18"/>
          <w:szCs w:val="18"/>
          <w:lang w:val="en-GB"/>
        </w:rPr>
      </w:pPr>
      <w:r w:rsidRPr="00AD70DE">
        <w:rPr>
          <w:sz w:val="18"/>
          <w:szCs w:val="18"/>
          <w:lang w:val="en-GB"/>
        </w:rPr>
        <w:t xml:space="preserve">5: </w:t>
      </w:r>
      <w:r w:rsidRPr="00AD70DE">
        <w:rPr>
          <w:sz w:val="18"/>
          <w:szCs w:val="18"/>
          <w:lang w:val="en-GB"/>
        </w:rPr>
        <w:tab/>
        <w:t>2 h, 4 h, and 24 h post-dose.</w:t>
      </w:r>
    </w:p>
    <w:p w:rsidR="009C32E7" w:rsidRPr="00AD70DE" w:rsidRDefault="009C32E7" w:rsidP="00AD70DE">
      <w:pPr>
        <w:tabs>
          <w:tab w:val="left" w:pos="426"/>
        </w:tabs>
        <w:spacing w:after="0" w:line="240" w:lineRule="auto"/>
        <w:rPr>
          <w:sz w:val="18"/>
          <w:szCs w:val="18"/>
          <w:lang w:val="en-GB"/>
        </w:rPr>
      </w:pPr>
    </w:p>
    <w:p w:rsidR="000C3542" w:rsidRPr="00AD70DE" w:rsidRDefault="000C3542" w:rsidP="00AD70DE">
      <w:pPr>
        <w:tabs>
          <w:tab w:val="left" w:pos="426"/>
        </w:tabs>
        <w:spacing w:after="0" w:line="240" w:lineRule="auto"/>
        <w:rPr>
          <w:color w:val="000000"/>
          <w:sz w:val="18"/>
          <w:szCs w:val="18"/>
          <w:lang w:val="en-GB"/>
        </w:rPr>
        <w:sectPr w:rsidR="000C3542" w:rsidRPr="00AD70DE" w:rsidSect="008355A9">
          <w:pgSz w:w="11906" w:h="16838" w:code="9"/>
          <w:pgMar w:top="1417" w:right="1417" w:bottom="1134" w:left="1417" w:header="708" w:footer="708" w:gutter="0"/>
          <w:pgBorders>
            <w:bottom w:val="single" w:sz="2" w:space="1" w:color="auto"/>
          </w:pgBorders>
          <w:cols w:space="708"/>
          <w:docGrid w:linePitch="360"/>
        </w:sectPr>
      </w:pPr>
    </w:p>
    <w:p w:rsidR="009C32E7" w:rsidRPr="00AD70DE" w:rsidRDefault="009C32E7" w:rsidP="00AD70DE">
      <w:pPr>
        <w:pStyle w:val="berschrift1"/>
        <w:spacing w:before="360" w:after="160"/>
      </w:pPr>
      <w:bookmarkStart w:id="103" w:name="_Toc504426846"/>
      <w:bookmarkStart w:id="104" w:name="_Toc504426852"/>
      <w:bookmarkStart w:id="105" w:name="_Toc508613691"/>
      <w:bookmarkStart w:id="106" w:name="_Toc508614043"/>
      <w:bookmarkStart w:id="107" w:name="_Toc508650325"/>
      <w:bookmarkStart w:id="108" w:name="_Toc508650697"/>
      <w:bookmarkStart w:id="109" w:name="_Toc508613696"/>
      <w:bookmarkStart w:id="110" w:name="_Toc508614048"/>
      <w:bookmarkStart w:id="111" w:name="_Toc508650330"/>
      <w:bookmarkStart w:id="112" w:name="_Toc508650702"/>
      <w:bookmarkStart w:id="113" w:name="_Toc508613703"/>
      <w:bookmarkStart w:id="114" w:name="_Toc508614055"/>
      <w:bookmarkStart w:id="115" w:name="_Toc508650337"/>
      <w:bookmarkStart w:id="116" w:name="_Toc508650709"/>
      <w:bookmarkStart w:id="117" w:name="_Toc508613704"/>
      <w:bookmarkStart w:id="118" w:name="_Toc508614056"/>
      <w:bookmarkStart w:id="119" w:name="_Toc508650338"/>
      <w:bookmarkStart w:id="120" w:name="_Toc508650710"/>
      <w:bookmarkStart w:id="121" w:name="_Toc508613705"/>
      <w:bookmarkStart w:id="122" w:name="_Toc508614057"/>
      <w:bookmarkStart w:id="123" w:name="_Toc508650339"/>
      <w:bookmarkStart w:id="124" w:name="_Toc508650711"/>
      <w:bookmarkStart w:id="125" w:name="_Toc508613706"/>
      <w:bookmarkStart w:id="126" w:name="_Toc508614058"/>
      <w:bookmarkStart w:id="127" w:name="_Toc508650340"/>
      <w:bookmarkStart w:id="128" w:name="_Toc508650712"/>
      <w:bookmarkStart w:id="129" w:name="_Toc508613708"/>
      <w:bookmarkStart w:id="130" w:name="_Toc508614060"/>
      <w:bookmarkStart w:id="131" w:name="_Toc508650342"/>
      <w:bookmarkStart w:id="132" w:name="_Toc508650714"/>
      <w:bookmarkStart w:id="133" w:name="_Toc508613709"/>
      <w:bookmarkStart w:id="134" w:name="_Toc508614061"/>
      <w:bookmarkStart w:id="135" w:name="_Toc508650343"/>
      <w:bookmarkStart w:id="136" w:name="_Toc508650715"/>
      <w:bookmarkStart w:id="137" w:name="_Toc508613710"/>
      <w:bookmarkStart w:id="138" w:name="_Toc508614062"/>
      <w:bookmarkStart w:id="139" w:name="_Toc508650344"/>
      <w:bookmarkStart w:id="140" w:name="_Toc508650716"/>
      <w:bookmarkStart w:id="141" w:name="_Toc508613711"/>
      <w:bookmarkStart w:id="142" w:name="_Toc508614063"/>
      <w:bookmarkStart w:id="143" w:name="_Toc508650345"/>
      <w:bookmarkStart w:id="144" w:name="_Toc508650717"/>
      <w:bookmarkStart w:id="145" w:name="_Toc508613712"/>
      <w:bookmarkStart w:id="146" w:name="_Toc508614064"/>
      <w:bookmarkStart w:id="147" w:name="_Toc508650346"/>
      <w:bookmarkStart w:id="148" w:name="_Toc508650718"/>
      <w:bookmarkStart w:id="149" w:name="_Toc508613713"/>
      <w:bookmarkStart w:id="150" w:name="_Toc508614065"/>
      <w:bookmarkStart w:id="151" w:name="_Toc508650347"/>
      <w:bookmarkStart w:id="152" w:name="_Toc508650719"/>
      <w:bookmarkStart w:id="153" w:name="_Toc508613714"/>
      <w:bookmarkStart w:id="154" w:name="_Toc508614066"/>
      <w:bookmarkStart w:id="155" w:name="_Toc508650348"/>
      <w:bookmarkStart w:id="156" w:name="_Toc508650720"/>
      <w:bookmarkStart w:id="157" w:name="_Toc508613715"/>
      <w:bookmarkStart w:id="158" w:name="_Toc508614067"/>
      <w:bookmarkStart w:id="159" w:name="_Toc508650349"/>
      <w:bookmarkStart w:id="160" w:name="_Toc508650721"/>
      <w:bookmarkStart w:id="161" w:name="_Toc508613716"/>
      <w:bookmarkStart w:id="162" w:name="_Toc508614068"/>
      <w:bookmarkStart w:id="163" w:name="_Toc508650350"/>
      <w:bookmarkStart w:id="164" w:name="_Toc508650722"/>
      <w:bookmarkStart w:id="165" w:name="_Toc508613717"/>
      <w:bookmarkStart w:id="166" w:name="_Toc508614069"/>
      <w:bookmarkStart w:id="167" w:name="_Toc508650351"/>
      <w:bookmarkStart w:id="168" w:name="_Toc508650723"/>
      <w:bookmarkStart w:id="169" w:name="_Toc508613718"/>
      <w:bookmarkStart w:id="170" w:name="_Toc508614070"/>
      <w:bookmarkStart w:id="171" w:name="_Toc508650352"/>
      <w:bookmarkStart w:id="172" w:name="_Toc508650724"/>
      <w:bookmarkStart w:id="173" w:name="_Toc508613719"/>
      <w:bookmarkStart w:id="174" w:name="_Toc508614071"/>
      <w:bookmarkStart w:id="175" w:name="_Toc508650353"/>
      <w:bookmarkStart w:id="176" w:name="_Toc508650725"/>
      <w:bookmarkStart w:id="177" w:name="_Toc508613720"/>
      <w:bookmarkStart w:id="178" w:name="_Toc508614072"/>
      <w:bookmarkStart w:id="179" w:name="_Toc508650354"/>
      <w:bookmarkStart w:id="180" w:name="_Toc508650726"/>
      <w:bookmarkStart w:id="181" w:name="_Toc508613721"/>
      <w:bookmarkStart w:id="182" w:name="_Toc508614073"/>
      <w:bookmarkStart w:id="183" w:name="_Toc508650355"/>
      <w:bookmarkStart w:id="184" w:name="_Toc508650727"/>
      <w:bookmarkStart w:id="185" w:name="_Toc508613723"/>
      <w:bookmarkStart w:id="186" w:name="_Toc508614075"/>
      <w:bookmarkStart w:id="187" w:name="_Toc508650357"/>
      <w:bookmarkStart w:id="188" w:name="_Toc508650729"/>
      <w:bookmarkStart w:id="189" w:name="_Toc508613724"/>
      <w:bookmarkStart w:id="190" w:name="_Toc508614076"/>
      <w:bookmarkStart w:id="191" w:name="_Toc508650358"/>
      <w:bookmarkStart w:id="192" w:name="_Toc508650730"/>
      <w:bookmarkStart w:id="193" w:name="_Toc508613726"/>
      <w:bookmarkStart w:id="194" w:name="_Toc508614078"/>
      <w:bookmarkStart w:id="195" w:name="_Toc508650360"/>
      <w:bookmarkStart w:id="196" w:name="_Toc508650732"/>
      <w:bookmarkStart w:id="197" w:name="_Toc508613728"/>
      <w:bookmarkStart w:id="198" w:name="_Toc508614080"/>
      <w:bookmarkStart w:id="199" w:name="_Toc508650362"/>
      <w:bookmarkStart w:id="200" w:name="_Toc508650734"/>
      <w:bookmarkStart w:id="201" w:name="_Toc508613732"/>
      <w:bookmarkStart w:id="202" w:name="_Toc508614084"/>
      <w:bookmarkStart w:id="203" w:name="_Toc508650366"/>
      <w:bookmarkStart w:id="204" w:name="_Toc508650738"/>
      <w:bookmarkStart w:id="205" w:name="_Toc508613733"/>
      <w:bookmarkStart w:id="206" w:name="_Toc508614085"/>
      <w:bookmarkStart w:id="207" w:name="_Toc508650367"/>
      <w:bookmarkStart w:id="208" w:name="_Toc508650739"/>
      <w:bookmarkStart w:id="209" w:name="_Toc508613734"/>
      <w:bookmarkStart w:id="210" w:name="_Toc508614086"/>
      <w:bookmarkStart w:id="211" w:name="_Toc508650368"/>
      <w:bookmarkStart w:id="212" w:name="_Toc508650740"/>
      <w:bookmarkStart w:id="213" w:name="_Toc508613735"/>
      <w:bookmarkStart w:id="214" w:name="_Toc508614087"/>
      <w:bookmarkStart w:id="215" w:name="_Toc508650369"/>
      <w:bookmarkStart w:id="216" w:name="_Toc508650741"/>
      <w:bookmarkStart w:id="217" w:name="_Toc508613736"/>
      <w:bookmarkStart w:id="218" w:name="_Toc508614088"/>
      <w:bookmarkStart w:id="219" w:name="_Toc508650370"/>
      <w:bookmarkStart w:id="220" w:name="_Toc508650742"/>
      <w:bookmarkStart w:id="221" w:name="_Toc508613739"/>
      <w:bookmarkStart w:id="222" w:name="_Toc508614091"/>
      <w:bookmarkStart w:id="223" w:name="_Toc508650373"/>
      <w:bookmarkStart w:id="224" w:name="_Toc508650745"/>
      <w:bookmarkStart w:id="225" w:name="_Toc508613740"/>
      <w:bookmarkStart w:id="226" w:name="_Toc508614092"/>
      <w:bookmarkStart w:id="227" w:name="_Toc508650374"/>
      <w:bookmarkStart w:id="228" w:name="_Toc508650746"/>
      <w:bookmarkStart w:id="229" w:name="_Toc508613741"/>
      <w:bookmarkStart w:id="230" w:name="_Toc508614093"/>
      <w:bookmarkStart w:id="231" w:name="_Toc508650375"/>
      <w:bookmarkStart w:id="232" w:name="_Toc508650747"/>
      <w:bookmarkStart w:id="233" w:name="_Toc508613742"/>
      <w:bookmarkStart w:id="234" w:name="_Toc508614094"/>
      <w:bookmarkStart w:id="235" w:name="_Toc508650376"/>
      <w:bookmarkStart w:id="236" w:name="_Toc508650748"/>
      <w:bookmarkStart w:id="237" w:name="_Toc508613744"/>
      <w:bookmarkStart w:id="238" w:name="_Toc508614096"/>
      <w:bookmarkStart w:id="239" w:name="_Toc508650378"/>
      <w:bookmarkStart w:id="240" w:name="_Toc508650750"/>
      <w:bookmarkStart w:id="241" w:name="_Toc508613746"/>
      <w:bookmarkStart w:id="242" w:name="_Toc508614098"/>
      <w:bookmarkStart w:id="243" w:name="_Toc508650380"/>
      <w:bookmarkStart w:id="244" w:name="_Toc508650752"/>
      <w:bookmarkStart w:id="245" w:name="_Toc508613755"/>
      <w:bookmarkStart w:id="246" w:name="_Toc508614107"/>
      <w:bookmarkStart w:id="247" w:name="_Toc508650389"/>
      <w:bookmarkStart w:id="248" w:name="_Toc508650761"/>
      <w:bookmarkStart w:id="249" w:name="_Toc508613824"/>
      <w:bookmarkStart w:id="250" w:name="_Toc508614176"/>
      <w:bookmarkStart w:id="251" w:name="_Toc508650458"/>
      <w:bookmarkStart w:id="252" w:name="_Toc508650830"/>
      <w:bookmarkStart w:id="253" w:name="_Toc508613825"/>
      <w:bookmarkStart w:id="254" w:name="_Toc508614177"/>
      <w:bookmarkStart w:id="255" w:name="_Toc508650459"/>
      <w:bookmarkStart w:id="256" w:name="_Toc508650831"/>
      <w:bookmarkStart w:id="257" w:name="_Toc508613826"/>
      <w:bookmarkStart w:id="258" w:name="_Toc508614178"/>
      <w:bookmarkStart w:id="259" w:name="_Toc508650460"/>
      <w:bookmarkStart w:id="260" w:name="_Toc508650832"/>
      <w:bookmarkStart w:id="261" w:name="_Toc508613827"/>
      <w:bookmarkStart w:id="262" w:name="_Toc508614179"/>
      <w:bookmarkStart w:id="263" w:name="_Toc508650461"/>
      <w:bookmarkStart w:id="264" w:name="_Toc508650833"/>
      <w:bookmarkStart w:id="265" w:name="_Toc508613836"/>
      <w:bookmarkStart w:id="266" w:name="_Toc508614188"/>
      <w:bookmarkStart w:id="267" w:name="_Toc508650470"/>
      <w:bookmarkStart w:id="268" w:name="_Toc508650842"/>
      <w:bookmarkStart w:id="269" w:name="_Toc508613878"/>
      <w:bookmarkStart w:id="270" w:name="_Toc508614230"/>
      <w:bookmarkStart w:id="271" w:name="_Toc508650512"/>
      <w:bookmarkStart w:id="272" w:name="_Toc508650884"/>
      <w:bookmarkStart w:id="273" w:name="_Toc508613879"/>
      <w:bookmarkStart w:id="274" w:name="_Toc508614231"/>
      <w:bookmarkStart w:id="275" w:name="_Toc508650513"/>
      <w:bookmarkStart w:id="276" w:name="_Toc508650885"/>
      <w:bookmarkStart w:id="277" w:name="_Toc508613880"/>
      <w:bookmarkStart w:id="278" w:name="_Toc508614232"/>
      <w:bookmarkStart w:id="279" w:name="_Toc508650514"/>
      <w:bookmarkStart w:id="280" w:name="_Toc508650886"/>
      <w:bookmarkStart w:id="281" w:name="_Toc508613884"/>
      <w:bookmarkStart w:id="282" w:name="_Toc508614236"/>
      <w:bookmarkStart w:id="283" w:name="_Toc508650518"/>
      <w:bookmarkStart w:id="284" w:name="_Toc508650890"/>
      <w:bookmarkStart w:id="285" w:name="_Toc508613887"/>
      <w:bookmarkStart w:id="286" w:name="_Toc508614239"/>
      <w:bookmarkStart w:id="287" w:name="_Toc508650521"/>
      <w:bookmarkStart w:id="288" w:name="_Toc508650893"/>
      <w:bookmarkStart w:id="289" w:name="_Toc508613892"/>
      <w:bookmarkStart w:id="290" w:name="_Toc508614244"/>
      <w:bookmarkStart w:id="291" w:name="_Toc508650526"/>
      <w:bookmarkStart w:id="292" w:name="_Toc508650898"/>
      <w:bookmarkStart w:id="293" w:name="_Toc508613893"/>
      <w:bookmarkStart w:id="294" w:name="_Toc508614245"/>
      <w:bookmarkStart w:id="295" w:name="_Toc508650527"/>
      <w:bookmarkStart w:id="296" w:name="_Toc508650899"/>
      <w:bookmarkStart w:id="297" w:name="_Toc508613894"/>
      <w:bookmarkStart w:id="298" w:name="_Toc508614246"/>
      <w:bookmarkStart w:id="299" w:name="_Toc508650528"/>
      <w:bookmarkStart w:id="300" w:name="_Toc508650900"/>
      <w:bookmarkStart w:id="301" w:name="_Toc508613897"/>
      <w:bookmarkStart w:id="302" w:name="_Toc508614249"/>
      <w:bookmarkStart w:id="303" w:name="_Toc508650531"/>
      <w:bookmarkStart w:id="304" w:name="_Toc508650903"/>
      <w:bookmarkStart w:id="305" w:name="_Toc508613946"/>
      <w:bookmarkStart w:id="306" w:name="_Toc508614298"/>
      <w:bookmarkStart w:id="307" w:name="_Toc508650580"/>
      <w:bookmarkStart w:id="308" w:name="_Toc508650952"/>
      <w:bookmarkStart w:id="309" w:name="_Toc508613948"/>
      <w:bookmarkStart w:id="310" w:name="_Toc508614300"/>
      <w:bookmarkStart w:id="311" w:name="_Toc508650582"/>
      <w:bookmarkStart w:id="312" w:name="_Toc508650954"/>
      <w:bookmarkStart w:id="313" w:name="_Toc466900204"/>
      <w:bookmarkStart w:id="314" w:name="_Toc466902798"/>
      <w:bookmarkStart w:id="315" w:name="_Toc466907305"/>
      <w:bookmarkStart w:id="316" w:name="_Toc508650602"/>
      <w:bookmarkStart w:id="317" w:name="_Toc508650973"/>
      <w:bookmarkStart w:id="318" w:name="_Toc508650603"/>
      <w:bookmarkStart w:id="319" w:name="_Toc508650974"/>
      <w:bookmarkStart w:id="320" w:name="_Toc508650604"/>
      <w:bookmarkStart w:id="321" w:name="_Toc508650975"/>
      <w:bookmarkStart w:id="322" w:name="_Toc508650605"/>
      <w:bookmarkStart w:id="323" w:name="_Toc508650976"/>
      <w:bookmarkStart w:id="324" w:name="_Toc508650606"/>
      <w:bookmarkStart w:id="325" w:name="_Toc508650977"/>
      <w:bookmarkStart w:id="326" w:name="_Toc508650607"/>
      <w:bookmarkStart w:id="327" w:name="_Toc508650978"/>
      <w:bookmarkStart w:id="328" w:name="_Toc508650608"/>
      <w:bookmarkStart w:id="329" w:name="_Toc508650979"/>
      <w:bookmarkStart w:id="330" w:name="_Toc508650609"/>
      <w:bookmarkStart w:id="331" w:name="_Toc508650980"/>
      <w:bookmarkStart w:id="332" w:name="_Toc508650610"/>
      <w:bookmarkStart w:id="333" w:name="_Toc508650981"/>
      <w:bookmarkStart w:id="334" w:name="_Toc256002308"/>
      <w:bookmarkStart w:id="335" w:name="_Toc256002211"/>
      <w:bookmarkStart w:id="336" w:name="_Toc256002114"/>
      <w:bookmarkStart w:id="337" w:name="_Toc256002017"/>
      <w:bookmarkStart w:id="338" w:name="_Toc256001838"/>
      <w:bookmarkStart w:id="339" w:name="_Toc256001580"/>
      <w:bookmarkStart w:id="340" w:name="_Toc256001361"/>
      <w:bookmarkStart w:id="341" w:name="_Toc256001114"/>
      <w:bookmarkStart w:id="342" w:name="_Toc256000882"/>
      <w:bookmarkStart w:id="343" w:name="_Toc256000604"/>
      <w:bookmarkStart w:id="344" w:name="_Toc256000328"/>
      <w:bookmarkStart w:id="345" w:name="_Toc256000019"/>
      <w:bookmarkStart w:id="346" w:name="_Toc256000052"/>
      <w:bookmarkStart w:id="347" w:name="_Toc256001897"/>
      <w:bookmarkStart w:id="348" w:name="_Toc256001805"/>
      <w:bookmarkStart w:id="349" w:name="_Toc256001713"/>
      <w:bookmarkStart w:id="350" w:name="_Toc256001621"/>
      <w:bookmarkStart w:id="351" w:name="_Toc256001529"/>
      <w:bookmarkStart w:id="352" w:name="_Toc256001437"/>
      <w:bookmarkStart w:id="353" w:name="_Toc256001345"/>
      <w:bookmarkStart w:id="354" w:name="_Toc256001253"/>
      <w:bookmarkStart w:id="355" w:name="_Toc256001161"/>
      <w:bookmarkStart w:id="356" w:name="_Toc256001069"/>
      <w:bookmarkStart w:id="357" w:name="_Toc256000977"/>
      <w:bookmarkStart w:id="358" w:name="_Toc256000885"/>
      <w:bookmarkStart w:id="359" w:name="_Toc256000793"/>
      <w:bookmarkStart w:id="360" w:name="_Toc256000701"/>
      <w:bookmarkStart w:id="361" w:name="_Toc256000609"/>
      <w:bookmarkStart w:id="362" w:name="_Toc256000517"/>
      <w:bookmarkStart w:id="363" w:name="_Toc256000425"/>
      <w:bookmarkStart w:id="364" w:name="_Toc256000333"/>
      <w:bookmarkStart w:id="365" w:name="_Toc256000241"/>
      <w:bookmarkStart w:id="366" w:name="_Toc256000007"/>
      <w:bookmarkStart w:id="367" w:name="_Toc455594064"/>
      <w:bookmarkStart w:id="368" w:name="_Toc461443254"/>
      <w:bookmarkStart w:id="369" w:name="_Toc469498868"/>
      <w:bookmarkStart w:id="370" w:name="_Toc491340313"/>
      <w:bookmarkStart w:id="371" w:name="_Toc9613116"/>
      <w:bookmarkStart w:id="372" w:name="_Toc37173012"/>
      <w:bookmarkStart w:id="373" w:name="_Toc37243404"/>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sidRPr="00AD70DE">
        <w:t>Introduction</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9C32E7" w:rsidRPr="00AD70DE" w:rsidRDefault="009C32E7" w:rsidP="00AD70DE">
      <w:pPr>
        <w:pStyle w:val="berschrift2"/>
        <w:spacing w:before="240"/>
        <w:ind w:left="567" w:hanging="567"/>
        <w:rPr>
          <w:color w:val="auto"/>
        </w:rPr>
      </w:pPr>
      <w:bookmarkStart w:id="374" w:name="_Toc256002309"/>
      <w:bookmarkStart w:id="375" w:name="_Toc256002212"/>
      <w:bookmarkStart w:id="376" w:name="_Toc256002115"/>
      <w:bookmarkStart w:id="377" w:name="_Toc256002018"/>
      <w:bookmarkStart w:id="378" w:name="_Toc256001839"/>
      <w:bookmarkStart w:id="379" w:name="_Toc256001581"/>
      <w:bookmarkStart w:id="380" w:name="_Toc256001363"/>
      <w:bookmarkStart w:id="381" w:name="_Toc256001115"/>
      <w:bookmarkStart w:id="382" w:name="_Toc256000887"/>
      <w:bookmarkStart w:id="383" w:name="_Toc256000605"/>
      <w:bookmarkStart w:id="384" w:name="_Toc256000329"/>
      <w:bookmarkStart w:id="385" w:name="_Toc256000020"/>
      <w:bookmarkStart w:id="386" w:name="_Toc256000054"/>
      <w:bookmarkStart w:id="387" w:name="_Toc256001898"/>
      <w:bookmarkStart w:id="388" w:name="_Toc256001806"/>
      <w:bookmarkStart w:id="389" w:name="_Toc256001714"/>
      <w:bookmarkStart w:id="390" w:name="_Toc256001622"/>
      <w:bookmarkStart w:id="391" w:name="_Toc256001530"/>
      <w:bookmarkStart w:id="392" w:name="_Toc256001438"/>
      <w:bookmarkStart w:id="393" w:name="_Toc256001346"/>
      <w:bookmarkStart w:id="394" w:name="_Toc256001254"/>
      <w:bookmarkStart w:id="395" w:name="_Toc256001162"/>
      <w:bookmarkStart w:id="396" w:name="_Toc256001070"/>
      <w:bookmarkStart w:id="397" w:name="_Toc256000978"/>
      <w:bookmarkStart w:id="398" w:name="_Toc256000886"/>
      <w:bookmarkStart w:id="399" w:name="_Toc256000794"/>
      <w:bookmarkStart w:id="400" w:name="_Toc256000702"/>
      <w:bookmarkStart w:id="401" w:name="_Toc256000610"/>
      <w:bookmarkStart w:id="402" w:name="_Toc256000518"/>
      <w:bookmarkStart w:id="403" w:name="_Toc256000426"/>
      <w:bookmarkStart w:id="404" w:name="_Toc256000334"/>
      <w:bookmarkStart w:id="405" w:name="_Toc256000242"/>
      <w:bookmarkStart w:id="406" w:name="_Toc256000012"/>
      <w:bookmarkStart w:id="407" w:name="_Toc455594065"/>
      <w:bookmarkStart w:id="408" w:name="_Toc461443255"/>
      <w:bookmarkStart w:id="409" w:name="_Toc469498869"/>
      <w:bookmarkStart w:id="410" w:name="_Toc491340314"/>
      <w:bookmarkStart w:id="411" w:name="_Toc9613117"/>
      <w:bookmarkStart w:id="412" w:name="_Toc37173013"/>
      <w:bookmarkStart w:id="413" w:name="_Toc37243405"/>
      <w:r w:rsidRPr="00AD70DE">
        <w:rPr>
          <w:color w:val="auto"/>
        </w:rPr>
        <w:t>Background</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rsidR="009C32E7" w:rsidRPr="00AD70DE" w:rsidRDefault="009C32E7" w:rsidP="00AD70DE">
      <w:pPr>
        <w:rPr>
          <w:b/>
          <w:u w:val="single"/>
          <w:lang w:val="en-GB"/>
        </w:rPr>
      </w:pPr>
      <w:bookmarkStart w:id="414" w:name="_Toc256000102"/>
      <w:bookmarkStart w:id="415" w:name="_Toc256001900"/>
      <w:bookmarkStart w:id="416" w:name="_Toc256001808"/>
      <w:bookmarkStart w:id="417" w:name="_Toc256001716"/>
      <w:bookmarkStart w:id="418" w:name="_Toc256001624"/>
      <w:bookmarkStart w:id="419" w:name="_Toc256001532"/>
      <w:bookmarkStart w:id="420" w:name="_Toc256001440"/>
      <w:bookmarkStart w:id="421" w:name="_Toc256001348"/>
      <w:bookmarkStart w:id="422" w:name="_Toc256001256"/>
      <w:bookmarkStart w:id="423" w:name="_Toc256001164"/>
      <w:bookmarkStart w:id="424" w:name="_Toc256001072"/>
      <w:bookmarkStart w:id="425" w:name="_Toc256000980"/>
      <w:bookmarkStart w:id="426" w:name="_Toc256000888"/>
      <w:bookmarkStart w:id="427" w:name="_Toc256000796"/>
      <w:bookmarkStart w:id="428" w:name="_Toc256000704"/>
      <w:bookmarkStart w:id="429" w:name="_Toc256000612"/>
      <w:bookmarkStart w:id="430" w:name="_Toc256000520"/>
      <w:bookmarkStart w:id="431" w:name="_Toc256000428"/>
      <w:bookmarkStart w:id="432" w:name="_Toc256000336"/>
      <w:bookmarkStart w:id="433" w:name="_Toc256000244"/>
      <w:bookmarkStart w:id="434" w:name="_Toc256000035"/>
      <w:bookmarkStart w:id="435" w:name="_Toc455594067"/>
      <w:bookmarkStart w:id="436" w:name="_Toc461443257"/>
      <w:bookmarkStart w:id="437" w:name="_Toc469498870"/>
      <w:bookmarkStart w:id="438" w:name="_Toc491340315"/>
      <w:r w:rsidRPr="00AD70DE">
        <w:rPr>
          <w:b/>
          <w:u w:val="single"/>
          <w:lang w:val="en-GB"/>
        </w:rPr>
        <w:t>Description of scientific background</w:t>
      </w:r>
    </w:p>
    <w:p w:rsidR="009C32E7" w:rsidRPr="00AD70DE" w:rsidRDefault="009C32E7" w:rsidP="00AD70DE">
      <w:pPr>
        <w:pStyle w:val="p1"/>
        <w:rPr>
          <w:rStyle w:val="s1"/>
          <w:rFonts w:ascii="Calibri" w:hAnsi="Calibri"/>
          <w:color w:val="auto"/>
          <w:sz w:val="22"/>
          <w:szCs w:val="22"/>
          <w:lang w:val="en-GB"/>
        </w:rPr>
      </w:pPr>
      <w:r w:rsidRPr="00AD70DE">
        <w:rPr>
          <w:rStyle w:val="s1"/>
          <w:rFonts w:ascii="Calibri" w:hAnsi="Calibri"/>
          <w:color w:val="auto"/>
          <w:sz w:val="22"/>
          <w:szCs w:val="22"/>
          <w:lang w:val="en-GB"/>
        </w:rPr>
        <w:t>The search for effective therapy of Corona Virus Disease-19 (COVID-19) has put HCQ into the focus of interest. In the absence of proven effective drugs, explorative treatment schedules for COVID-19 patients now foresee the use of oral HCQ although the risk-benefit ratio remains currently unclear. Particularly in seriously ill patients and elderly patients, PPI therapy for prophylaxis or treatment of gastric or duodenal ulcers or gastroesophageal reflux disease is common. Bioavailability of oral HCQ is highly variable and reported values range between 30-70 %. With acid dissociation constant (</w:t>
      </w:r>
      <w:proofErr w:type="spellStart"/>
      <w:r w:rsidRPr="00AD70DE">
        <w:rPr>
          <w:rStyle w:val="s1"/>
          <w:rFonts w:ascii="Calibri" w:hAnsi="Calibri"/>
          <w:color w:val="auto"/>
          <w:sz w:val="22"/>
          <w:szCs w:val="22"/>
          <w:lang w:val="en-GB"/>
        </w:rPr>
        <w:t>pKa</w:t>
      </w:r>
      <w:proofErr w:type="spellEnd"/>
      <w:r w:rsidRPr="00AD70DE">
        <w:rPr>
          <w:rStyle w:val="s1"/>
          <w:rFonts w:ascii="Calibri" w:hAnsi="Calibri"/>
          <w:color w:val="auto"/>
          <w:sz w:val="22"/>
          <w:szCs w:val="22"/>
          <w:lang w:val="en-GB"/>
        </w:rPr>
        <w:t>) values of 9.67 and 8.27, HCQ crosses membranes readily at neutral pH but accumulates in acidic compartments where it is protonated and thus charged and better soluble. Therefore,</w:t>
      </w:r>
      <w:r w:rsidRPr="00AD70DE" w:rsidDel="00FB637A">
        <w:rPr>
          <w:rStyle w:val="s1"/>
          <w:rFonts w:ascii="Calibri" w:hAnsi="Calibri"/>
          <w:color w:val="auto"/>
          <w:sz w:val="22"/>
          <w:szCs w:val="22"/>
          <w:lang w:val="en-GB"/>
        </w:rPr>
        <w:t xml:space="preserve"> </w:t>
      </w:r>
      <w:r w:rsidRPr="00AD70DE">
        <w:rPr>
          <w:rStyle w:val="s1"/>
          <w:rFonts w:ascii="Calibri" w:hAnsi="Calibri"/>
          <w:color w:val="auto"/>
          <w:sz w:val="22"/>
          <w:szCs w:val="22"/>
          <w:lang w:val="en-GB"/>
        </w:rPr>
        <w:t xml:space="preserve">changes in gastric pH could be associated with alterations of HCQ bioavailability and exposure because of impaired solubility and this could translate into variability of treatment success. </w:t>
      </w:r>
    </w:p>
    <w:p w:rsidR="009C32E7" w:rsidRPr="00AD70DE" w:rsidRDefault="009C32E7" w:rsidP="00AD70DE">
      <w:pPr>
        <w:pStyle w:val="p1"/>
        <w:rPr>
          <w:rStyle w:val="s1"/>
          <w:rFonts w:ascii="Calibri" w:hAnsi="Calibri"/>
          <w:color w:val="auto"/>
          <w:sz w:val="22"/>
          <w:szCs w:val="22"/>
          <w:lang w:val="en-GB"/>
        </w:rPr>
      </w:pPr>
    </w:p>
    <w:p w:rsidR="009C32E7" w:rsidRPr="00AD70DE" w:rsidRDefault="009C32E7" w:rsidP="00AD70DE">
      <w:pPr>
        <w:pStyle w:val="p1"/>
        <w:rPr>
          <w:rStyle w:val="s1"/>
          <w:rFonts w:ascii="Calibri" w:hAnsi="Calibri"/>
          <w:color w:val="auto"/>
          <w:sz w:val="22"/>
          <w:szCs w:val="22"/>
          <w:lang w:val="en-GB"/>
        </w:rPr>
      </w:pPr>
      <w:r w:rsidRPr="00AD70DE">
        <w:rPr>
          <w:noProof/>
          <w:lang w:val="en-US" w:eastAsia="en-US"/>
        </w:rPr>
        <w:drawing>
          <wp:inline distT="0" distB="0" distL="0" distR="0" wp14:anchorId="2D4ECB16" wp14:editId="42D1E7FA">
            <wp:extent cx="5760720" cy="2507377"/>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2507377"/>
                    </a:xfrm>
                    <a:prstGeom prst="rect">
                      <a:avLst/>
                    </a:prstGeom>
                  </pic:spPr>
                </pic:pic>
              </a:graphicData>
            </a:graphic>
          </wp:inline>
        </w:drawing>
      </w:r>
    </w:p>
    <w:p w:rsidR="009C32E7" w:rsidRPr="00AD70DE" w:rsidRDefault="009C32E7" w:rsidP="00AD70DE">
      <w:pPr>
        <w:rPr>
          <w:b/>
          <w:sz w:val="18"/>
          <w:szCs w:val="18"/>
          <w:lang w:val="en-GB" w:eastAsia="de-DE"/>
        </w:rPr>
      </w:pPr>
      <w:r w:rsidRPr="00AD70DE">
        <w:rPr>
          <w:b/>
          <w:sz w:val="18"/>
          <w:szCs w:val="18"/>
          <w:lang w:val="en-GB" w:eastAsia="de-DE"/>
        </w:rPr>
        <w:t xml:space="preserve">Figure 2: </w:t>
      </w:r>
      <w:r w:rsidRPr="00AD70DE">
        <w:rPr>
          <w:sz w:val="18"/>
          <w:szCs w:val="18"/>
          <w:lang w:val="en-GB" w:eastAsia="de-DE"/>
        </w:rPr>
        <w:t xml:space="preserve">HCQ PK is pH-dependant (modified from J </w:t>
      </w:r>
      <w:proofErr w:type="spellStart"/>
      <w:r w:rsidRPr="00AD70DE">
        <w:rPr>
          <w:sz w:val="18"/>
          <w:szCs w:val="18"/>
          <w:lang w:val="en-GB" w:eastAsia="de-DE"/>
        </w:rPr>
        <w:t>Pharmacol</w:t>
      </w:r>
      <w:proofErr w:type="spellEnd"/>
      <w:r w:rsidRPr="00AD70DE">
        <w:rPr>
          <w:sz w:val="18"/>
          <w:szCs w:val="18"/>
          <w:lang w:val="en-GB" w:eastAsia="de-DE"/>
        </w:rPr>
        <w:t xml:space="preserve"> </w:t>
      </w:r>
      <w:proofErr w:type="spellStart"/>
      <w:r w:rsidRPr="00AD70DE">
        <w:rPr>
          <w:sz w:val="18"/>
          <w:szCs w:val="18"/>
          <w:lang w:val="en-GB" w:eastAsia="de-DE"/>
        </w:rPr>
        <w:t>Exp</w:t>
      </w:r>
      <w:proofErr w:type="spellEnd"/>
      <w:r w:rsidRPr="00AD70DE">
        <w:rPr>
          <w:sz w:val="18"/>
          <w:szCs w:val="18"/>
          <w:lang w:val="en-GB" w:eastAsia="de-DE"/>
        </w:rPr>
        <w:t xml:space="preserve"> </w:t>
      </w:r>
      <w:proofErr w:type="spellStart"/>
      <w:r w:rsidRPr="00AD70DE">
        <w:rPr>
          <w:sz w:val="18"/>
          <w:szCs w:val="18"/>
          <w:lang w:val="en-GB" w:eastAsia="de-DE"/>
        </w:rPr>
        <w:t>Ther</w:t>
      </w:r>
      <w:proofErr w:type="spellEnd"/>
      <w:r w:rsidRPr="00AD70DE">
        <w:rPr>
          <w:sz w:val="18"/>
          <w:szCs w:val="18"/>
          <w:lang w:val="en-GB" w:eastAsia="de-DE"/>
        </w:rPr>
        <w:t xml:space="preserve"> 2018</w:t>
      </w:r>
      <w:proofErr w:type="gramStart"/>
      <w:r w:rsidRPr="00AD70DE">
        <w:rPr>
          <w:sz w:val="18"/>
          <w:szCs w:val="18"/>
          <w:lang w:val="en-GB" w:eastAsia="de-DE"/>
        </w:rPr>
        <w:t>;365:447</w:t>
      </w:r>
      <w:proofErr w:type="gramEnd"/>
      <w:r w:rsidRPr="00AD70DE">
        <w:rPr>
          <w:sz w:val="18"/>
          <w:szCs w:val="18"/>
          <w:lang w:val="en-GB" w:eastAsia="de-DE"/>
        </w:rPr>
        <w:t xml:space="preserve"> </w:t>
      </w:r>
      <w:r w:rsidRPr="00AD70DE">
        <w:rPr>
          <w:noProof/>
          <w:sz w:val="18"/>
          <w:szCs w:val="18"/>
          <w:lang w:val="en-GB" w:eastAsia="de-DE"/>
        </w:rPr>
        <w:t>[1]</w:t>
      </w:r>
      <w:r w:rsidRPr="00AD70DE">
        <w:rPr>
          <w:sz w:val="18"/>
          <w:szCs w:val="18"/>
          <w:lang w:val="en-GB" w:eastAsia="de-DE"/>
        </w:rPr>
        <w:t xml:space="preserve">; </w:t>
      </w:r>
      <w:r w:rsidRPr="00AD70DE">
        <w:rPr>
          <w:i/>
          <w:sz w:val="18"/>
          <w:szCs w:val="18"/>
          <w:lang w:val="en-GB" w:eastAsia="de-DE"/>
        </w:rPr>
        <w:t>ECF extracellular fluid, HCQ hydroxychloroquine</w:t>
      </w:r>
      <w:r w:rsidRPr="00AD70DE">
        <w:rPr>
          <w:sz w:val="18"/>
          <w:szCs w:val="18"/>
          <w:lang w:val="en-GB" w:eastAsia="de-DE"/>
        </w:rPr>
        <w:t>).</w:t>
      </w:r>
    </w:p>
    <w:p w:rsidR="009C32E7" w:rsidRPr="00AD70DE" w:rsidRDefault="009C32E7" w:rsidP="00AD70DE">
      <w:pPr>
        <w:pStyle w:val="berschrift2"/>
        <w:spacing w:before="240"/>
        <w:ind w:left="567" w:hanging="567"/>
        <w:rPr>
          <w:color w:val="auto"/>
        </w:rPr>
      </w:pPr>
      <w:bookmarkStart w:id="439" w:name="_Toc256002310"/>
      <w:bookmarkStart w:id="440" w:name="_Toc256002213"/>
      <w:bookmarkStart w:id="441" w:name="_Toc256002116"/>
      <w:bookmarkStart w:id="442" w:name="_Toc256002019"/>
      <w:bookmarkStart w:id="443" w:name="_Toc256001841"/>
      <w:bookmarkStart w:id="444" w:name="_Toc256001583"/>
      <w:bookmarkStart w:id="445" w:name="_Toc256001371"/>
      <w:bookmarkStart w:id="446" w:name="_Toc256001118"/>
      <w:bookmarkStart w:id="447" w:name="_Toc256000893"/>
      <w:bookmarkStart w:id="448" w:name="_Toc256000606"/>
      <w:bookmarkStart w:id="449" w:name="_Toc256000330"/>
      <w:bookmarkStart w:id="450" w:name="_Toc256000022"/>
      <w:bookmarkStart w:id="451" w:name="_Toc9613118"/>
      <w:bookmarkStart w:id="452" w:name="_Toc37173014"/>
      <w:bookmarkStart w:id="453" w:name="_Toc37243406"/>
      <w:r w:rsidRPr="00AD70DE">
        <w:rPr>
          <w:color w:val="auto"/>
        </w:rPr>
        <w:t>Trial rationale</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rsidR="009C32E7" w:rsidRPr="00AD70DE" w:rsidRDefault="009C32E7" w:rsidP="00AD70DE">
      <w:pPr>
        <w:rPr>
          <w:b/>
          <w:u w:val="single"/>
          <w:lang w:val="en-GB"/>
        </w:rPr>
      </w:pPr>
      <w:r w:rsidRPr="00AD70DE">
        <w:rPr>
          <w:b/>
          <w:u w:val="single"/>
          <w:lang w:val="en-GB"/>
        </w:rPr>
        <w:t xml:space="preserve">Description of scientific rationale </w:t>
      </w:r>
    </w:p>
    <w:p w:rsidR="009C32E7" w:rsidRPr="00AD70DE" w:rsidRDefault="009C32E7" w:rsidP="00AD70DE">
      <w:pPr>
        <w:pStyle w:val="p1"/>
        <w:rPr>
          <w:rStyle w:val="s1"/>
          <w:rFonts w:ascii="Calibri" w:hAnsi="Calibri"/>
          <w:color w:val="auto"/>
          <w:sz w:val="22"/>
          <w:szCs w:val="22"/>
          <w:lang w:val="en-GB"/>
        </w:rPr>
      </w:pPr>
      <w:r w:rsidRPr="00AD70DE">
        <w:rPr>
          <w:rStyle w:val="s1"/>
          <w:rFonts w:ascii="Calibri" w:hAnsi="Calibri"/>
          <w:color w:val="auto"/>
          <w:sz w:val="22"/>
          <w:szCs w:val="22"/>
          <w:lang w:val="en-GB"/>
        </w:rPr>
        <w:t xml:space="preserve">We hypothesize that absence and presence of PPI could modulate the outcome of HCQ therapy and unintended low HCQ (or active metabolite) blood concentrations could be related to an unfavourable course of disease, as observed in patients with systemic lupus erythematosus </w:t>
      </w:r>
      <w:r w:rsidRPr="00AD70DE">
        <w:rPr>
          <w:rStyle w:val="s1"/>
          <w:rFonts w:ascii="Calibri" w:hAnsi="Calibri"/>
          <w:noProof/>
          <w:color w:val="auto"/>
          <w:sz w:val="22"/>
          <w:szCs w:val="22"/>
          <w:lang w:val="en-GB"/>
        </w:rPr>
        <w:t>[2-4]</w:t>
      </w:r>
      <w:r w:rsidRPr="00AD70DE">
        <w:rPr>
          <w:rStyle w:val="s1"/>
          <w:rFonts w:ascii="Calibri" w:hAnsi="Calibri"/>
          <w:color w:val="auto"/>
          <w:sz w:val="22"/>
          <w:szCs w:val="22"/>
          <w:lang w:val="en-GB"/>
        </w:rPr>
        <w:t>. In particular, we expect that in the absence of acid-modifying therapies oral HCQ will be trapped in the acidic environment of the stomach whereas PPI therapy will increase pH and thus render the compound more lipophilic and hence foster absorption. In addition, HCQ could act as a perpetrator and victim at CYP3A, CYP2D6, and possibly also of the CYP2C family.</w:t>
      </w:r>
    </w:p>
    <w:p w:rsidR="009C32E7" w:rsidRPr="00AD70DE" w:rsidRDefault="009C32E7" w:rsidP="00AD70DE">
      <w:pPr>
        <w:rPr>
          <w:lang w:val="en-GB"/>
        </w:rPr>
      </w:pPr>
    </w:p>
    <w:p w:rsidR="009C32E7" w:rsidRPr="00AD70DE" w:rsidRDefault="009C32E7" w:rsidP="00AD70DE">
      <w:pPr>
        <w:rPr>
          <w:lang w:val="en-GB"/>
        </w:rPr>
      </w:pPr>
      <w:r w:rsidRPr="00AD70DE">
        <w:rPr>
          <w:lang w:val="en-GB"/>
        </w:rPr>
        <w:t>This trial will investigate the potential effect of pantoprazole on HCQ absorption in vivo. HCQ blood concentrations will be measured in participants under pantoprazole treatment, and will be compared to participants who do not receive PPI or other antacid.</w:t>
      </w:r>
    </w:p>
    <w:p w:rsidR="009C32E7" w:rsidRPr="00AD70DE" w:rsidRDefault="009C32E7" w:rsidP="00AD70DE">
      <w:pPr>
        <w:rPr>
          <w:lang w:val="en-GB"/>
        </w:rPr>
      </w:pPr>
      <w:r w:rsidRPr="00AD70DE">
        <w:rPr>
          <w:lang w:val="en-GB"/>
        </w:rPr>
        <w:t xml:space="preserve">Furthermore, we aim to characterize the relationship between relevant CYP activities metabolic profile of HCQ by administering a microdose of </w:t>
      </w:r>
      <w:proofErr w:type="spellStart"/>
      <w:r w:rsidRPr="00AD70DE">
        <w:rPr>
          <w:lang w:val="en-GB"/>
        </w:rPr>
        <w:t>midozolam</w:t>
      </w:r>
      <w:proofErr w:type="spellEnd"/>
      <w:r w:rsidRPr="00AD70DE">
        <w:rPr>
          <w:lang w:val="en-GB"/>
        </w:rPr>
        <w:t xml:space="preserve">, and </w:t>
      </w:r>
      <w:proofErr w:type="spellStart"/>
      <w:r w:rsidRPr="00AD70DE">
        <w:rPr>
          <w:lang w:val="en-GB"/>
        </w:rPr>
        <w:t>yohimbine</w:t>
      </w:r>
      <w:proofErr w:type="spellEnd"/>
      <w:r w:rsidRPr="00AD70DE">
        <w:rPr>
          <w:lang w:val="en-GB"/>
        </w:rPr>
        <w:t>.</w:t>
      </w:r>
    </w:p>
    <w:p w:rsidR="009C32E7" w:rsidRPr="00AD70DE" w:rsidRDefault="009C32E7" w:rsidP="00AD70DE">
      <w:pPr>
        <w:rPr>
          <w:lang w:val="en-GB"/>
        </w:rPr>
      </w:pPr>
    </w:p>
    <w:p w:rsidR="009C32E7" w:rsidRPr="00AD70DE" w:rsidRDefault="009C32E7" w:rsidP="00AD70DE">
      <w:pPr>
        <w:pStyle w:val="berschrift2"/>
        <w:spacing w:before="240"/>
        <w:ind w:left="567" w:hanging="567"/>
        <w:rPr>
          <w:color w:val="auto"/>
        </w:rPr>
      </w:pPr>
      <w:bookmarkStart w:id="454" w:name="_Toc256002311"/>
      <w:bookmarkStart w:id="455" w:name="_Toc256002214"/>
      <w:bookmarkStart w:id="456" w:name="_Toc256002117"/>
      <w:bookmarkStart w:id="457" w:name="_Toc256002020"/>
      <w:bookmarkStart w:id="458" w:name="_Toc256001842"/>
      <w:bookmarkStart w:id="459" w:name="_Toc256001588"/>
      <w:bookmarkStart w:id="460" w:name="_Toc256001372"/>
      <w:bookmarkStart w:id="461" w:name="_Toc256001119"/>
      <w:bookmarkStart w:id="462" w:name="_Toc256000896"/>
      <w:bookmarkStart w:id="463" w:name="_Toc256000617"/>
      <w:bookmarkStart w:id="464" w:name="_Toc256000341"/>
      <w:bookmarkStart w:id="465" w:name="_Toc256000024"/>
      <w:bookmarkStart w:id="466" w:name="_Toc9613119"/>
      <w:bookmarkStart w:id="467" w:name="_Toc37173015"/>
      <w:bookmarkStart w:id="468" w:name="_Toc37243407"/>
      <w:r w:rsidRPr="00AD70DE">
        <w:rPr>
          <w:color w:val="auto"/>
        </w:rPr>
        <w:t>Risk-to-benefit ratio</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rsidR="009C32E7" w:rsidRPr="00AD70DE" w:rsidRDefault="009C32E7" w:rsidP="00AD70DE">
      <w:pPr>
        <w:rPr>
          <w:b/>
          <w:u w:val="single"/>
          <w:lang w:val="en-GB"/>
        </w:rPr>
      </w:pPr>
      <w:r w:rsidRPr="00AD70DE">
        <w:rPr>
          <w:b/>
          <w:u w:val="single"/>
          <w:lang w:val="en-GB"/>
        </w:rPr>
        <w:t>Description of risk - benefit balance</w:t>
      </w:r>
    </w:p>
    <w:p w:rsidR="009C32E7" w:rsidRPr="00AD70DE" w:rsidRDefault="009C32E7" w:rsidP="00AD70DE">
      <w:pPr>
        <w:rPr>
          <w:lang w:val="en-GB" w:eastAsia="de-DE"/>
        </w:rPr>
      </w:pPr>
      <w:r w:rsidRPr="00AD70DE">
        <w:rPr>
          <w:lang w:val="en-GB" w:eastAsia="de-DE"/>
        </w:rPr>
        <w:t xml:space="preserve">Hydroxychloroquine (HCQ) is an approved drug for adults and children used in malaria prophylaxis and therapy, as well in the treatment of rheumatic diseases (i.e. lupus </w:t>
      </w:r>
      <w:proofErr w:type="spellStart"/>
      <w:r w:rsidRPr="00AD70DE">
        <w:rPr>
          <w:lang w:val="en-GB" w:eastAsia="de-DE"/>
        </w:rPr>
        <w:t>erythematodes</w:t>
      </w:r>
      <w:proofErr w:type="spellEnd"/>
      <w:r w:rsidRPr="00AD70DE">
        <w:rPr>
          <w:lang w:val="en-GB" w:eastAsia="de-DE"/>
        </w:rPr>
        <w:t xml:space="preserve">, and rheumatoid arthritis). In malaria prophylaxis, the recommended dose for adults is 400 mg once a week, starting two weeks before travelling into areas with endemic risk. In the treatment of rheumatic diseases, a starting dose of up to 600 mg per day can be administered. </w:t>
      </w:r>
      <w:r w:rsidRPr="00AD70DE">
        <w:rPr>
          <w:noProof/>
          <w:lang w:val="en-GB" w:eastAsia="de-DE"/>
        </w:rPr>
        <w:t>[5]</w:t>
      </w:r>
    </w:p>
    <w:p w:rsidR="009C32E7" w:rsidRPr="00AD70DE" w:rsidRDefault="009C32E7" w:rsidP="00AD70DE">
      <w:pPr>
        <w:rPr>
          <w:lang w:val="en-GB" w:eastAsia="de-DE"/>
        </w:rPr>
      </w:pPr>
      <w:r w:rsidRPr="00AD70DE">
        <w:rPr>
          <w:lang w:val="en-GB" w:eastAsia="de-DE"/>
        </w:rPr>
        <w:t>In our trial, participants will receive a single dose of 400 mg. The risk of adverse events (AEs) (summarized in section 9.1.5) is expected to be low. Safety parameters will be closely monitored. Considering the long terminal elimination half-life of HCQ, an additional telephone safety follow-up after 90 d will be performed.</w:t>
      </w:r>
    </w:p>
    <w:p w:rsidR="009C32E7" w:rsidRPr="00AD70DE" w:rsidRDefault="009C32E7" w:rsidP="00AD70DE">
      <w:pPr>
        <w:rPr>
          <w:lang w:val="en-GB" w:eastAsia="de-DE"/>
        </w:rPr>
      </w:pPr>
      <w:r w:rsidRPr="00AD70DE">
        <w:rPr>
          <w:lang w:val="en-GB" w:eastAsia="de-DE"/>
        </w:rPr>
        <w:t xml:space="preserve">Pantoprazole is a PPI licensed since more than 2 decades. It reduces secretion of gastric acid and is widely used for prophylaxis and treatment of reflux esophagitis or gastric ulcer. In those indications, the recommended dose is 40 mg (80 mg in individual cases) per day for 4 to 8 weeks. In </w:t>
      </w:r>
      <w:proofErr w:type="spellStart"/>
      <w:r w:rsidRPr="00AD70DE">
        <w:rPr>
          <w:lang w:val="en-GB" w:eastAsia="de-DE"/>
        </w:rPr>
        <w:t>Zollinger</w:t>
      </w:r>
      <w:proofErr w:type="spellEnd"/>
      <w:r w:rsidRPr="00AD70DE">
        <w:rPr>
          <w:lang w:val="en-GB" w:eastAsia="de-DE"/>
        </w:rPr>
        <w:t xml:space="preserve">-Ellison syndrome, the duration of therapy is unlimited and short-term dose increases of up to 160 mg daily may be required. </w:t>
      </w:r>
      <w:r w:rsidRPr="00AD70DE">
        <w:rPr>
          <w:noProof/>
          <w:lang w:val="en-GB" w:eastAsia="de-DE"/>
        </w:rPr>
        <w:t>[6]</w:t>
      </w:r>
    </w:p>
    <w:p w:rsidR="009C32E7" w:rsidRPr="00AD70DE" w:rsidRDefault="009C32E7" w:rsidP="00AD70DE">
      <w:pPr>
        <w:rPr>
          <w:lang w:val="en-GB" w:eastAsia="de-DE"/>
        </w:rPr>
      </w:pPr>
      <w:r w:rsidRPr="00AD70DE">
        <w:rPr>
          <w:lang w:val="en-GB" w:eastAsia="de-DE"/>
        </w:rPr>
        <w:t>In our trial, the participants in one arm will take pantoprazole in a standard dose of 40 mg for 9 d. The risk of AEs (summarized in section 9.1.5) is expected to be low. Safety parameters of interest, such as transaminases, will be monitored.</w:t>
      </w:r>
    </w:p>
    <w:p w:rsidR="009C32E7" w:rsidRPr="00AD70DE" w:rsidRDefault="009C32E7" w:rsidP="00AD70DE">
      <w:pPr>
        <w:rPr>
          <w:lang w:val="en-GB" w:eastAsia="de-DE"/>
        </w:rPr>
      </w:pPr>
      <w:r w:rsidRPr="00AD70DE">
        <w:rPr>
          <w:lang w:val="en-GB" w:eastAsia="de-DE"/>
        </w:rPr>
        <w:t xml:space="preserve">The CYP3A activity will be </w:t>
      </w:r>
      <w:proofErr w:type="spellStart"/>
      <w:r w:rsidRPr="00AD70DE">
        <w:rPr>
          <w:lang w:val="en-GB" w:eastAsia="de-DE"/>
        </w:rPr>
        <w:t>phenotyped</w:t>
      </w:r>
      <w:proofErr w:type="spellEnd"/>
      <w:r w:rsidRPr="00AD70DE">
        <w:rPr>
          <w:lang w:val="en-GB" w:eastAsia="de-DE"/>
        </w:rPr>
        <w:t xml:space="preserve"> by using a pharmacologically inactive dose of 30 µg midazolam as a diagnostic substance. This dose is over 100 times lower than the regular doses used in a therapeutic setting and no benzodiazepine effects are to be expected </w:t>
      </w:r>
      <w:r w:rsidRPr="00AD70DE">
        <w:rPr>
          <w:noProof/>
          <w:lang w:val="en-GB" w:eastAsia="de-DE"/>
        </w:rPr>
        <w:t>[7, 8]</w:t>
      </w:r>
      <w:r w:rsidRPr="00AD70DE">
        <w:rPr>
          <w:lang w:val="en-GB" w:eastAsia="de-DE"/>
        </w:rPr>
        <w:t>. Therefore, the risks of this procedure are negligible.</w:t>
      </w:r>
    </w:p>
    <w:p w:rsidR="009C32E7" w:rsidRPr="00AD70DE" w:rsidRDefault="009C32E7" w:rsidP="00AD70DE">
      <w:pPr>
        <w:rPr>
          <w:lang w:val="en-GB" w:eastAsia="de-DE"/>
        </w:rPr>
      </w:pPr>
      <w:r w:rsidRPr="00AD70DE">
        <w:rPr>
          <w:lang w:val="en-GB" w:eastAsia="de-DE"/>
        </w:rPr>
        <w:t xml:space="preserve">The CYP2D6 activity will be </w:t>
      </w:r>
      <w:proofErr w:type="spellStart"/>
      <w:r w:rsidRPr="00AD70DE">
        <w:rPr>
          <w:lang w:val="en-GB" w:eastAsia="de-DE"/>
        </w:rPr>
        <w:t>phenotyped</w:t>
      </w:r>
      <w:proofErr w:type="spellEnd"/>
      <w:r w:rsidRPr="00AD70DE">
        <w:rPr>
          <w:lang w:val="en-GB" w:eastAsia="de-DE"/>
        </w:rPr>
        <w:t xml:space="preserve"> by using a pharmacologically inactive dose of 50 µg </w:t>
      </w:r>
      <w:proofErr w:type="spellStart"/>
      <w:r w:rsidRPr="00AD70DE">
        <w:rPr>
          <w:lang w:val="en-GB" w:eastAsia="de-DE"/>
        </w:rPr>
        <w:t>yohimbine</w:t>
      </w:r>
      <w:proofErr w:type="spellEnd"/>
      <w:r w:rsidRPr="00AD70DE">
        <w:rPr>
          <w:lang w:val="en-GB" w:eastAsia="de-DE"/>
        </w:rPr>
        <w:t xml:space="preserve"> as a diagnostic substance. No pharmacological effects are to be expected </w:t>
      </w:r>
      <w:r w:rsidRPr="00AD70DE">
        <w:rPr>
          <w:noProof/>
          <w:lang w:val="en-GB" w:eastAsia="de-DE"/>
        </w:rPr>
        <w:t>[9]</w:t>
      </w:r>
      <w:r w:rsidRPr="00AD70DE">
        <w:rPr>
          <w:lang w:val="en-GB" w:eastAsia="de-DE"/>
        </w:rPr>
        <w:t>. Therefore, the risks of this procedure are negligible.</w:t>
      </w:r>
    </w:p>
    <w:p w:rsidR="009C32E7" w:rsidRPr="00AD70DE" w:rsidRDefault="009C32E7" w:rsidP="00AD70DE">
      <w:pPr>
        <w:rPr>
          <w:rFonts w:eastAsia="MS Mincho" w:cs="Calibri"/>
          <w:lang w:val="en-GB" w:eastAsia="de-DE"/>
        </w:rPr>
      </w:pPr>
      <w:r w:rsidRPr="00AD70DE">
        <w:rPr>
          <w:lang w:val="en-GB" w:eastAsia="de-DE"/>
        </w:rPr>
        <w:t xml:space="preserve">Blood samples will be taken from a peripheral venous catheter. Insertion and drawing are generally well tolerated by healthy subjects. Occasionally, </w:t>
      </w:r>
      <w:proofErr w:type="spellStart"/>
      <w:r w:rsidRPr="00AD70DE">
        <w:rPr>
          <w:lang w:val="en-GB" w:eastAsia="de-DE"/>
        </w:rPr>
        <w:t>venipuncture</w:t>
      </w:r>
      <w:proofErr w:type="spellEnd"/>
      <w:r w:rsidRPr="00AD70DE">
        <w:rPr>
          <w:lang w:val="en-GB" w:eastAsia="de-DE"/>
        </w:rPr>
        <w:t xml:space="preserve"> or the placement of an indwelling catheter may result in thrombosis or thrombophlebitis and/or peripheral nerve damage (numbness). A total amount of approximately 400 ml will be drawn over the course of at least 17 d. This blood loss is generally well tolerated. </w:t>
      </w:r>
    </w:p>
    <w:p w:rsidR="009C32E7" w:rsidRPr="00AD70DE" w:rsidRDefault="009C32E7" w:rsidP="00AD70DE">
      <w:pPr>
        <w:rPr>
          <w:rFonts w:cs="Times"/>
          <w:lang w:val="en-GB" w:eastAsia="de-DE"/>
        </w:rPr>
      </w:pPr>
      <w:r w:rsidRPr="00AD70DE">
        <w:rPr>
          <w:lang w:val="en-GB" w:eastAsia="de-DE"/>
        </w:rPr>
        <w:t xml:space="preserve">In summary it is unlikely that severe AEs will result from the single dose </w:t>
      </w:r>
      <w:r w:rsidRPr="00AD70DE">
        <w:rPr>
          <w:lang w:val="en-GB"/>
        </w:rPr>
        <w:t xml:space="preserve">administration </w:t>
      </w:r>
      <w:r w:rsidRPr="00AD70DE">
        <w:rPr>
          <w:lang w:val="en-GB" w:eastAsia="de-DE"/>
        </w:rPr>
        <w:t xml:space="preserve">of HCQ or the </w:t>
      </w:r>
      <w:r w:rsidRPr="00AD70DE">
        <w:rPr>
          <w:lang w:val="en-GB"/>
        </w:rPr>
        <w:t xml:space="preserve">administration </w:t>
      </w:r>
      <w:r w:rsidRPr="00AD70DE">
        <w:rPr>
          <w:lang w:val="en-GB" w:eastAsia="de-DE"/>
        </w:rPr>
        <w:t xml:space="preserve">of pantoprazole, as well as from carrying out the procedures of the trial. This trial will be conducted in the ISO9001-certified Clinical Research Unit of the Heidelberg University Medical Centre. Emergency equipment and medication are at hand and an intensive care unit is within reach. The medical </w:t>
      </w:r>
      <w:proofErr w:type="gramStart"/>
      <w:r w:rsidRPr="00AD70DE">
        <w:rPr>
          <w:lang w:val="en-GB" w:eastAsia="de-DE"/>
        </w:rPr>
        <w:t>staff</w:t>
      </w:r>
      <w:proofErr w:type="gramEnd"/>
      <w:r w:rsidRPr="00AD70DE">
        <w:rPr>
          <w:lang w:val="en-GB" w:eastAsia="de-DE"/>
        </w:rPr>
        <w:t xml:space="preserve"> is trained for cardio-respiratory emergency situations. Before including individuals in this trial, we will perform a complete health check, including vital signs, physical examination, laboratory assessment, and </w:t>
      </w:r>
      <w:r w:rsidRPr="00AD70DE">
        <w:rPr>
          <w:rFonts w:cs="Calibri"/>
          <w:lang w:val="en-GB" w:eastAsia="de-DE"/>
        </w:rPr>
        <w:t>electrocardiogram</w:t>
      </w:r>
      <w:r w:rsidRPr="00AD70DE">
        <w:rPr>
          <w:lang w:val="en-GB" w:eastAsia="de-DE"/>
        </w:rPr>
        <w:t xml:space="preserve"> (ECG). Inclusion and exclusion criteria will be checked. Any clinically relevant pathological finding will lead to exclusion. Vital parameters of all volunteers are monitored </w:t>
      </w:r>
      <w:r w:rsidRPr="00AD70DE">
        <w:rPr>
          <w:rFonts w:cs="Times"/>
          <w:lang w:val="en-GB" w:eastAsia="de-DE"/>
        </w:rPr>
        <w:t xml:space="preserve">during their in-house visit. All relevant safety parameters including safety laboratory parameters and ECGs will be closely monitored during the trial. </w:t>
      </w:r>
    </w:p>
    <w:p w:rsidR="009C32E7" w:rsidRPr="00AD70DE" w:rsidRDefault="009C32E7" w:rsidP="00AD70DE">
      <w:pPr>
        <w:rPr>
          <w:lang w:val="en-GB" w:eastAsia="de-DE"/>
        </w:rPr>
      </w:pPr>
      <w:r w:rsidRPr="00AD70DE">
        <w:rPr>
          <w:lang w:val="en-GB" w:eastAsia="de-DE"/>
        </w:rPr>
        <w:t xml:space="preserve">HCQ is currently administered to severely ill COVID-19 patients. HCQ dose schemes vary between institutions, but an initial 400 mg dose appears advisable in order to achieve high concentrations rapidly </w:t>
      </w:r>
      <w:r w:rsidRPr="00AD70DE">
        <w:rPr>
          <w:noProof/>
          <w:lang w:val="en-GB" w:eastAsia="de-DE"/>
        </w:rPr>
        <w:t>[10]</w:t>
      </w:r>
      <w:r w:rsidRPr="00AD70DE">
        <w:rPr>
          <w:lang w:val="en-GB" w:eastAsia="de-DE"/>
        </w:rPr>
        <w:t xml:space="preserve">. Significant reductions of blood concentrations could have an impact on treatment response, but also on the systematic evaluation of treatment results. Advancing the treatment concepts of COVID-19 would bring a relevant benefit to society. Therefore, the exposure of healthy volunteers to HCQ and pantoprazole is justified, although no direct benefit for these participants is expected. </w:t>
      </w:r>
      <w:bookmarkStart w:id="469" w:name="_Toc256000087"/>
      <w:bookmarkStart w:id="470" w:name="_Toc256000008"/>
      <w:bookmarkStart w:id="471" w:name="_Toc434223602"/>
      <w:bookmarkStart w:id="472" w:name="_Toc256001901"/>
      <w:bookmarkStart w:id="473" w:name="_Toc256001809"/>
      <w:bookmarkStart w:id="474" w:name="_Toc256001717"/>
      <w:bookmarkStart w:id="475" w:name="_Toc256001625"/>
      <w:bookmarkStart w:id="476" w:name="_Toc256001533"/>
      <w:bookmarkStart w:id="477" w:name="_Toc256001441"/>
      <w:bookmarkStart w:id="478" w:name="_Toc256001349"/>
      <w:bookmarkStart w:id="479" w:name="_Toc256001257"/>
      <w:bookmarkStart w:id="480" w:name="_Toc256001165"/>
      <w:bookmarkStart w:id="481" w:name="_Toc256001073"/>
      <w:bookmarkStart w:id="482" w:name="_Toc256000981"/>
      <w:bookmarkStart w:id="483" w:name="_Toc256000889"/>
      <w:bookmarkStart w:id="484" w:name="_Toc256000797"/>
      <w:bookmarkStart w:id="485" w:name="_Toc256000705"/>
      <w:bookmarkStart w:id="486" w:name="_Toc256000613"/>
      <w:bookmarkStart w:id="487" w:name="_Toc256000521"/>
      <w:bookmarkStart w:id="488" w:name="_Toc256000429"/>
      <w:bookmarkStart w:id="489" w:name="_Toc256000337"/>
      <w:bookmarkStart w:id="490" w:name="_Toc256000245"/>
      <w:bookmarkStart w:id="491" w:name="_Toc256000084"/>
      <w:bookmarkStart w:id="492" w:name="_Toc455594068"/>
      <w:bookmarkStart w:id="493" w:name="_Toc461443258"/>
      <w:bookmarkStart w:id="494" w:name="_Toc256000133"/>
      <w:bookmarkStart w:id="495" w:name="_Toc469498872"/>
      <w:bookmarkStart w:id="496" w:name="_Toc491340317"/>
    </w:p>
    <w:p w:rsidR="009C32E7" w:rsidRPr="00AD70DE" w:rsidRDefault="009C32E7" w:rsidP="00AD70DE">
      <w:pPr>
        <w:pStyle w:val="berschrift1"/>
        <w:spacing w:before="600" w:after="160" w:line="240" w:lineRule="exact"/>
        <w:ind w:left="357" w:hanging="357"/>
      </w:pPr>
      <w:bookmarkStart w:id="497" w:name="_Toc256002312"/>
      <w:bookmarkStart w:id="498" w:name="_Toc256002215"/>
      <w:bookmarkStart w:id="499" w:name="_Toc256002118"/>
      <w:bookmarkStart w:id="500" w:name="_Toc256002021"/>
      <w:bookmarkStart w:id="501" w:name="_Toc256001843"/>
      <w:bookmarkStart w:id="502" w:name="_Toc256001590"/>
      <w:bookmarkStart w:id="503" w:name="_Toc256001377"/>
      <w:bookmarkStart w:id="504" w:name="_Toc256001120"/>
      <w:bookmarkStart w:id="505" w:name="_Toc256000897"/>
      <w:bookmarkStart w:id="506" w:name="_Toc256000627"/>
      <w:bookmarkStart w:id="507" w:name="_Toc256000351"/>
      <w:bookmarkStart w:id="508" w:name="_Toc256000025"/>
      <w:bookmarkStart w:id="509" w:name="_Toc9613120"/>
      <w:bookmarkStart w:id="510" w:name="_Toc37173016"/>
      <w:bookmarkStart w:id="511" w:name="_Toc37243408"/>
      <w:r w:rsidRPr="00AD70DE">
        <w:t>Trial objectives</w:t>
      </w:r>
      <w:bookmarkEnd w:id="469"/>
      <w:bookmarkEnd w:id="470"/>
      <w:bookmarkEnd w:id="471"/>
      <w:r w:rsidRPr="00AD70DE">
        <w:t xml:space="preserve"> and </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Pr="00AD70DE">
        <w:t>endpoints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rsidR="009C32E7" w:rsidRPr="00AD70DE" w:rsidRDefault="009C32E7" w:rsidP="00AD70DE">
      <w:pPr>
        <w:pStyle w:val="berschrift2"/>
        <w:keepNext w:val="0"/>
        <w:keepLines w:val="0"/>
        <w:spacing w:before="240"/>
        <w:ind w:left="851" w:hanging="851"/>
        <w:rPr>
          <w:color w:val="auto"/>
        </w:rPr>
      </w:pPr>
      <w:bookmarkStart w:id="512" w:name="_Toc256002313"/>
      <w:bookmarkStart w:id="513" w:name="_Toc256002216"/>
      <w:bookmarkStart w:id="514" w:name="_Toc256002119"/>
      <w:bookmarkStart w:id="515" w:name="_Toc256002022"/>
      <w:bookmarkStart w:id="516" w:name="_Toc256001844"/>
      <w:bookmarkStart w:id="517" w:name="_Toc256001591"/>
      <w:bookmarkStart w:id="518" w:name="_Toc256001378"/>
      <w:bookmarkStart w:id="519" w:name="_Toc256001121"/>
      <w:bookmarkStart w:id="520" w:name="_Toc256000901"/>
      <w:bookmarkStart w:id="521" w:name="_Toc256000635"/>
      <w:bookmarkStart w:id="522" w:name="_Toc256000359"/>
      <w:bookmarkStart w:id="523" w:name="_Toc256000026"/>
      <w:bookmarkStart w:id="524" w:name="_Toc256000150"/>
      <w:bookmarkStart w:id="525" w:name="_Toc256001902"/>
      <w:bookmarkStart w:id="526" w:name="_Toc256001810"/>
      <w:bookmarkStart w:id="527" w:name="_Toc256001718"/>
      <w:bookmarkStart w:id="528" w:name="_Toc256001626"/>
      <w:bookmarkStart w:id="529" w:name="_Toc256001534"/>
      <w:bookmarkStart w:id="530" w:name="_Toc256001442"/>
      <w:bookmarkStart w:id="531" w:name="_Toc256001350"/>
      <w:bookmarkStart w:id="532" w:name="_Toc256001258"/>
      <w:bookmarkStart w:id="533" w:name="_Toc256001166"/>
      <w:bookmarkStart w:id="534" w:name="_Toc256001074"/>
      <w:bookmarkStart w:id="535" w:name="_Toc256000982"/>
      <w:bookmarkStart w:id="536" w:name="_Toc256000890"/>
      <w:bookmarkStart w:id="537" w:name="_Toc256000798"/>
      <w:bookmarkStart w:id="538" w:name="_Toc256000706"/>
      <w:bookmarkStart w:id="539" w:name="_Toc256000614"/>
      <w:bookmarkStart w:id="540" w:name="_Toc256000522"/>
      <w:bookmarkStart w:id="541" w:name="_Toc256000430"/>
      <w:bookmarkStart w:id="542" w:name="_Toc256000338"/>
      <w:bookmarkStart w:id="543" w:name="_Toc256000246"/>
      <w:bookmarkStart w:id="544" w:name="_Toc256000085"/>
      <w:bookmarkStart w:id="545" w:name="_Toc256000088"/>
      <w:bookmarkStart w:id="546" w:name="_Toc256000009"/>
      <w:bookmarkStart w:id="547" w:name="_Toc434223603"/>
      <w:bookmarkStart w:id="548" w:name="_Toc455594069"/>
      <w:bookmarkStart w:id="549" w:name="_Toc461443259"/>
      <w:bookmarkStart w:id="550" w:name="_Toc469498873"/>
      <w:bookmarkStart w:id="551" w:name="_Toc491340318"/>
      <w:bookmarkStart w:id="552" w:name="_Toc9613121"/>
      <w:bookmarkStart w:id="553" w:name="_Toc37173017"/>
      <w:bookmarkStart w:id="554" w:name="_Toc37243409"/>
      <w:r w:rsidRPr="00AD70DE">
        <w:rPr>
          <w:color w:val="auto"/>
        </w:rPr>
        <w:t>Objectives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rsidR="009C32E7" w:rsidRPr="00AD70DE" w:rsidRDefault="009C32E7" w:rsidP="00AD70DE">
      <w:pPr>
        <w:pStyle w:val="111Formatvorlage"/>
        <w:keepNext w:val="0"/>
        <w:numPr>
          <w:ilvl w:val="2"/>
          <w:numId w:val="3"/>
        </w:numPr>
        <w:spacing w:line="240" w:lineRule="exact"/>
        <w:ind w:left="851" w:hanging="851"/>
      </w:pPr>
      <w:bookmarkStart w:id="555" w:name="_Toc37173018"/>
      <w:bookmarkStart w:id="556" w:name="_Toc37243410"/>
      <w:bookmarkStart w:id="557" w:name="_Toc256002314"/>
      <w:bookmarkStart w:id="558" w:name="_Toc256002217"/>
      <w:bookmarkStart w:id="559" w:name="_Toc256002120"/>
      <w:bookmarkStart w:id="560" w:name="_Toc256002023"/>
      <w:bookmarkStart w:id="561" w:name="_Toc256001845"/>
      <w:bookmarkStart w:id="562" w:name="_Toc256001598"/>
      <w:bookmarkStart w:id="563" w:name="_Toc256001379"/>
      <w:bookmarkStart w:id="564" w:name="_Toc256001123"/>
      <w:bookmarkStart w:id="565" w:name="_Toc256000903"/>
      <w:bookmarkStart w:id="566" w:name="_Toc256000636"/>
      <w:bookmarkStart w:id="567" w:name="_Toc256000360"/>
      <w:bookmarkStart w:id="568" w:name="_Toc256000027"/>
      <w:bookmarkStart w:id="569" w:name="_Toc256000153"/>
      <w:bookmarkStart w:id="570" w:name="_Toc256001903"/>
      <w:bookmarkStart w:id="571" w:name="_Toc256001811"/>
      <w:bookmarkStart w:id="572" w:name="_Toc256001719"/>
      <w:bookmarkStart w:id="573" w:name="_Toc256001627"/>
      <w:bookmarkStart w:id="574" w:name="_Toc256001535"/>
      <w:bookmarkStart w:id="575" w:name="_Toc256001443"/>
      <w:bookmarkStart w:id="576" w:name="_Toc256001351"/>
      <w:bookmarkStart w:id="577" w:name="_Toc256001259"/>
      <w:bookmarkStart w:id="578" w:name="_Toc256001167"/>
      <w:bookmarkStart w:id="579" w:name="_Toc256001075"/>
      <w:bookmarkStart w:id="580" w:name="_Toc256000983"/>
      <w:bookmarkStart w:id="581" w:name="_Toc256000891"/>
      <w:bookmarkStart w:id="582" w:name="_Toc256000799"/>
      <w:bookmarkStart w:id="583" w:name="_Toc256000707"/>
      <w:bookmarkStart w:id="584" w:name="_Toc256000615"/>
      <w:bookmarkStart w:id="585" w:name="_Toc256000523"/>
      <w:bookmarkStart w:id="586" w:name="_Toc256000431"/>
      <w:bookmarkStart w:id="587" w:name="_Toc256000339"/>
      <w:bookmarkStart w:id="588" w:name="_Toc256000247"/>
      <w:bookmarkStart w:id="589" w:name="_Toc256000086"/>
      <w:bookmarkStart w:id="590" w:name="_Toc455594070"/>
      <w:bookmarkStart w:id="591" w:name="_Toc461443260"/>
      <w:bookmarkStart w:id="592" w:name="_Toc469498874"/>
      <w:bookmarkStart w:id="593" w:name="_Toc491340319"/>
      <w:bookmarkStart w:id="594" w:name="_Toc9613122"/>
      <w:r w:rsidRPr="00AD70DE">
        <w:t>Primary objective</w:t>
      </w:r>
      <w:bookmarkEnd w:id="555"/>
      <w:bookmarkEnd w:id="556"/>
    </w:p>
    <w:p w:rsidR="009C32E7" w:rsidRPr="00AD70DE" w:rsidRDefault="009C32E7" w:rsidP="00AD70DE">
      <w:pPr>
        <w:pStyle w:val="Listenabsatz"/>
        <w:numPr>
          <w:ilvl w:val="0"/>
          <w:numId w:val="27"/>
        </w:numPr>
        <w:ind w:left="1134" w:hanging="283"/>
        <w:rPr>
          <w:lang w:val="en-US"/>
        </w:rPr>
      </w:pPr>
      <w:r w:rsidRPr="00AD70DE">
        <w:rPr>
          <w:lang w:val="en-US"/>
        </w:rPr>
        <w:t>Evaluation of the effect of the PPI pantoprazole on the absorption of HCQ in healthy volunteers.</w:t>
      </w:r>
    </w:p>
    <w:p w:rsidR="009C32E7" w:rsidRPr="00AD70DE" w:rsidRDefault="009C32E7" w:rsidP="00AD70DE">
      <w:pPr>
        <w:pStyle w:val="111Formatvorlage"/>
        <w:keepNext w:val="0"/>
        <w:numPr>
          <w:ilvl w:val="2"/>
          <w:numId w:val="3"/>
        </w:numPr>
        <w:spacing w:line="240" w:lineRule="exact"/>
        <w:ind w:left="851" w:hanging="851"/>
      </w:pPr>
      <w:bookmarkStart w:id="595" w:name="_Toc37173019"/>
      <w:bookmarkStart w:id="596" w:name="_Toc37243411"/>
      <w:r w:rsidRPr="00AD70DE">
        <w:t>Secondary objectives</w:t>
      </w:r>
      <w:bookmarkEnd w:id="595"/>
      <w:bookmarkEnd w:id="596"/>
    </w:p>
    <w:p w:rsidR="009C32E7" w:rsidRPr="00AD70DE" w:rsidRDefault="009C32E7" w:rsidP="00AD70DE">
      <w:pPr>
        <w:pStyle w:val="Listenabsatz"/>
        <w:numPr>
          <w:ilvl w:val="0"/>
          <w:numId w:val="27"/>
        </w:numPr>
        <w:ind w:left="1134" w:hanging="283"/>
        <w:rPr>
          <w:lang w:val="en-US"/>
        </w:rPr>
      </w:pPr>
      <w:r w:rsidRPr="00AD70DE">
        <w:rPr>
          <w:lang w:val="en-US"/>
        </w:rPr>
        <w:t xml:space="preserve">Comparison of HCQ concentrations in whole blood as compared to plasma and intracellular concentration as measured in target cells (peripheral blood mononuclear cells, PBMCs). </w:t>
      </w:r>
    </w:p>
    <w:p w:rsidR="009C32E7" w:rsidRPr="00AD70DE" w:rsidRDefault="009C32E7" w:rsidP="00AD70DE">
      <w:pPr>
        <w:pStyle w:val="Listenabsatz"/>
        <w:numPr>
          <w:ilvl w:val="0"/>
          <w:numId w:val="27"/>
        </w:numPr>
        <w:ind w:left="1134" w:hanging="283"/>
        <w:rPr>
          <w:lang w:val="en-US"/>
        </w:rPr>
      </w:pPr>
      <w:r w:rsidRPr="00AD70DE">
        <w:rPr>
          <w:lang w:val="en-US"/>
        </w:rPr>
        <w:t>Evaluation of HCQ as a perpetrator drug in DDI at the level of CYP3A and CYP2D6</w:t>
      </w:r>
    </w:p>
    <w:p w:rsidR="009C32E7" w:rsidRPr="00AD70DE" w:rsidRDefault="009C32E7" w:rsidP="00AD70DE">
      <w:pPr>
        <w:pStyle w:val="111Formatvorlage"/>
        <w:keepNext w:val="0"/>
        <w:numPr>
          <w:ilvl w:val="2"/>
          <w:numId w:val="3"/>
        </w:numPr>
        <w:spacing w:line="240" w:lineRule="exact"/>
        <w:ind w:left="851" w:hanging="851"/>
      </w:pPr>
      <w:bookmarkStart w:id="597" w:name="_Toc37173020"/>
      <w:bookmarkStart w:id="598" w:name="_Toc37243412"/>
      <w:r w:rsidRPr="00AD70DE">
        <w:t>Exploratory objectives</w:t>
      </w:r>
      <w:bookmarkEnd w:id="597"/>
      <w:bookmarkEnd w:id="598"/>
    </w:p>
    <w:p w:rsidR="009C32E7" w:rsidRPr="00AD70DE" w:rsidRDefault="009C32E7" w:rsidP="00AD70DE">
      <w:pPr>
        <w:pStyle w:val="Listenabsatz"/>
        <w:numPr>
          <w:ilvl w:val="0"/>
          <w:numId w:val="27"/>
        </w:numPr>
        <w:ind w:left="1134" w:hanging="283"/>
        <w:rPr>
          <w:lang w:val="en-US"/>
        </w:rPr>
      </w:pPr>
      <w:r w:rsidRPr="00AD70DE">
        <w:rPr>
          <w:lang w:val="en-US"/>
        </w:rPr>
        <w:t>Evaluation of the effect of pantoprazole on the disposition of major HCQ metabolites</w:t>
      </w:r>
    </w:p>
    <w:p w:rsidR="009C32E7" w:rsidRPr="00AD70DE" w:rsidRDefault="009C32E7" w:rsidP="00AD70DE">
      <w:pPr>
        <w:pStyle w:val="berschrift2"/>
        <w:keepNext w:val="0"/>
        <w:keepLines w:val="0"/>
        <w:spacing w:before="240"/>
        <w:ind w:left="851" w:hanging="851"/>
        <w:rPr>
          <w:color w:val="auto"/>
        </w:rPr>
      </w:pPr>
      <w:bookmarkStart w:id="599" w:name="_Toc256002316"/>
      <w:bookmarkStart w:id="600" w:name="_Toc256002219"/>
      <w:bookmarkStart w:id="601" w:name="_Toc256002122"/>
      <w:bookmarkStart w:id="602" w:name="_Toc256002025"/>
      <w:bookmarkStart w:id="603" w:name="_Toc256001847"/>
      <w:bookmarkStart w:id="604" w:name="_Toc256001608"/>
      <w:bookmarkStart w:id="605" w:name="_Toc256001382"/>
      <w:bookmarkStart w:id="606" w:name="_Toc256001130"/>
      <w:bookmarkStart w:id="607" w:name="_Toc256000912"/>
      <w:bookmarkStart w:id="608" w:name="_Toc256000642"/>
      <w:bookmarkStart w:id="609" w:name="_Toc256000366"/>
      <w:bookmarkStart w:id="610" w:name="_Toc256000031"/>
      <w:bookmarkStart w:id="611" w:name="_Toc9613124"/>
      <w:bookmarkStart w:id="612" w:name="_Toc37173021"/>
      <w:bookmarkStart w:id="613" w:name="_Toc37243413"/>
      <w:bookmarkStart w:id="614" w:name="_Toc256000195"/>
      <w:bookmarkStart w:id="615" w:name="_Toc256001906"/>
      <w:bookmarkStart w:id="616" w:name="_Toc256001814"/>
      <w:bookmarkStart w:id="617" w:name="_Toc256001722"/>
      <w:bookmarkStart w:id="618" w:name="_Toc256001630"/>
      <w:bookmarkStart w:id="619" w:name="_Toc256001538"/>
      <w:bookmarkStart w:id="620" w:name="_Toc256001446"/>
      <w:bookmarkStart w:id="621" w:name="_Toc256001354"/>
      <w:bookmarkStart w:id="622" w:name="_Toc256001262"/>
      <w:bookmarkStart w:id="623" w:name="_Toc256001170"/>
      <w:bookmarkStart w:id="624" w:name="_Toc256001078"/>
      <w:bookmarkStart w:id="625" w:name="_Toc256000986"/>
      <w:bookmarkStart w:id="626" w:name="_Toc256000894"/>
      <w:bookmarkStart w:id="627" w:name="_Toc256000802"/>
      <w:bookmarkStart w:id="628" w:name="_Toc256000710"/>
      <w:bookmarkStart w:id="629" w:name="_Toc256000618"/>
      <w:bookmarkStart w:id="630" w:name="_Toc256000526"/>
      <w:bookmarkStart w:id="631" w:name="_Toc256000434"/>
      <w:bookmarkStart w:id="632" w:name="_Toc256000342"/>
      <w:bookmarkStart w:id="633" w:name="_Toc256000250"/>
      <w:bookmarkStart w:id="634" w:name="_Toc256000114"/>
      <w:bookmarkStart w:id="635" w:name="_Toc256000089"/>
      <w:bookmarkStart w:id="636" w:name="_Toc256000010"/>
      <w:bookmarkStart w:id="637" w:name="_Toc434223604"/>
      <w:bookmarkStart w:id="638" w:name="_Toc455594073"/>
      <w:bookmarkStart w:id="639" w:name="_Toc461443263"/>
      <w:bookmarkStart w:id="640" w:name="_Toc469498876"/>
      <w:bookmarkStart w:id="641" w:name="_Toc491340322"/>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Pr="00AD70DE">
        <w:rPr>
          <w:color w:val="auto"/>
        </w:rPr>
        <w:t>Endpoints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009C32E7" w:rsidRPr="00AD70DE" w:rsidRDefault="009C32E7" w:rsidP="00AD70DE">
      <w:pPr>
        <w:pStyle w:val="111Formatvorlage"/>
        <w:keepNext w:val="0"/>
        <w:numPr>
          <w:ilvl w:val="2"/>
          <w:numId w:val="3"/>
        </w:numPr>
        <w:spacing w:line="240" w:lineRule="exact"/>
        <w:ind w:left="851" w:hanging="851"/>
      </w:pPr>
      <w:bookmarkStart w:id="642" w:name="_Toc37173022"/>
      <w:bookmarkStart w:id="643" w:name="_Toc37243414"/>
      <w:bookmarkStart w:id="644" w:name="_Toc256002317"/>
      <w:bookmarkStart w:id="645" w:name="_Toc256002220"/>
      <w:bookmarkStart w:id="646" w:name="_Toc256002123"/>
      <w:bookmarkStart w:id="647" w:name="_Toc256002026"/>
      <w:bookmarkStart w:id="648" w:name="_Toc256001848"/>
      <w:bookmarkStart w:id="649" w:name="_Toc256001611"/>
      <w:bookmarkStart w:id="650" w:name="_Toc256001383"/>
      <w:bookmarkStart w:id="651" w:name="_Toc256001131"/>
      <w:bookmarkStart w:id="652" w:name="_Toc256000917"/>
      <w:bookmarkStart w:id="653" w:name="_Toc256000643"/>
      <w:bookmarkStart w:id="654" w:name="_Toc256000367"/>
      <w:bookmarkStart w:id="655" w:name="_Toc256000041"/>
      <w:bookmarkStart w:id="656" w:name="_Toc9613125"/>
      <w:r w:rsidRPr="00AD70DE">
        <w:t>Primary endpoint</w:t>
      </w:r>
      <w:bookmarkEnd w:id="642"/>
      <w:bookmarkEnd w:id="643"/>
    </w:p>
    <w:p w:rsidR="009C32E7" w:rsidRPr="00AD70DE" w:rsidRDefault="009C32E7" w:rsidP="00AD70DE">
      <w:pPr>
        <w:pStyle w:val="Listenabsatz"/>
        <w:numPr>
          <w:ilvl w:val="0"/>
          <w:numId w:val="27"/>
        </w:numPr>
        <w:ind w:left="1134" w:hanging="283"/>
        <w:rPr>
          <w:lang w:val="en-US"/>
        </w:rPr>
      </w:pPr>
      <w:r w:rsidRPr="00AD70DE">
        <w:rPr>
          <w:lang w:val="en-US"/>
        </w:rPr>
        <w:t>AUC</w:t>
      </w:r>
      <w:r w:rsidRPr="00AD70DE">
        <w:rPr>
          <w:vertAlign w:val="subscript"/>
          <w:lang w:val="en-US"/>
        </w:rPr>
        <w:t>0-72 h</w:t>
      </w:r>
      <w:r w:rsidRPr="00AD70DE">
        <w:rPr>
          <w:lang w:val="en-US"/>
        </w:rPr>
        <w:t xml:space="preserve"> and </w:t>
      </w:r>
      <w:proofErr w:type="spellStart"/>
      <w:r w:rsidRPr="00AD70DE">
        <w:rPr>
          <w:lang w:val="en-US"/>
        </w:rPr>
        <w:t>C</w:t>
      </w:r>
      <w:r w:rsidRPr="00AD70DE">
        <w:rPr>
          <w:vertAlign w:val="subscript"/>
          <w:lang w:val="en-US"/>
        </w:rPr>
        <w:t>max</w:t>
      </w:r>
      <w:proofErr w:type="spellEnd"/>
      <w:r w:rsidRPr="00AD70DE">
        <w:rPr>
          <w:lang w:val="en-US"/>
        </w:rPr>
        <w:t xml:space="preserve"> of a single oral dose of 400 mg HCQ with and without pantoprazole.</w:t>
      </w:r>
    </w:p>
    <w:p w:rsidR="009C32E7" w:rsidRPr="00AD70DE" w:rsidRDefault="009C32E7" w:rsidP="00AD70DE">
      <w:pPr>
        <w:pStyle w:val="111Formatvorlage"/>
        <w:keepNext w:val="0"/>
        <w:numPr>
          <w:ilvl w:val="2"/>
          <w:numId w:val="3"/>
        </w:numPr>
        <w:spacing w:line="240" w:lineRule="exact"/>
        <w:ind w:left="851" w:hanging="851"/>
      </w:pPr>
      <w:bookmarkStart w:id="657" w:name="_Toc37173023"/>
      <w:bookmarkStart w:id="658" w:name="_Toc37243415"/>
      <w:r w:rsidRPr="00AD70DE">
        <w:t>Secondary endpoints</w:t>
      </w:r>
      <w:bookmarkEnd w:id="657"/>
      <w:bookmarkEnd w:id="658"/>
    </w:p>
    <w:p w:rsidR="009C32E7" w:rsidRPr="00AD70DE" w:rsidRDefault="009C32E7" w:rsidP="00AD70DE">
      <w:pPr>
        <w:pStyle w:val="Listenabsatz"/>
        <w:numPr>
          <w:ilvl w:val="0"/>
          <w:numId w:val="27"/>
        </w:numPr>
        <w:ind w:left="1134" w:hanging="283"/>
        <w:rPr>
          <w:lang w:val="en-US"/>
        </w:rPr>
      </w:pPr>
      <w:r w:rsidRPr="00AD70DE">
        <w:rPr>
          <w:lang w:val="en-US"/>
        </w:rPr>
        <w:t>AUC</w:t>
      </w:r>
      <w:r w:rsidRPr="00AD70DE">
        <w:rPr>
          <w:vertAlign w:val="subscript"/>
          <w:lang w:val="en-US"/>
        </w:rPr>
        <w:t>2-4 h</w:t>
      </w:r>
      <w:r w:rsidRPr="00AD70DE">
        <w:rPr>
          <w:lang w:val="en-US"/>
        </w:rPr>
        <w:t>, AUC</w:t>
      </w:r>
      <w:r w:rsidRPr="00AD70DE">
        <w:rPr>
          <w:vertAlign w:val="subscript"/>
          <w:lang w:val="en-US"/>
        </w:rPr>
        <w:t>0-6 h</w:t>
      </w:r>
      <w:r w:rsidRPr="00AD70DE">
        <w:rPr>
          <w:lang w:val="en-US"/>
        </w:rPr>
        <w:t xml:space="preserve"> and </w:t>
      </w:r>
      <w:proofErr w:type="spellStart"/>
      <w:r w:rsidRPr="00AD70DE">
        <w:rPr>
          <w:lang w:val="en-US"/>
        </w:rPr>
        <w:t>C</w:t>
      </w:r>
      <w:r w:rsidRPr="00AD70DE">
        <w:rPr>
          <w:vertAlign w:val="subscript"/>
          <w:lang w:val="en-US"/>
        </w:rPr>
        <w:t>max</w:t>
      </w:r>
      <w:proofErr w:type="spellEnd"/>
      <w:r w:rsidRPr="00AD70DE">
        <w:rPr>
          <w:lang w:val="en-US"/>
        </w:rPr>
        <w:t xml:space="preserve"> of </w:t>
      </w:r>
      <w:proofErr w:type="spellStart"/>
      <w:r w:rsidRPr="00AD70DE">
        <w:rPr>
          <w:lang w:val="en-US"/>
        </w:rPr>
        <w:t>microdosed</w:t>
      </w:r>
      <w:proofErr w:type="spellEnd"/>
      <w:r w:rsidRPr="00AD70DE">
        <w:rPr>
          <w:lang w:val="en-US"/>
        </w:rPr>
        <w:t xml:space="preserve"> midazolam and </w:t>
      </w:r>
      <w:proofErr w:type="spellStart"/>
      <w:r w:rsidRPr="00AD70DE">
        <w:rPr>
          <w:lang w:val="en-US"/>
        </w:rPr>
        <w:t>microdosed</w:t>
      </w:r>
      <w:proofErr w:type="spellEnd"/>
      <w:r w:rsidRPr="00AD70DE">
        <w:rPr>
          <w:lang w:val="en-US"/>
        </w:rPr>
        <w:t xml:space="preserve"> </w:t>
      </w:r>
      <w:proofErr w:type="spellStart"/>
      <w:r w:rsidRPr="00AD70DE">
        <w:rPr>
          <w:lang w:val="en-US"/>
        </w:rPr>
        <w:t>yohimbine</w:t>
      </w:r>
      <w:proofErr w:type="spellEnd"/>
      <w:r w:rsidRPr="00AD70DE">
        <w:rPr>
          <w:lang w:val="en-US"/>
        </w:rPr>
        <w:t>,</w:t>
      </w:r>
    </w:p>
    <w:p w:rsidR="009C32E7" w:rsidRPr="00AD70DE" w:rsidRDefault="009C32E7" w:rsidP="00AD70DE">
      <w:pPr>
        <w:pStyle w:val="Listenabsatz"/>
        <w:numPr>
          <w:ilvl w:val="0"/>
          <w:numId w:val="27"/>
        </w:numPr>
        <w:ind w:left="1134" w:hanging="283"/>
        <w:rPr>
          <w:lang w:val="en-US"/>
        </w:rPr>
      </w:pPr>
      <w:r w:rsidRPr="00AD70DE">
        <w:rPr>
          <w:lang w:val="en-US"/>
        </w:rPr>
        <w:t>Correlation of concentrations of HCQ in whole blood with concentrations in plasma and PBMCs.</w:t>
      </w:r>
    </w:p>
    <w:p w:rsidR="009C32E7" w:rsidRPr="00AD70DE" w:rsidRDefault="009C32E7" w:rsidP="00AD70DE">
      <w:pPr>
        <w:pStyle w:val="111Formatvorlage"/>
        <w:keepNext w:val="0"/>
        <w:numPr>
          <w:ilvl w:val="2"/>
          <w:numId w:val="3"/>
        </w:numPr>
        <w:spacing w:line="240" w:lineRule="exact"/>
        <w:ind w:left="851" w:hanging="851"/>
      </w:pPr>
      <w:bookmarkStart w:id="659" w:name="_Toc37173024"/>
      <w:bookmarkStart w:id="660" w:name="_Toc37243416"/>
      <w:r w:rsidRPr="00AD70DE">
        <w:t>Exploratory endpoints</w:t>
      </w:r>
      <w:bookmarkEnd w:id="659"/>
      <w:bookmarkEnd w:id="660"/>
    </w:p>
    <w:p w:rsidR="009C32E7" w:rsidRPr="00AD70DE" w:rsidRDefault="009C32E7" w:rsidP="00AD70DE">
      <w:pPr>
        <w:pStyle w:val="Listenabsatz"/>
        <w:numPr>
          <w:ilvl w:val="0"/>
          <w:numId w:val="27"/>
        </w:numPr>
        <w:ind w:left="1134" w:hanging="283"/>
        <w:rPr>
          <w:lang w:val="en-US"/>
        </w:rPr>
      </w:pPr>
      <w:r w:rsidRPr="00AD70DE">
        <w:rPr>
          <w:lang w:val="en-US"/>
        </w:rPr>
        <w:t>AUC</w:t>
      </w:r>
      <w:r w:rsidRPr="00AD70DE">
        <w:rPr>
          <w:vertAlign w:val="subscript"/>
          <w:lang w:val="en-US"/>
        </w:rPr>
        <w:t>0-72 h</w:t>
      </w:r>
      <w:r w:rsidRPr="00AD70DE">
        <w:rPr>
          <w:lang w:val="en-US"/>
        </w:rPr>
        <w:t xml:space="preserve"> and </w:t>
      </w:r>
      <w:proofErr w:type="spellStart"/>
      <w:r w:rsidRPr="00AD70DE">
        <w:rPr>
          <w:lang w:val="en-US"/>
        </w:rPr>
        <w:t>C</w:t>
      </w:r>
      <w:r w:rsidRPr="00AD70DE">
        <w:rPr>
          <w:vertAlign w:val="subscript"/>
          <w:lang w:val="en-US"/>
        </w:rPr>
        <w:t>max</w:t>
      </w:r>
      <w:proofErr w:type="spellEnd"/>
      <w:r w:rsidRPr="00AD70DE">
        <w:rPr>
          <w:lang w:val="en-US"/>
        </w:rPr>
        <w:t xml:space="preserve"> of major metabolites of HCQ, this may include but is not limited to </w:t>
      </w:r>
      <w:proofErr w:type="spellStart"/>
      <w:r w:rsidRPr="00AD70DE">
        <w:rPr>
          <w:lang w:val="en-US"/>
        </w:rPr>
        <w:t>desethyl</w:t>
      </w:r>
      <w:proofErr w:type="spellEnd"/>
      <w:r w:rsidRPr="00AD70DE">
        <w:rPr>
          <w:lang w:val="en-US"/>
        </w:rPr>
        <w:t>-HCQ with and without pantoprazole.</w:t>
      </w:r>
      <w:bookmarkEnd w:id="644"/>
      <w:bookmarkEnd w:id="645"/>
      <w:bookmarkEnd w:id="646"/>
      <w:bookmarkEnd w:id="647"/>
      <w:bookmarkEnd w:id="648"/>
      <w:bookmarkEnd w:id="649"/>
      <w:bookmarkEnd w:id="650"/>
      <w:bookmarkEnd w:id="651"/>
      <w:bookmarkEnd w:id="652"/>
      <w:bookmarkEnd w:id="653"/>
      <w:bookmarkEnd w:id="654"/>
      <w:bookmarkEnd w:id="655"/>
      <w:bookmarkEnd w:id="656"/>
    </w:p>
    <w:p w:rsidR="009C32E7" w:rsidRPr="00AD70DE" w:rsidRDefault="009C32E7" w:rsidP="00AD70DE">
      <w:pPr>
        <w:pStyle w:val="berschrift2"/>
        <w:keepNext w:val="0"/>
        <w:keepLines w:val="0"/>
        <w:spacing w:before="240"/>
        <w:ind w:left="567" w:hanging="567"/>
        <w:rPr>
          <w:color w:val="auto"/>
        </w:rPr>
      </w:pPr>
      <w:bookmarkStart w:id="661" w:name="_Toc256002319"/>
      <w:bookmarkStart w:id="662" w:name="_Toc256002222"/>
      <w:bookmarkStart w:id="663" w:name="_Toc256002125"/>
      <w:bookmarkStart w:id="664" w:name="_Toc256002028"/>
      <w:bookmarkStart w:id="665" w:name="_Toc256001850"/>
      <w:bookmarkStart w:id="666" w:name="_Toc256001617"/>
      <w:bookmarkStart w:id="667" w:name="_Toc256001385"/>
      <w:bookmarkStart w:id="668" w:name="_Toc256001147"/>
      <w:bookmarkStart w:id="669" w:name="_Toc256000919"/>
      <w:bookmarkStart w:id="670" w:name="_Toc256000647"/>
      <w:bookmarkStart w:id="671" w:name="_Toc256000371"/>
      <w:bookmarkStart w:id="672" w:name="_Toc256000046"/>
      <w:bookmarkStart w:id="673" w:name="_Toc9613127"/>
      <w:bookmarkStart w:id="674" w:name="_Toc37173025"/>
      <w:bookmarkStart w:id="675" w:name="_Toc37243417"/>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r w:rsidRPr="00AD70DE">
        <w:rPr>
          <w:color w:val="auto"/>
        </w:rPr>
        <w:t>Outcome measures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rsidR="009C32E7" w:rsidRPr="00AD70DE" w:rsidRDefault="009C32E7" w:rsidP="00AD70DE">
      <w:pPr>
        <w:pStyle w:val="Listenabsatz"/>
        <w:numPr>
          <w:ilvl w:val="0"/>
          <w:numId w:val="27"/>
        </w:numPr>
        <w:jc w:val="both"/>
        <w:rPr>
          <w:rFonts w:eastAsia="MS Mincho"/>
          <w:lang w:val="en-GB"/>
        </w:rPr>
      </w:pPr>
      <w:bookmarkStart w:id="676" w:name="_Toc256000200"/>
      <w:bookmarkStart w:id="677" w:name="_Toc256001910"/>
      <w:bookmarkStart w:id="678" w:name="_Toc256001818"/>
      <w:bookmarkStart w:id="679" w:name="_Toc256001726"/>
      <w:bookmarkStart w:id="680" w:name="_Toc256001634"/>
      <w:bookmarkStart w:id="681" w:name="_Toc256001542"/>
      <w:bookmarkStart w:id="682" w:name="_Toc256001450"/>
      <w:bookmarkStart w:id="683" w:name="_Toc256001358"/>
      <w:bookmarkStart w:id="684" w:name="_Toc256001266"/>
      <w:bookmarkStart w:id="685" w:name="_Toc256001174"/>
      <w:bookmarkStart w:id="686" w:name="_Toc256001082"/>
      <w:bookmarkStart w:id="687" w:name="_Toc256000990"/>
      <w:bookmarkStart w:id="688" w:name="_Toc256000898"/>
      <w:bookmarkStart w:id="689" w:name="_Toc256000806"/>
      <w:bookmarkStart w:id="690" w:name="_Toc256000714"/>
      <w:bookmarkStart w:id="691" w:name="_Toc256000622"/>
      <w:bookmarkStart w:id="692" w:name="_Toc256000530"/>
      <w:bookmarkStart w:id="693" w:name="_Toc256000438"/>
      <w:bookmarkStart w:id="694" w:name="_Toc256000346"/>
      <w:bookmarkStart w:id="695" w:name="_Toc256000254"/>
      <w:bookmarkStart w:id="696" w:name="_Toc256000162"/>
      <w:bookmarkStart w:id="697" w:name="_Toc455594077"/>
      <w:bookmarkStart w:id="698" w:name="_Toc461443267"/>
      <w:bookmarkStart w:id="699" w:name="_Toc466359800"/>
      <w:bookmarkStart w:id="700" w:name="_Toc469498877"/>
      <w:bookmarkStart w:id="701" w:name="_Toc491340323"/>
      <w:r w:rsidRPr="00AD70DE">
        <w:rPr>
          <w:rFonts w:eastAsia="MS Mincho"/>
          <w:lang w:val="en-GB"/>
        </w:rPr>
        <w:t>Concentration-time curve of HCQ and derived PK parameters in whole blood,</w:t>
      </w:r>
    </w:p>
    <w:p w:rsidR="009C32E7" w:rsidRPr="00AD70DE" w:rsidRDefault="009C32E7" w:rsidP="00AD70DE">
      <w:pPr>
        <w:pStyle w:val="Listenabsatz"/>
        <w:numPr>
          <w:ilvl w:val="0"/>
          <w:numId w:val="27"/>
        </w:numPr>
        <w:jc w:val="both"/>
        <w:rPr>
          <w:rFonts w:eastAsia="MS Mincho"/>
          <w:lang w:val="en-GB"/>
        </w:rPr>
      </w:pPr>
      <w:r w:rsidRPr="00AD70DE">
        <w:rPr>
          <w:rFonts w:eastAsia="MS Mincho"/>
          <w:lang w:val="en-GB"/>
        </w:rPr>
        <w:t xml:space="preserve">Concentration-time curve of midazolam and </w:t>
      </w:r>
      <w:proofErr w:type="spellStart"/>
      <w:r w:rsidRPr="00AD70DE">
        <w:rPr>
          <w:rFonts w:eastAsia="MS Mincho"/>
          <w:lang w:val="en-GB"/>
        </w:rPr>
        <w:t>yohimbine</w:t>
      </w:r>
      <w:proofErr w:type="spellEnd"/>
      <w:r w:rsidRPr="00AD70DE">
        <w:rPr>
          <w:rFonts w:eastAsia="MS Mincho"/>
          <w:lang w:val="en-GB"/>
        </w:rPr>
        <w:t xml:space="preserve"> in plasma,</w:t>
      </w:r>
    </w:p>
    <w:p w:rsidR="009C32E7" w:rsidRPr="00AD70DE" w:rsidRDefault="009C32E7" w:rsidP="00AD70DE">
      <w:pPr>
        <w:pStyle w:val="Listenabsatz"/>
        <w:numPr>
          <w:ilvl w:val="0"/>
          <w:numId w:val="27"/>
        </w:numPr>
        <w:jc w:val="both"/>
        <w:rPr>
          <w:rFonts w:eastAsia="MS Mincho"/>
          <w:lang w:val="en-GB"/>
        </w:rPr>
      </w:pPr>
      <w:r w:rsidRPr="00AD70DE">
        <w:rPr>
          <w:rFonts w:eastAsia="MS Mincho"/>
          <w:lang w:val="en-GB"/>
        </w:rPr>
        <w:t xml:space="preserve">Concentrations of HCQ and </w:t>
      </w:r>
      <w:proofErr w:type="spellStart"/>
      <w:r w:rsidRPr="00AD70DE">
        <w:rPr>
          <w:rFonts w:eastAsia="MS Mincho"/>
          <w:lang w:val="en-GB"/>
        </w:rPr>
        <w:t>desethyl</w:t>
      </w:r>
      <w:proofErr w:type="spellEnd"/>
      <w:r w:rsidRPr="00AD70DE">
        <w:rPr>
          <w:rFonts w:eastAsia="MS Mincho"/>
          <w:lang w:val="en-GB"/>
        </w:rPr>
        <w:t>-HCQ in plasma and PBMCs,</w:t>
      </w:r>
    </w:p>
    <w:p w:rsidR="009C32E7" w:rsidRPr="00AD70DE" w:rsidRDefault="009C32E7" w:rsidP="00AD70DE">
      <w:pPr>
        <w:pStyle w:val="Listenabsatz"/>
        <w:numPr>
          <w:ilvl w:val="0"/>
          <w:numId w:val="27"/>
        </w:numPr>
        <w:jc w:val="both"/>
        <w:rPr>
          <w:rFonts w:eastAsia="MS Mincho"/>
          <w:lang w:val="en-GB"/>
        </w:rPr>
      </w:pPr>
      <w:r w:rsidRPr="00AD70DE">
        <w:rPr>
          <w:rFonts w:eastAsia="MS Mincho"/>
          <w:lang w:val="en-GB"/>
        </w:rPr>
        <w:t>Concentration-time curve of HCQ metabolites and derived PK parameters.</w:t>
      </w:r>
    </w:p>
    <w:p w:rsidR="009C32E7" w:rsidRPr="00AD70DE" w:rsidRDefault="009C32E7" w:rsidP="00AD70DE">
      <w:pPr>
        <w:pStyle w:val="berschrift1"/>
        <w:keepNext w:val="0"/>
        <w:keepLines w:val="0"/>
        <w:spacing w:before="600" w:after="160" w:line="240" w:lineRule="exact"/>
        <w:ind w:left="357" w:hanging="357"/>
      </w:pPr>
      <w:bookmarkStart w:id="702" w:name="_Toc256002322"/>
      <w:bookmarkStart w:id="703" w:name="_Toc256002225"/>
      <w:bookmarkStart w:id="704" w:name="_Toc256002128"/>
      <w:bookmarkStart w:id="705" w:name="_Toc256002031"/>
      <w:bookmarkStart w:id="706" w:name="_Toc256001854"/>
      <w:bookmarkStart w:id="707" w:name="_Toc256001629"/>
      <w:bookmarkStart w:id="708" w:name="_Toc256001388"/>
      <w:bookmarkStart w:id="709" w:name="_Toc256001156"/>
      <w:bookmarkStart w:id="710" w:name="_Toc256000923"/>
      <w:bookmarkStart w:id="711" w:name="_Toc256000650"/>
      <w:bookmarkStart w:id="712" w:name="_Toc256000374"/>
      <w:bookmarkStart w:id="713" w:name="_Toc256000070"/>
      <w:bookmarkStart w:id="714" w:name="_Toc256000201"/>
      <w:bookmarkStart w:id="715" w:name="_Toc256001911"/>
      <w:bookmarkStart w:id="716" w:name="_Toc256001819"/>
      <w:bookmarkStart w:id="717" w:name="_Toc256001727"/>
      <w:bookmarkStart w:id="718" w:name="_Toc256001635"/>
      <w:bookmarkStart w:id="719" w:name="_Toc256001543"/>
      <w:bookmarkStart w:id="720" w:name="_Toc256001451"/>
      <w:bookmarkStart w:id="721" w:name="_Toc256001359"/>
      <w:bookmarkStart w:id="722" w:name="_Toc256001267"/>
      <w:bookmarkStart w:id="723" w:name="_Toc256001175"/>
      <w:bookmarkStart w:id="724" w:name="_Toc256001083"/>
      <w:bookmarkStart w:id="725" w:name="_Toc256000991"/>
      <w:bookmarkStart w:id="726" w:name="_Toc256000899"/>
      <w:bookmarkStart w:id="727" w:name="_Toc256000807"/>
      <w:bookmarkStart w:id="728" w:name="_Toc256000715"/>
      <w:bookmarkStart w:id="729" w:name="_Toc256000623"/>
      <w:bookmarkStart w:id="730" w:name="_Toc256000531"/>
      <w:bookmarkStart w:id="731" w:name="_Toc256000439"/>
      <w:bookmarkStart w:id="732" w:name="_Toc256000347"/>
      <w:bookmarkStart w:id="733" w:name="_Toc256000255"/>
      <w:bookmarkStart w:id="734" w:name="_Toc256000163"/>
      <w:bookmarkStart w:id="735" w:name="_Toc256000090"/>
      <w:bookmarkStart w:id="736" w:name="_Toc256000011"/>
      <w:bookmarkStart w:id="737" w:name="_Toc434223605"/>
      <w:bookmarkStart w:id="738" w:name="_Toc455594078"/>
      <w:bookmarkStart w:id="739" w:name="_Toc461443268"/>
      <w:bookmarkStart w:id="740" w:name="_Toc469498878"/>
      <w:bookmarkStart w:id="741" w:name="_Toc491340324"/>
      <w:bookmarkStart w:id="742" w:name="_Toc9613130"/>
      <w:bookmarkStart w:id="743" w:name="_Toc37173026"/>
      <w:bookmarkStart w:id="744" w:name="_Toc37243418"/>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Pr="00AD70DE">
        <w:t>Trial design</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rsidR="009C32E7" w:rsidRPr="00AD70DE" w:rsidRDefault="009C32E7" w:rsidP="00AD70DE">
      <w:pPr>
        <w:pStyle w:val="berschrift2"/>
        <w:keepNext w:val="0"/>
        <w:keepLines w:val="0"/>
        <w:spacing w:before="240"/>
        <w:ind w:left="567" w:hanging="567"/>
        <w:rPr>
          <w:color w:val="auto"/>
        </w:rPr>
      </w:pPr>
      <w:bookmarkStart w:id="745" w:name="_Toc256002323"/>
      <w:bookmarkStart w:id="746" w:name="_Toc256002226"/>
      <w:bookmarkStart w:id="747" w:name="_Toc256002129"/>
      <w:bookmarkStart w:id="748" w:name="_Toc256002032"/>
      <w:bookmarkStart w:id="749" w:name="_Toc256001855"/>
      <w:bookmarkStart w:id="750" w:name="_Toc256001632"/>
      <w:bookmarkStart w:id="751" w:name="_Toc256001389"/>
      <w:bookmarkStart w:id="752" w:name="_Toc256001157"/>
      <w:bookmarkStart w:id="753" w:name="_Toc256000924"/>
      <w:bookmarkStart w:id="754" w:name="_Toc256000651"/>
      <w:bookmarkStart w:id="755" w:name="_Toc256000375"/>
      <w:bookmarkStart w:id="756" w:name="_Toc256000075"/>
      <w:bookmarkStart w:id="757" w:name="_Toc256000208"/>
      <w:bookmarkStart w:id="758" w:name="_Toc469498879"/>
      <w:bookmarkStart w:id="759" w:name="_Toc491340325"/>
      <w:bookmarkStart w:id="760" w:name="_Toc9613131"/>
      <w:bookmarkStart w:id="761" w:name="_Toc37173027"/>
      <w:bookmarkStart w:id="762" w:name="_Toc37243419"/>
      <w:bookmarkStart w:id="763" w:name="_Toc256000092"/>
      <w:bookmarkStart w:id="764" w:name="_Toc256000013"/>
      <w:bookmarkStart w:id="765" w:name="_Toc434223607"/>
      <w:bookmarkStart w:id="766" w:name="_Toc256001912"/>
      <w:bookmarkStart w:id="767" w:name="_Toc256001820"/>
      <w:bookmarkStart w:id="768" w:name="_Toc256001728"/>
      <w:bookmarkStart w:id="769" w:name="_Toc256001636"/>
      <w:bookmarkStart w:id="770" w:name="_Toc256001544"/>
      <w:bookmarkStart w:id="771" w:name="_Toc256001452"/>
      <w:bookmarkStart w:id="772" w:name="_Toc256001360"/>
      <w:bookmarkStart w:id="773" w:name="_Toc256001268"/>
      <w:bookmarkStart w:id="774" w:name="_Toc256001176"/>
      <w:bookmarkStart w:id="775" w:name="_Toc256001084"/>
      <w:bookmarkStart w:id="776" w:name="_Toc256000992"/>
      <w:bookmarkStart w:id="777" w:name="_Toc256000900"/>
      <w:bookmarkStart w:id="778" w:name="_Toc256000808"/>
      <w:bookmarkStart w:id="779" w:name="_Toc256000716"/>
      <w:bookmarkStart w:id="780" w:name="_Toc256000624"/>
      <w:bookmarkStart w:id="781" w:name="_Toc256000532"/>
      <w:bookmarkStart w:id="782" w:name="_Toc256000440"/>
      <w:bookmarkStart w:id="783" w:name="_Toc256000348"/>
      <w:bookmarkStart w:id="784" w:name="_Toc256000256"/>
      <w:bookmarkStart w:id="785" w:name="_Toc256000164"/>
      <w:bookmarkStart w:id="786" w:name="_Toc455594079"/>
      <w:bookmarkStart w:id="787" w:name="_Toc461443269"/>
      <w:r w:rsidRPr="00AD70DE">
        <w:rPr>
          <w:color w:val="auto"/>
        </w:rPr>
        <w:t>Clinical phase</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rsidR="009C32E7" w:rsidRPr="00AD70DE" w:rsidRDefault="009C32E7" w:rsidP="00AD70DE">
      <w:pPr>
        <w:rPr>
          <w:lang w:val="en-GB"/>
        </w:rPr>
      </w:pPr>
      <w:bookmarkStart w:id="788" w:name="_Toc256000210"/>
      <w:bookmarkStart w:id="789" w:name="_Toc469498880"/>
      <w:bookmarkStart w:id="790" w:name="_Toc491340326"/>
      <w:proofErr w:type="gramStart"/>
      <w:r w:rsidRPr="00AD70DE">
        <w:rPr>
          <w:lang w:val="en-GB"/>
        </w:rPr>
        <w:t>Phase</w:t>
      </w:r>
      <w:proofErr w:type="gramEnd"/>
      <w:r w:rsidRPr="00AD70DE">
        <w:rPr>
          <w:lang w:val="en-GB"/>
        </w:rPr>
        <w:t xml:space="preserve"> I (DDI trial).</w:t>
      </w:r>
    </w:p>
    <w:p w:rsidR="009C32E7" w:rsidRPr="00AD70DE" w:rsidRDefault="009C32E7" w:rsidP="00AD70DE">
      <w:pPr>
        <w:pStyle w:val="berschrift2"/>
        <w:spacing w:before="240"/>
        <w:ind w:left="567" w:hanging="567"/>
        <w:rPr>
          <w:color w:val="auto"/>
        </w:rPr>
      </w:pPr>
      <w:bookmarkStart w:id="791" w:name="_Toc256002324"/>
      <w:bookmarkStart w:id="792" w:name="_Toc256002227"/>
      <w:bookmarkStart w:id="793" w:name="_Toc256002130"/>
      <w:bookmarkStart w:id="794" w:name="_Toc256002033"/>
      <w:bookmarkStart w:id="795" w:name="_Toc256001856"/>
      <w:bookmarkStart w:id="796" w:name="_Toc256001633"/>
      <w:bookmarkStart w:id="797" w:name="_Toc256001390"/>
      <w:bookmarkStart w:id="798" w:name="_Toc256001158"/>
      <w:bookmarkStart w:id="799" w:name="_Toc256000925"/>
      <w:bookmarkStart w:id="800" w:name="_Toc256000652"/>
      <w:bookmarkStart w:id="801" w:name="_Toc256000376"/>
      <w:bookmarkStart w:id="802" w:name="_Toc256000080"/>
      <w:bookmarkStart w:id="803" w:name="_Toc9613132"/>
      <w:bookmarkStart w:id="804" w:name="_Toc37173028"/>
      <w:bookmarkStart w:id="805" w:name="_Toc37243420"/>
      <w:r w:rsidRPr="00AD70DE">
        <w:rPr>
          <w:color w:val="auto"/>
        </w:rPr>
        <w:t>Trial design</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rsidR="009C32E7" w:rsidRPr="00AD70DE" w:rsidRDefault="009C32E7" w:rsidP="00AD70DE">
      <w:pPr>
        <w:rPr>
          <w:lang w:val="en-GB"/>
        </w:rPr>
      </w:pPr>
      <w:bookmarkStart w:id="806" w:name="_Toc256000211"/>
      <w:bookmarkStart w:id="807" w:name="_Toc469498881"/>
      <w:bookmarkStart w:id="808" w:name="_Toc491340327"/>
      <w:bookmarkStart w:id="809" w:name="_Toc256002325"/>
      <w:bookmarkStart w:id="810" w:name="_Toc256002228"/>
      <w:bookmarkStart w:id="811" w:name="_Toc256002131"/>
      <w:bookmarkStart w:id="812" w:name="_Toc256002034"/>
      <w:bookmarkStart w:id="813" w:name="_Toc256001857"/>
      <w:bookmarkStart w:id="814" w:name="_Toc256001637"/>
      <w:bookmarkStart w:id="815" w:name="_Toc256001391"/>
      <w:bookmarkStart w:id="816" w:name="_Toc256001163"/>
      <w:bookmarkStart w:id="817" w:name="_Toc256000926"/>
      <w:bookmarkStart w:id="818" w:name="_Toc256000653"/>
      <w:bookmarkStart w:id="819" w:name="_Toc256000377"/>
      <w:bookmarkStart w:id="820" w:name="_Toc256000081"/>
      <w:bookmarkStart w:id="821" w:name="_Toc9613133"/>
      <w:r w:rsidRPr="00AD70DE">
        <w:rPr>
          <w:lang w:val="en-GB"/>
        </w:rPr>
        <w:t xml:space="preserve">This is a single centre, open-label, parallel group, two-arm, one-sequence phase I DDI trial in healthy volunteers. </w:t>
      </w:r>
    </w:p>
    <w:p w:rsidR="009C32E7" w:rsidRPr="00AD70DE" w:rsidRDefault="009C32E7" w:rsidP="00AD70DE">
      <w:pPr>
        <w:rPr>
          <w:lang w:val="en-GB"/>
        </w:rPr>
      </w:pPr>
      <w:r w:rsidRPr="00AD70DE">
        <w:rPr>
          <w:lang w:val="en-GB"/>
        </w:rPr>
        <w:t>The result of the trial is expected to have impact on the HCQ treatment of COVID-19 patients, which is currently an urgent pandemic challenge. The parallel design is preferred to the cross-over design due to the very long elimination half-life of HCQ.</w:t>
      </w:r>
    </w:p>
    <w:p w:rsidR="009C32E7" w:rsidRPr="00AD70DE" w:rsidRDefault="009C32E7" w:rsidP="00AD70DE">
      <w:pPr>
        <w:rPr>
          <w:lang w:val="en-GB"/>
        </w:rPr>
      </w:pPr>
      <w:r w:rsidRPr="00AD70DE">
        <w:rPr>
          <w:lang w:val="en-GB"/>
        </w:rPr>
        <w:t xml:space="preserve">The trial consists of a SCR visit, a treatment period, and an EOT visit. </w:t>
      </w:r>
    </w:p>
    <w:p w:rsidR="009C32E7" w:rsidRPr="00AD70DE" w:rsidRDefault="009C32E7" w:rsidP="00AD70DE">
      <w:pPr>
        <w:pStyle w:val="berschrift2"/>
        <w:keepNext w:val="0"/>
        <w:keepLines w:val="0"/>
        <w:spacing w:before="240"/>
        <w:ind w:left="567" w:hanging="567"/>
        <w:rPr>
          <w:color w:val="auto"/>
        </w:rPr>
      </w:pPr>
      <w:bookmarkStart w:id="822" w:name="_Toc37173029"/>
      <w:bookmarkStart w:id="823" w:name="_Toc37243421"/>
      <w:r w:rsidRPr="00AD70DE">
        <w:rPr>
          <w:color w:val="auto"/>
        </w:rPr>
        <w:t>Overvie</w:t>
      </w:r>
      <w:bookmarkEnd w:id="763"/>
      <w:bookmarkEnd w:id="764"/>
      <w:bookmarkEnd w:id="765"/>
      <w:r w:rsidRPr="00AD70DE">
        <w:rPr>
          <w:color w:val="auto"/>
        </w:rPr>
        <w:t>w</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rsidR="009C32E7" w:rsidRPr="00AD70DE" w:rsidRDefault="009C32E7" w:rsidP="00AD70DE">
      <w:pPr>
        <w:rPr>
          <w:lang w:val="en-GB"/>
        </w:rPr>
      </w:pPr>
      <w:r w:rsidRPr="00AD70DE">
        <w:rPr>
          <w:lang w:val="en-GB"/>
        </w:rPr>
        <w:object w:dxaOrig="7191" w:dyaOrig="5390">
          <v:shape id="_x0000_i1056" type="#_x0000_t75" style="width:359.25pt;height:269.25pt" o:ole="">
            <v:imagedata r:id="rId15" o:title=""/>
          </v:shape>
          <o:OLEObject Type="Embed" ProgID="PowerPoint.Show.12" ShapeID="_x0000_i1056" DrawAspect="Content" ObjectID="_1649249666" r:id="rId16"/>
        </w:object>
      </w:r>
    </w:p>
    <w:p w:rsidR="009C32E7" w:rsidRPr="00AD70DE" w:rsidRDefault="009C32E7" w:rsidP="00AD70DE">
      <w:pPr>
        <w:spacing w:before="120" w:after="0"/>
        <w:rPr>
          <w:sz w:val="18"/>
          <w:szCs w:val="18"/>
          <w:lang w:val="en-GB"/>
        </w:rPr>
      </w:pPr>
      <w:r w:rsidRPr="00AD70DE">
        <w:rPr>
          <w:b/>
          <w:sz w:val="18"/>
          <w:szCs w:val="18"/>
          <w:lang w:val="en-GB"/>
        </w:rPr>
        <w:t xml:space="preserve">Figure 3: </w:t>
      </w:r>
      <w:r w:rsidRPr="00AD70DE">
        <w:rPr>
          <w:sz w:val="18"/>
          <w:szCs w:val="18"/>
          <w:lang w:val="en-GB"/>
        </w:rPr>
        <w:t xml:space="preserve">Trial design of a randomized two-arm, one sequence DDI trial in healthy volunteers evaluating the impact of pantoprazole therapy on HCQ PK. Concurrently, the relationship between HCQ PK and activities of CYP2D6 and CYP3A4 is investigated on the basis of exposure to the </w:t>
      </w:r>
      <w:proofErr w:type="spellStart"/>
      <w:r w:rsidRPr="00AD70DE">
        <w:rPr>
          <w:sz w:val="18"/>
          <w:szCs w:val="18"/>
          <w:lang w:val="en-GB"/>
        </w:rPr>
        <w:t>microdosed</w:t>
      </w:r>
      <w:proofErr w:type="spellEnd"/>
      <w:r w:rsidRPr="00AD70DE">
        <w:rPr>
          <w:sz w:val="18"/>
          <w:szCs w:val="18"/>
          <w:lang w:val="en-GB"/>
        </w:rPr>
        <w:t xml:space="preserve"> probe drugs </w:t>
      </w:r>
      <w:proofErr w:type="spellStart"/>
      <w:r w:rsidRPr="00AD70DE">
        <w:rPr>
          <w:sz w:val="18"/>
          <w:szCs w:val="18"/>
          <w:lang w:val="en-GB"/>
        </w:rPr>
        <w:t>yohimbine</w:t>
      </w:r>
      <w:proofErr w:type="spellEnd"/>
      <w:r w:rsidRPr="00AD70DE">
        <w:rPr>
          <w:sz w:val="18"/>
          <w:szCs w:val="18"/>
          <w:lang w:val="en-GB"/>
        </w:rPr>
        <w:t xml:space="preserve"> and midazolam (µMµY).</w:t>
      </w:r>
    </w:p>
    <w:p w:rsidR="009C32E7" w:rsidRPr="00AD70DE" w:rsidRDefault="009C32E7" w:rsidP="00AD70DE">
      <w:pPr>
        <w:spacing w:before="120" w:after="0"/>
        <w:rPr>
          <w:sz w:val="18"/>
          <w:szCs w:val="18"/>
          <w:lang w:val="en-GB"/>
        </w:rPr>
      </w:pPr>
      <w:bookmarkStart w:id="824" w:name="_Toc256000243"/>
      <w:bookmarkStart w:id="825" w:name="_Toc256001914"/>
      <w:bookmarkStart w:id="826" w:name="_Toc256001822"/>
      <w:bookmarkStart w:id="827" w:name="_Toc256001730"/>
      <w:bookmarkStart w:id="828" w:name="_Toc256001638"/>
      <w:bookmarkStart w:id="829" w:name="_Toc256001546"/>
      <w:bookmarkStart w:id="830" w:name="_Toc256001454"/>
      <w:bookmarkStart w:id="831" w:name="_Toc256001362"/>
      <w:bookmarkStart w:id="832" w:name="_Toc256001270"/>
      <w:bookmarkStart w:id="833" w:name="_Toc256001178"/>
      <w:bookmarkStart w:id="834" w:name="_Toc256001086"/>
      <w:bookmarkStart w:id="835" w:name="_Toc256000994"/>
      <w:bookmarkStart w:id="836" w:name="_Toc256000902"/>
      <w:bookmarkStart w:id="837" w:name="_Toc256000810"/>
      <w:bookmarkStart w:id="838" w:name="_Toc256000718"/>
      <w:bookmarkStart w:id="839" w:name="_Toc256000626"/>
      <w:bookmarkStart w:id="840" w:name="_Toc256000534"/>
      <w:bookmarkStart w:id="841" w:name="_Toc256000442"/>
      <w:bookmarkStart w:id="842" w:name="_Toc256000350"/>
      <w:bookmarkStart w:id="843" w:name="_Toc256000258"/>
      <w:bookmarkStart w:id="844" w:name="_Toc256000166"/>
      <w:bookmarkStart w:id="845" w:name="_Toc256000094"/>
      <w:bookmarkStart w:id="846" w:name="_Toc256000015"/>
      <w:bookmarkStart w:id="847" w:name="_Toc434223609"/>
      <w:bookmarkStart w:id="848" w:name="_Toc455594081"/>
      <w:bookmarkStart w:id="849" w:name="_Toc461443271"/>
      <w:bookmarkStart w:id="850" w:name="_Toc469498882"/>
      <w:bookmarkStart w:id="851" w:name="_Toc491340328"/>
    </w:p>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The trial duration for each participant can vary between 17 and 65 d, the screening period may last up to 28 d and will be followed by a minimum 9 d treatment period. The EOT is planned 7 to 28 d after V5.</w:t>
      </w:r>
    </w:p>
    <w:p w:rsidR="009C32E7" w:rsidRPr="00AD70DE" w:rsidRDefault="009C32E7" w:rsidP="00AD70DE">
      <w:pPr>
        <w:pStyle w:val="berschrift2"/>
        <w:keepNext w:val="0"/>
        <w:keepLines w:val="0"/>
        <w:spacing w:before="240"/>
        <w:ind w:left="567" w:hanging="567"/>
        <w:rPr>
          <w:color w:val="auto"/>
        </w:rPr>
      </w:pPr>
      <w:bookmarkStart w:id="852" w:name="_Toc256002326"/>
      <w:bookmarkStart w:id="853" w:name="_Toc256002229"/>
      <w:bookmarkStart w:id="854" w:name="_Toc256002132"/>
      <w:bookmarkStart w:id="855" w:name="_Toc256002035"/>
      <w:bookmarkStart w:id="856" w:name="_Toc256001864"/>
      <w:bookmarkStart w:id="857" w:name="_Toc256001639"/>
      <w:bookmarkStart w:id="858" w:name="_Toc256001393"/>
      <w:bookmarkStart w:id="859" w:name="_Toc256001169"/>
      <w:bookmarkStart w:id="860" w:name="_Toc256000927"/>
      <w:bookmarkStart w:id="861" w:name="_Toc256000655"/>
      <w:bookmarkStart w:id="862" w:name="_Toc256000379"/>
      <w:bookmarkStart w:id="863" w:name="_Toc256000082"/>
      <w:bookmarkStart w:id="864" w:name="_Toc256000302"/>
      <w:bookmarkStart w:id="865" w:name="_Toc469498891"/>
      <w:bookmarkStart w:id="866" w:name="_Toc491340337"/>
      <w:bookmarkStart w:id="867" w:name="_Toc9613134"/>
      <w:bookmarkStart w:id="868" w:name="_Toc37173030"/>
      <w:bookmarkStart w:id="869" w:name="_Toc37243422"/>
      <w:bookmarkStart w:id="870" w:name="_Toc256001916"/>
      <w:bookmarkStart w:id="871" w:name="_Toc256001824"/>
      <w:bookmarkStart w:id="872" w:name="_Toc256001732"/>
      <w:bookmarkStart w:id="873" w:name="_Toc256001640"/>
      <w:bookmarkStart w:id="874" w:name="_Toc256001548"/>
      <w:bookmarkStart w:id="875" w:name="_Toc256001456"/>
      <w:bookmarkStart w:id="876" w:name="_Toc256001364"/>
      <w:bookmarkStart w:id="877" w:name="_Toc256001272"/>
      <w:bookmarkStart w:id="878" w:name="_Toc256001180"/>
      <w:bookmarkStart w:id="879" w:name="_Toc256001088"/>
      <w:bookmarkStart w:id="880" w:name="_Toc256000996"/>
      <w:bookmarkStart w:id="881" w:name="_Toc256000904"/>
      <w:bookmarkStart w:id="882" w:name="_Toc256000812"/>
      <w:bookmarkStart w:id="883" w:name="_Toc256000720"/>
      <w:bookmarkStart w:id="884" w:name="_Toc256000628"/>
      <w:bookmarkStart w:id="885" w:name="_Toc256000536"/>
      <w:bookmarkStart w:id="886" w:name="_Toc256000444"/>
      <w:bookmarkStart w:id="887" w:name="_Toc256000352"/>
      <w:bookmarkStart w:id="888" w:name="_Toc256000260"/>
      <w:bookmarkStart w:id="889" w:name="_Toc256000168"/>
      <w:bookmarkStart w:id="890" w:name="_Toc256000112"/>
      <w:bookmarkStart w:id="891" w:name="_Toc256000033"/>
      <w:bookmarkStart w:id="892" w:name="_Toc434223627"/>
      <w:bookmarkStart w:id="893" w:name="_Toc455594083"/>
      <w:bookmarkStart w:id="894" w:name="_Toc461443273"/>
      <w:r w:rsidRPr="00AD70DE">
        <w:rPr>
          <w:color w:val="auto"/>
        </w:rPr>
        <w:t>Time schedule of the clinical trial</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rsidR="009C32E7" w:rsidRPr="00AD70DE" w:rsidRDefault="009C32E7" w:rsidP="00AD70DE">
      <w:pPr>
        <w:tabs>
          <w:tab w:val="left" w:pos="2835"/>
        </w:tabs>
        <w:autoSpaceDE w:val="0"/>
        <w:autoSpaceDN w:val="0"/>
        <w:adjustRightInd w:val="0"/>
        <w:rPr>
          <w:lang w:val="en-GB"/>
        </w:rPr>
      </w:pPr>
      <w:r w:rsidRPr="00AD70DE">
        <w:rPr>
          <w:lang w:val="en-GB"/>
        </w:rPr>
        <w:t>See synopsis.</w:t>
      </w:r>
    </w:p>
    <w:p w:rsidR="009C32E7" w:rsidRPr="00AD70DE" w:rsidRDefault="009C32E7" w:rsidP="00AD70DE">
      <w:pPr>
        <w:autoSpaceDE w:val="0"/>
        <w:autoSpaceDN w:val="0"/>
        <w:adjustRightInd w:val="0"/>
        <w:rPr>
          <w:rFonts w:cs="Calibri"/>
          <w:lang w:val="en-GB" w:eastAsia="de-DE"/>
        </w:rPr>
      </w:pPr>
      <w:r w:rsidRPr="00AD70DE">
        <w:rPr>
          <w:lang w:val="en-GB"/>
        </w:rPr>
        <w:t>EOT</w:t>
      </w:r>
      <w:r w:rsidRPr="00AD70DE">
        <w:rPr>
          <w:rFonts w:cs="Calibri"/>
          <w:lang w:val="en-GB" w:eastAsia="de-DE"/>
        </w:rPr>
        <w:t xml:space="preserve"> is defined as the date of database lock. </w:t>
      </w:r>
    </w:p>
    <w:p w:rsidR="009C32E7" w:rsidRPr="00AD70DE" w:rsidRDefault="009C32E7" w:rsidP="00AD70DE">
      <w:pPr>
        <w:pStyle w:val="berschrift1"/>
        <w:keepNext w:val="0"/>
        <w:keepLines w:val="0"/>
        <w:spacing w:before="600" w:after="160" w:line="240" w:lineRule="exact"/>
        <w:ind w:left="357" w:hanging="357"/>
      </w:pPr>
      <w:bookmarkStart w:id="895" w:name="_Toc256002327"/>
      <w:bookmarkStart w:id="896" w:name="_Toc256002230"/>
      <w:bookmarkStart w:id="897" w:name="_Toc256002133"/>
      <w:bookmarkStart w:id="898" w:name="_Toc256002036"/>
      <w:bookmarkStart w:id="899" w:name="_Toc256001866"/>
      <w:bookmarkStart w:id="900" w:name="_Toc256001648"/>
      <w:bookmarkStart w:id="901" w:name="_Toc256001394"/>
      <w:bookmarkStart w:id="902" w:name="_Toc256001172"/>
      <w:bookmarkStart w:id="903" w:name="_Toc256000928"/>
      <w:bookmarkStart w:id="904" w:name="_Toc256000657"/>
      <w:bookmarkStart w:id="905" w:name="_Toc256000381"/>
      <w:bookmarkStart w:id="906" w:name="_Toc256000093"/>
      <w:bookmarkStart w:id="907" w:name="_Toc256000303"/>
      <w:bookmarkStart w:id="908" w:name="_Toc469498893"/>
      <w:bookmarkStart w:id="909" w:name="_Toc491340338"/>
      <w:bookmarkStart w:id="910" w:name="_Toc9613135"/>
      <w:bookmarkStart w:id="911" w:name="_Toc37173031"/>
      <w:bookmarkStart w:id="912" w:name="_Toc37243423"/>
      <w:r w:rsidRPr="00AD70DE">
        <w:t>Trial population</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rsidR="009C32E7" w:rsidRPr="00AD70DE" w:rsidRDefault="009C32E7" w:rsidP="00AD70DE">
      <w:pPr>
        <w:pStyle w:val="berschrift2"/>
        <w:keepNext w:val="0"/>
        <w:keepLines w:val="0"/>
        <w:spacing w:before="240"/>
        <w:ind w:left="567" w:hanging="567"/>
        <w:rPr>
          <w:color w:val="auto"/>
        </w:rPr>
      </w:pPr>
      <w:bookmarkStart w:id="913" w:name="_Toc256002328"/>
      <w:bookmarkStart w:id="914" w:name="_Toc256002231"/>
      <w:bookmarkStart w:id="915" w:name="_Toc256002134"/>
      <w:bookmarkStart w:id="916" w:name="_Toc256002037"/>
      <w:bookmarkStart w:id="917" w:name="_Toc256001867"/>
      <w:bookmarkStart w:id="918" w:name="_Toc256001653"/>
      <w:bookmarkStart w:id="919" w:name="_Toc256001395"/>
      <w:bookmarkStart w:id="920" w:name="_Toc256001173"/>
      <w:bookmarkStart w:id="921" w:name="_Toc256000929"/>
      <w:bookmarkStart w:id="922" w:name="_Toc256000658"/>
      <w:bookmarkStart w:id="923" w:name="_Toc256000382"/>
      <w:bookmarkStart w:id="924" w:name="_Toc256000097"/>
      <w:bookmarkStart w:id="925" w:name="_Toc256000335"/>
      <w:bookmarkStart w:id="926" w:name="_Toc256001917"/>
      <w:bookmarkStart w:id="927" w:name="_Toc256001825"/>
      <w:bookmarkStart w:id="928" w:name="_Toc256001733"/>
      <w:bookmarkStart w:id="929" w:name="_Toc256001641"/>
      <w:bookmarkStart w:id="930" w:name="_Toc256001549"/>
      <w:bookmarkStart w:id="931" w:name="_Toc256001457"/>
      <w:bookmarkStart w:id="932" w:name="_Toc256001365"/>
      <w:bookmarkStart w:id="933" w:name="_Toc256001273"/>
      <w:bookmarkStart w:id="934" w:name="_Toc256001181"/>
      <w:bookmarkStart w:id="935" w:name="_Toc256001089"/>
      <w:bookmarkStart w:id="936" w:name="_Toc256000997"/>
      <w:bookmarkStart w:id="937" w:name="_Toc256000905"/>
      <w:bookmarkStart w:id="938" w:name="_Toc256000813"/>
      <w:bookmarkStart w:id="939" w:name="_Toc256000721"/>
      <w:bookmarkStart w:id="940" w:name="_Toc256000629"/>
      <w:bookmarkStart w:id="941" w:name="_Toc256000537"/>
      <w:bookmarkStart w:id="942" w:name="_Toc256000445"/>
      <w:bookmarkStart w:id="943" w:name="_Toc256000353"/>
      <w:bookmarkStart w:id="944" w:name="_Toc256000261"/>
      <w:bookmarkStart w:id="945" w:name="_Toc256000169"/>
      <w:bookmarkStart w:id="946" w:name="_Toc256000113"/>
      <w:bookmarkStart w:id="947" w:name="_Toc256000034"/>
      <w:bookmarkStart w:id="948" w:name="_Toc434223628"/>
      <w:bookmarkStart w:id="949" w:name="_Toc455594084"/>
      <w:bookmarkStart w:id="950" w:name="_Toc461443274"/>
      <w:bookmarkStart w:id="951" w:name="_Toc469498894"/>
      <w:bookmarkStart w:id="952" w:name="_Toc491340339"/>
      <w:bookmarkStart w:id="953" w:name="_Toc9613136"/>
      <w:bookmarkStart w:id="954" w:name="_Toc37173032"/>
      <w:bookmarkStart w:id="955" w:name="_Toc37243424"/>
      <w:r w:rsidRPr="00AD70DE">
        <w:rPr>
          <w:color w:val="auto"/>
        </w:rPr>
        <w:t>Type and planned number of population</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rsidR="009C32E7" w:rsidRPr="00AD70DE" w:rsidRDefault="009C32E7" w:rsidP="00AD70DE">
      <w:pPr>
        <w:rPr>
          <w:lang w:val="en-GB"/>
        </w:rPr>
      </w:pPr>
      <w:r w:rsidRPr="00AD70DE">
        <w:rPr>
          <w:lang w:val="en-GB"/>
        </w:rPr>
        <w:t>A minimum of 24 healthy volunteers (12 per arm) will be included. In total, a maximum of up to 36 volunteers may be included.</w:t>
      </w:r>
    </w:p>
    <w:p w:rsidR="009C32E7" w:rsidRPr="00AD70DE" w:rsidRDefault="009C32E7" w:rsidP="00AD70DE">
      <w:pPr>
        <w:spacing w:after="0" w:line="276" w:lineRule="auto"/>
        <w:rPr>
          <w:lang w:val="en-GB"/>
        </w:rPr>
      </w:pPr>
      <w:r w:rsidRPr="00AD70DE">
        <w:rPr>
          <w:lang w:val="en-GB"/>
        </w:rPr>
        <w:t>Gender is not expected to have an impact for the evaluation of the DDI. Therefore female and male participants will be included in an undefined proportion.</w:t>
      </w:r>
    </w:p>
    <w:p w:rsidR="009C32E7" w:rsidRPr="00AD70DE" w:rsidRDefault="009C32E7" w:rsidP="00AD70DE">
      <w:pPr>
        <w:pStyle w:val="berschrift2"/>
        <w:spacing w:before="240"/>
        <w:ind w:left="567" w:hanging="567"/>
        <w:rPr>
          <w:color w:val="auto"/>
        </w:rPr>
      </w:pPr>
      <w:bookmarkStart w:id="956" w:name="_Toc256002329"/>
      <w:bookmarkStart w:id="957" w:name="_Toc256002232"/>
      <w:bookmarkStart w:id="958" w:name="_Toc256002135"/>
      <w:bookmarkStart w:id="959" w:name="_Toc256002038"/>
      <w:bookmarkStart w:id="960" w:name="_Toc256001874"/>
      <w:bookmarkStart w:id="961" w:name="_Toc256001654"/>
      <w:bookmarkStart w:id="962" w:name="_Toc256001396"/>
      <w:bookmarkStart w:id="963" w:name="_Toc256001177"/>
      <w:bookmarkStart w:id="964" w:name="_Toc256000930"/>
      <w:bookmarkStart w:id="965" w:name="_Toc256000663"/>
      <w:bookmarkStart w:id="966" w:name="_Toc256000383"/>
      <w:bookmarkStart w:id="967" w:name="_Toc256000098"/>
      <w:bookmarkStart w:id="968" w:name="_Toc256000344"/>
      <w:bookmarkStart w:id="969" w:name="_Toc256001918"/>
      <w:bookmarkStart w:id="970" w:name="_Toc256001826"/>
      <w:bookmarkStart w:id="971" w:name="_Toc256001734"/>
      <w:bookmarkStart w:id="972" w:name="_Toc256001642"/>
      <w:bookmarkStart w:id="973" w:name="_Toc256001550"/>
      <w:bookmarkStart w:id="974" w:name="_Toc256001458"/>
      <w:bookmarkStart w:id="975" w:name="_Toc256001366"/>
      <w:bookmarkStart w:id="976" w:name="_Toc256001274"/>
      <w:bookmarkStart w:id="977" w:name="_Toc256001182"/>
      <w:bookmarkStart w:id="978" w:name="_Toc256001090"/>
      <w:bookmarkStart w:id="979" w:name="_Toc256000998"/>
      <w:bookmarkStart w:id="980" w:name="_Toc256000906"/>
      <w:bookmarkStart w:id="981" w:name="_Toc256000814"/>
      <w:bookmarkStart w:id="982" w:name="_Toc256000722"/>
      <w:bookmarkStart w:id="983" w:name="_Toc256000630"/>
      <w:bookmarkStart w:id="984" w:name="_Toc256000538"/>
      <w:bookmarkStart w:id="985" w:name="_Toc256000446"/>
      <w:bookmarkStart w:id="986" w:name="_Toc256000354"/>
      <w:bookmarkStart w:id="987" w:name="_Toc256000262"/>
      <w:bookmarkStart w:id="988" w:name="_Toc256000170"/>
      <w:bookmarkStart w:id="989" w:name="_Toc256000115"/>
      <w:bookmarkStart w:id="990" w:name="_Toc256000036"/>
      <w:bookmarkStart w:id="991" w:name="_Toc434223630"/>
      <w:bookmarkStart w:id="992" w:name="_Toc455594085"/>
      <w:bookmarkStart w:id="993" w:name="_Toc461443275"/>
      <w:bookmarkStart w:id="994" w:name="_Toc469498895"/>
      <w:bookmarkStart w:id="995" w:name="_Toc491340340"/>
      <w:bookmarkStart w:id="996" w:name="_Toc9613137"/>
      <w:bookmarkStart w:id="997" w:name="_Toc37173033"/>
      <w:bookmarkStart w:id="998" w:name="_Toc37243425"/>
      <w:r w:rsidRPr="00AD70DE">
        <w:rPr>
          <w:color w:val="auto"/>
        </w:rPr>
        <w:t>Inclusion criteria</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rsidR="009C32E7" w:rsidRPr="00AD70DE" w:rsidRDefault="009C32E7" w:rsidP="00AD70DE">
      <w:pPr>
        <w:spacing w:after="0"/>
        <w:contextualSpacing/>
        <w:jc w:val="both"/>
        <w:rPr>
          <w:lang w:val="en-GB"/>
        </w:rPr>
      </w:pPr>
      <w:r w:rsidRPr="00AD70DE">
        <w:rPr>
          <w:lang w:val="en-GB"/>
        </w:rPr>
        <w:t>See synopsis.</w:t>
      </w:r>
    </w:p>
    <w:p w:rsidR="009C32E7" w:rsidRPr="00AD70DE" w:rsidRDefault="009C32E7" w:rsidP="00AD70DE">
      <w:pPr>
        <w:pStyle w:val="berschrift2"/>
        <w:spacing w:before="240"/>
        <w:ind w:left="567" w:hanging="567"/>
        <w:rPr>
          <w:color w:val="auto"/>
        </w:rPr>
      </w:pPr>
      <w:bookmarkStart w:id="999" w:name="_Toc256002330"/>
      <w:bookmarkStart w:id="1000" w:name="_Toc256002233"/>
      <w:bookmarkStart w:id="1001" w:name="_Toc256002136"/>
      <w:bookmarkStart w:id="1002" w:name="_Toc256002039"/>
      <w:bookmarkStart w:id="1003" w:name="_Toc256001883"/>
      <w:bookmarkStart w:id="1004" w:name="_Toc256001655"/>
      <w:bookmarkStart w:id="1005" w:name="_Toc256001397"/>
      <w:bookmarkStart w:id="1006" w:name="_Toc256001179"/>
      <w:bookmarkStart w:id="1007" w:name="_Toc256000931"/>
      <w:bookmarkStart w:id="1008" w:name="_Toc256000678"/>
      <w:bookmarkStart w:id="1009" w:name="_Toc256000384"/>
      <w:bookmarkStart w:id="1010" w:name="_Toc256000099"/>
      <w:bookmarkStart w:id="1011" w:name="_Toc256000345"/>
      <w:bookmarkStart w:id="1012" w:name="_Toc256001919"/>
      <w:bookmarkStart w:id="1013" w:name="_Toc256001827"/>
      <w:bookmarkStart w:id="1014" w:name="_Toc256001735"/>
      <w:bookmarkStart w:id="1015" w:name="_Toc256001643"/>
      <w:bookmarkStart w:id="1016" w:name="_Toc256001551"/>
      <w:bookmarkStart w:id="1017" w:name="_Toc256001459"/>
      <w:bookmarkStart w:id="1018" w:name="_Toc256001367"/>
      <w:bookmarkStart w:id="1019" w:name="_Toc256001275"/>
      <w:bookmarkStart w:id="1020" w:name="_Toc256001183"/>
      <w:bookmarkStart w:id="1021" w:name="_Toc256001091"/>
      <w:bookmarkStart w:id="1022" w:name="_Toc256000999"/>
      <w:bookmarkStart w:id="1023" w:name="_Toc256000907"/>
      <w:bookmarkStart w:id="1024" w:name="_Toc256000815"/>
      <w:bookmarkStart w:id="1025" w:name="_Toc256000723"/>
      <w:bookmarkStart w:id="1026" w:name="_Toc256000631"/>
      <w:bookmarkStart w:id="1027" w:name="_Toc256000539"/>
      <w:bookmarkStart w:id="1028" w:name="_Toc256000447"/>
      <w:bookmarkStart w:id="1029" w:name="_Toc256000355"/>
      <w:bookmarkStart w:id="1030" w:name="_Toc256000263"/>
      <w:bookmarkStart w:id="1031" w:name="_Toc256000171"/>
      <w:bookmarkStart w:id="1032" w:name="_Toc256000116"/>
      <w:bookmarkStart w:id="1033" w:name="_Toc256000037"/>
      <w:bookmarkStart w:id="1034" w:name="_Toc434223631"/>
      <w:bookmarkStart w:id="1035" w:name="_Toc455594086"/>
      <w:bookmarkStart w:id="1036" w:name="_Toc461443276"/>
      <w:bookmarkStart w:id="1037" w:name="_Toc469498896"/>
      <w:bookmarkStart w:id="1038" w:name="_Toc491340341"/>
      <w:bookmarkStart w:id="1039" w:name="_Toc9613138"/>
      <w:bookmarkStart w:id="1040" w:name="_Toc37173034"/>
      <w:bookmarkStart w:id="1041" w:name="_Toc37243426"/>
      <w:r w:rsidRPr="00AD70DE">
        <w:rPr>
          <w:color w:val="auto"/>
        </w:rPr>
        <w:t>Exclusion criteria</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rsidR="009C32E7" w:rsidRPr="00AD70DE" w:rsidRDefault="009C32E7" w:rsidP="00AD70DE">
      <w:pPr>
        <w:tabs>
          <w:tab w:val="left" w:pos="440"/>
        </w:tabs>
        <w:spacing w:after="0"/>
        <w:contextualSpacing/>
        <w:jc w:val="both"/>
        <w:rPr>
          <w:snapToGrid w:val="0"/>
          <w:lang w:val="en-GB"/>
        </w:rPr>
      </w:pPr>
      <w:r w:rsidRPr="00AD70DE">
        <w:rPr>
          <w:lang w:val="en-GB"/>
        </w:rPr>
        <w:t>See synopsis</w:t>
      </w:r>
    </w:p>
    <w:p w:rsidR="009C32E7" w:rsidRPr="00AD70DE" w:rsidRDefault="009C32E7" w:rsidP="00AD70DE">
      <w:pPr>
        <w:pStyle w:val="standard1"/>
        <w:spacing w:after="160" w:line="259" w:lineRule="auto"/>
        <w:ind w:left="567" w:hanging="283"/>
        <w:contextualSpacing/>
        <w:jc w:val="left"/>
        <w:rPr>
          <w:rFonts w:ascii="Calibri" w:hAnsi="Calibri"/>
        </w:rPr>
      </w:pPr>
    </w:p>
    <w:p w:rsidR="009C32E7" w:rsidRPr="00AD70DE" w:rsidRDefault="009C32E7" w:rsidP="00AD70DE">
      <w:pPr>
        <w:pStyle w:val="berschrift2"/>
        <w:spacing w:before="240"/>
        <w:ind w:left="567" w:hanging="567"/>
        <w:rPr>
          <w:color w:val="auto"/>
        </w:rPr>
      </w:pPr>
      <w:bookmarkStart w:id="1042" w:name="_Toc256002331"/>
      <w:bookmarkStart w:id="1043" w:name="_Toc256002234"/>
      <w:bookmarkStart w:id="1044" w:name="_Toc256002137"/>
      <w:bookmarkStart w:id="1045" w:name="_Toc256002040"/>
      <w:bookmarkStart w:id="1046" w:name="_Toc256001884"/>
      <w:bookmarkStart w:id="1047" w:name="_Toc256001657"/>
      <w:bookmarkStart w:id="1048" w:name="_Toc256001399"/>
      <w:bookmarkStart w:id="1049" w:name="_Toc256001187"/>
      <w:bookmarkStart w:id="1050" w:name="_Toc256000933"/>
      <w:bookmarkStart w:id="1051" w:name="_Toc256000687"/>
      <w:bookmarkStart w:id="1052" w:name="_Toc256000387"/>
      <w:bookmarkStart w:id="1053" w:name="_Toc256000101"/>
      <w:bookmarkStart w:id="1054" w:name="_Toc256000349"/>
      <w:bookmarkStart w:id="1055" w:name="_Toc256001920"/>
      <w:bookmarkStart w:id="1056" w:name="_Toc256001828"/>
      <w:bookmarkStart w:id="1057" w:name="_Toc256001736"/>
      <w:bookmarkStart w:id="1058" w:name="_Toc256001644"/>
      <w:bookmarkStart w:id="1059" w:name="_Toc256001552"/>
      <w:bookmarkStart w:id="1060" w:name="_Toc256001460"/>
      <w:bookmarkStart w:id="1061" w:name="_Toc256001368"/>
      <w:bookmarkStart w:id="1062" w:name="_Toc256001276"/>
      <w:bookmarkStart w:id="1063" w:name="_Toc256001184"/>
      <w:bookmarkStart w:id="1064" w:name="_Toc256001092"/>
      <w:bookmarkStart w:id="1065" w:name="_Toc256001000"/>
      <w:bookmarkStart w:id="1066" w:name="_Toc256000908"/>
      <w:bookmarkStart w:id="1067" w:name="_Toc256000816"/>
      <w:bookmarkStart w:id="1068" w:name="_Toc256000724"/>
      <w:bookmarkStart w:id="1069" w:name="_Toc256000632"/>
      <w:bookmarkStart w:id="1070" w:name="_Toc256000540"/>
      <w:bookmarkStart w:id="1071" w:name="_Toc256000448"/>
      <w:bookmarkStart w:id="1072" w:name="_Toc256000356"/>
      <w:bookmarkStart w:id="1073" w:name="_Toc256000264"/>
      <w:bookmarkStart w:id="1074" w:name="_Toc256000172"/>
      <w:bookmarkStart w:id="1075" w:name="_Toc256000117"/>
      <w:bookmarkStart w:id="1076" w:name="_Toc256000038"/>
      <w:bookmarkStart w:id="1077" w:name="_Toc434223632"/>
      <w:bookmarkStart w:id="1078" w:name="_Toc455594087"/>
      <w:bookmarkStart w:id="1079" w:name="_Toc461443277"/>
      <w:bookmarkStart w:id="1080" w:name="_Toc469498897"/>
      <w:bookmarkStart w:id="1081" w:name="_Toc491340342"/>
      <w:bookmarkStart w:id="1082" w:name="_Toc9613139"/>
      <w:bookmarkStart w:id="1083" w:name="_Toc37173035"/>
      <w:bookmarkStart w:id="1084" w:name="_Toc37243427"/>
      <w:r w:rsidRPr="00AD70DE">
        <w:rPr>
          <w:color w:val="auto"/>
        </w:rPr>
        <w:t>Admission to the trial</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rsidR="009C32E7" w:rsidRPr="00AD70DE" w:rsidRDefault="009C32E7" w:rsidP="00AD70DE">
      <w:pPr>
        <w:rPr>
          <w:lang w:val="en-GB"/>
        </w:rPr>
      </w:pPr>
      <w:r w:rsidRPr="00AD70DE">
        <w:rPr>
          <w:lang w:val="en-GB"/>
        </w:rPr>
        <w:t>If all inclusion criteria are met and no exclusion criterion is present, a volunteer will be enrolled in the trial after clinical, medical, and laboratory examinations have been evaluated in a positive manner at SCR. Starting on admission on the first visit, participants have to report any changes in their health throughout the whole trial until the EOT visit. A physician who is a member of the trial team will have to certify that according to his/her knowledge the individual is healthy and fit for the trial by signing the statement of eligibility in the case report form (CRF) of the individual.</w:t>
      </w:r>
    </w:p>
    <w:p w:rsidR="009C32E7" w:rsidRPr="00AD70DE" w:rsidRDefault="009C32E7" w:rsidP="00AD70DE">
      <w:pPr>
        <w:pStyle w:val="berschrift2"/>
        <w:spacing w:before="240"/>
        <w:ind w:left="567" w:hanging="567"/>
        <w:rPr>
          <w:color w:val="auto"/>
        </w:rPr>
      </w:pPr>
      <w:bookmarkStart w:id="1085" w:name="_Toc256002332"/>
      <w:bookmarkStart w:id="1086" w:name="_Toc256002235"/>
      <w:bookmarkStart w:id="1087" w:name="_Toc256002138"/>
      <w:bookmarkStart w:id="1088" w:name="_Toc256002041"/>
      <w:bookmarkStart w:id="1089" w:name="_Toc256001887"/>
      <w:bookmarkStart w:id="1090" w:name="_Toc256001658"/>
      <w:bookmarkStart w:id="1091" w:name="_Toc256001404"/>
      <w:bookmarkStart w:id="1092" w:name="_Toc256001188"/>
      <w:bookmarkStart w:id="1093" w:name="_Toc256000934"/>
      <w:bookmarkStart w:id="1094" w:name="_Toc256000688"/>
      <w:bookmarkStart w:id="1095" w:name="_Toc256000395"/>
      <w:bookmarkStart w:id="1096" w:name="_Toc256000103"/>
      <w:bookmarkStart w:id="1097" w:name="_Toc9613140"/>
      <w:bookmarkStart w:id="1098" w:name="_Toc37173036"/>
      <w:bookmarkStart w:id="1099" w:name="_Toc37243428"/>
      <w:r w:rsidRPr="00AD70DE">
        <w:rPr>
          <w:color w:val="auto"/>
        </w:rPr>
        <w:t>Withdrawal from treatment</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rsidR="009C32E7" w:rsidRPr="00AD70DE" w:rsidRDefault="009C32E7" w:rsidP="00AD70DE">
      <w:pPr>
        <w:rPr>
          <w:lang w:val="en-GB"/>
        </w:rPr>
      </w:pPr>
      <w:r w:rsidRPr="00AD70DE">
        <w:rPr>
          <w:lang w:val="en-GB"/>
        </w:rPr>
        <w:t>Any participant can withdraw from treatment at any time without personal disadvantages and without having to give a reason. Participants who discontinue exposure to the trial treatment on their own will be defined as premature withdrawals. Premature withdrawals will be replaced. The time of withdrawal from trial and/or treatment discontinuation must be documented in the source data and on the CRF.</w:t>
      </w:r>
    </w:p>
    <w:p w:rsidR="009C32E7" w:rsidRPr="00AD70DE" w:rsidRDefault="009C32E7" w:rsidP="00AD70DE">
      <w:pPr>
        <w:rPr>
          <w:lang w:val="en-GB"/>
        </w:rPr>
      </w:pPr>
      <w:r w:rsidRPr="00AD70DE">
        <w:rPr>
          <w:lang w:val="en-GB"/>
        </w:rPr>
        <w:t xml:space="preserve">The investigator can also discontinue the treatment after considering the risk-to-benefit ratio, e.g. if he/she considers that further treatment of the participant according to the trial protocol is no longer justifiable. The date of and the primary reason for the withdrawal from treatment, as well as the observations available at the time of withdrawal will be documented in the CRF. </w:t>
      </w:r>
    </w:p>
    <w:p w:rsidR="009C32E7" w:rsidRPr="00AD70DE" w:rsidRDefault="009C32E7" w:rsidP="00AD70DE">
      <w:pPr>
        <w:rPr>
          <w:lang w:val="en-GB"/>
        </w:rPr>
      </w:pPr>
      <w:r w:rsidRPr="00AD70DE">
        <w:rPr>
          <w:lang w:val="en-GB"/>
        </w:rPr>
        <w:t>Reasons leading to the withdrawal of a participant can include but are not limited to the following: intolerable AE, lack of participant’s cooperation, new occurrence of a disease precluding continuation, emergence of major exclusion criteria (coming to light after inclusion) that potentially endanger the safety of the participant.</w:t>
      </w:r>
    </w:p>
    <w:p w:rsidR="009C32E7" w:rsidRPr="00AD70DE" w:rsidRDefault="009C32E7" w:rsidP="00AD70DE">
      <w:pPr>
        <w:rPr>
          <w:lang w:val="en-GB"/>
        </w:rPr>
      </w:pPr>
      <w:r w:rsidRPr="00AD70DE">
        <w:rPr>
          <w:lang w:val="en-GB"/>
        </w:rPr>
        <w:t>If consent is not withdrawn, every effort must be made to obtain safety parameters until the EOT visit.</w:t>
      </w:r>
    </w:p>
    <w:p w:rsidR="009C32E7" w:rsidRPr="00AD70DE" w:rsidRDefault="009C32E7" w:rsidP="00AD70DE">
      <w:pPr>
        <w:pStyle w:val="berschrift1"/>
        <w:spacing w:before="360" w:after="160"/>
      </w:pPr>
      <w:bookmarkStart w:id="1100" w:name="_Toc256002333"/>
      <w:bookmarkStart w:id="1101" w:name="_Toc256002236"/>
      <w:bookmarkStart w:id="1102" w:name="_Toc256002139"/>
      <w:bookmarkStart w:id="1103" w:name="_Toc256002042"/>
      <w:bookmarkStart w:id="1104" w:name="_Toc256001892"/>
      <w:bookmarkStart w:id="1105" w:name="_Toc256001659"/>
      <w:bookmarkStart w:id="1106" w:name="_Toc256001406"/>
      <w:bookmarkStart w:id="1107" w:name="_Toc256001193"/>
      <w:bookmarkStart w:id="1108" w:name="_Toc256000935"/>
      <w:bookmarkStart w:id="1109" w:name="_Toc256000691"/>
      <w:bookmarkStart w:id="1110" w:name="_Toc256000402"/>
      <w:bookmarkStart w:id="1111" w:name="_Toc256000104"/>
      <w:bookmarkStart w:id="1112" w:name="_Toc256000370"/>
      <w:bookmarkStart w:id="1113" w:name="_Toc256001921"/>
      <w:bookmarkStart w:id="1114" w:name="_Toc256001829"/>
      <w:bookmarkStart w:id="1115" w:name="_Toc256001737"/>
      <w:bookmarkStart w:id="1116" w:name="_Toc256001645"/>
      <w:bookmarkStart w:id="1117" w:name="_Toc256001553"/>
      <w:bookmarkStart w:id="1118" w:name="_Toc256001461"/>
      <w:bookmarkStart w:id="1119" w:name="_Toc256001369"/>
      <w:bookmarkStart w:id="1120" w:name="_Toc256001277"/>
      <w:bookmarkStart w:id="1121" w:name="_Toc256001185"/>
      <w:bookmarkStart w:id="1122" w:name="_Toc256001093"/>
      <w:bookmarkStart w:id="1123" w:name="_Toc256001001"/>
      <w:bookmarkStart w:id="1124" w:name="_Toc256000909"/>
      <w:bookmarkStart w:id="1125" w:name="_Toc256000817"/>
      <w:bookmarkStart w:id="1126" w:name="_Toc256000725"/>
      <w:bookmarkStart w:id="1127" w:name="_Toc256000633"/>
      <w:bookmarkStart w:id="1128" w:name="_Toc256000541"/>
      <w:bookmarkStart w:id="1129" w:name="_Toc256000449"/>
      <w:bookmarkStart w:id="1130" w:name="_Toc256000357"/>
      <w:bookmarkStart w:id="1131" w:name="_Toc256000265"/>
      <w:bookmarkStart w:id="1132" w:name="_Toc256000173"/>
      <w:bookmarkStart w:id="1133" w:name="_Toc256000118"/>
      <w:bookmarkStart w:id="1134" w:name="_Toc256000039"/>
      <w:bookmarkStart w:id="1135" w:name="_Toc434223633"/>
      <w:bookmarkStart w:id="1136" w:name="_Toc455594088"/>
      <w:bookmarkStart w:id="1137" w:name="_Toc461443278"/>
      <w:bookmarkStart w:id="1138" w:name="_Toc469498898"/>
      <w:bookmarkStart w:id="1139" w:name="_Toc491340343"/>
      <w:bookmarkStart w:id="1140" w:name="_Toc9613141"/>
      <w:bookmarkStart w:id="1141" w:name="_Toc37173037"/>
      <w:bookmarkStart w:id="1142" w:name="_Toc37243429"/>
      <w:r w:rsidRPr="00AD70DE">
        <w:t>Trial procedures</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rsidR="009C32E7" w:rsidRPr="00AD70DE" w:rsidRDefault="009C32E7" w:rsidP="00AD70DE">
      <w:pPr>
        <w:rPr>
          <w:lang w:val="en-GB"/>
        </w:rPr>
      </w:pPr>
      <w:bookmarkStart w:id="1143" w:name="_Toc256001922"/>
      <w:bookmarkStart w:id="1144" w:name="_Toc256001830"/>
      <w:bookmarkStart w:id="1145" w:name="_Toc256001738"/>
      <w:bookmarkStart w:id="1146" w:name="_Toc256001646"/>
      <w:bookmarkStart w:id="1147" w:name="_Toc256001554"/>
      <w:bookmarkStart w:id="1148" w:name="_Toc256001462"/>
      <w:bookmarkStart w:id="1149" w:name="_Toc256001370"/>
      <w:bookmarkStart w:id="1150" w:name="_Toc256001278"/>
      <w:bookmarkStart w:id="1151" w:name="_Toc256001186"/>
      <w:bookmarkStart w:id="1152" w:name="_Toc256001094"/>
      <w:bookmarkStart w:id="1153" w:name="_Toc256001002"/>
      <w:bookmarkStart w:id="1154" w:name="_Toc256000910"/>
      <w:bookmarkStart w:id="1155" w:name="_Toc256000818"/>
      <w:bookmarkStart w:id="1156" w:name="_Toc256000726"/>
      <w:bookmarkStart w:id="1157" w:name="_Toc256000634"/>
      <w:bookmarkStart w:id="1158" w:name="_Toc256000542"/>
      <w:bookmarkStart w:id="1159" w:name="_Toc256000450"/>
      <w:bookmarkStart w:id="1160" w:name="_Toc256000358"/>
      <w:bookmarkStart w:id="1161" w:name="_Toc256000266"/>
      <w:bookmarkStart w:id="1162" w:name="_Toc256000174"/>
      <w:bookmarkStart w:id="1163" w:name="_Toc256000119"/>
      <w:bookmarkStart w:id="1164" w:name="_Toc256000040"/>
      <w:bookmarkStart w:id="1165" w:name="_Toc434223634"/>
      <w:bookmarkStart w:id="1166" w:name="_Toc455594089"/>
      <w:bookmarkStart w:id="1167" w:name="_Toc461443279"/>
      <w:r w:rsidRPr="00AD70DE">
        <w:rPr>
          <w:lang w:val="en-GB"/>
        </w:rPr>
        <w:t>The trial will be conducted in the Department’s clinical trial unit (</w:t>
      </w:r>
      <w:proofErr w:type="spellStart"/>
      <w:r w:rsidRPr="00AD70DE">
        <w:rPr>
          <w:color w:val="000000"/>
          <w:lang w:val="en-GB"/>
        </w:rPr>
        <w:t>Klinisch-Pharmakologisches</w:t>
      </w:r>
      <w:proofErr w:type="spellEnd"/>
      <w:r w:rsidRPr="00AD70DE">
        <w:rPr>
          <w:color w:val="000000"/>
          <w:lang w:val="en-GB"/>
        </w:rPr>
        <w:t xml:space="preserve"> </w:t>
      </w:r>
      <w:proofErr w:type="spellStart"/>
      <w:r w:rsidRPr="00AD70DE">
        <w:rPr>
          <w:color w:val="000000"/>
          <w:lang w:val="en-GB"/>
        </w:rPr>
        <w:t>Studienzentrum</w:t>
      </w:r>
      <w:proofErr w:type="spellEnd"/>
      <w:r w:rsidRPr="00AD70DE">
        <w:rPr>
          <w:color w:val="000000"/>
          <w:lang w:val="en-GB"/>
        </w:rPr>
        <w:t xml:space="preserve">, Clinical Research Unit; </w:t>
      </w:r>
      <w:proofErr w:type="spellStart"/>
      <w:r w:rsidRPr="00AD70DE">
        <w:rPr>
          <w:lang w:val="en-GB"/>
        </w:rPr>
        <w:t>KliPS</w:t>
      </w:r>
      <w:proofErr w:type="spellEnd"/>
      <w:r w:rsidRPr="00AD70DE">
        <w:rPr>
          <w:lang w:val="en-GB"/>
        </w:rPr>
        <w:t xml:space="preserve">), which is certified according to DIN EN ISO9001. All interested trial participants will be provided with the written trial information at least one day prior to the oral information and will be given enough time to discuss the trial with a trial physician before or on the day of the SCR. After signing the informed consent form, trial procedures will start. Inclusion and exclusion criteria will be checked, and each participant will undergo a standardised series of interventions according to the trial schedule (Table 1). </w:t>
      </w:r>
    </w:p>
    <w:p w:rsidR="009C32E7" w:rsidRPr="00AD70DE" w:rsidRDefault="009C32E7" w:rsidP="00AD70DE">
      <w:pPr>
        <w:pStyle w:val="berschrift2"/>
        <w:spacing w:before="240"/>
        <w:ind w:left="567" w:hanging="567"/>
        <w:rPr>
          <w:color w:val="auto"/>
        </w:rPr>
      </w:pPr>
      <w:bookmarkStart w:id="1168" w:name="_Toc256002334"/>
      <w:bookmarkStart w:id="1169" w:name="_Toc256002237"/>
      <w:bookmarkStart w:id="1170" w:name="_Toc256002140"/>
      <w:bookmarkStart w:id="1171" w:name="_Toc256002043"/>
      <w:bookmarkStart w:id="1172" w:name="_Toc256001893"/>
      <w:bookmarkStart w:id="1173" w:name="_Toc256001660"/>
      <w:bookmarkStart w:id="1174" w:name="_Toc256001407"/>
      <w:bookmarkStart w:id="1175" w:name="_Toc256001194"/>
      <w:bookmarkStart w:id="1176" w:name="_Toc256000936"/>
      <w:bookmarkStart w:id="1177" w:name="_Toc256000696"/>
      <w:bookmarkStart w:id="1178" w:name="_Toc256000411"/>
      <w:bookmarkStart w:id="1179" w:name="_Toc256000105"/>
      <w:bookmarkStart w:id="1180" w:name="_Toc9613142"/>
      <w:bookmarkStart w:id="1181" w:name="_Toc37173038"/>
      <w:bookmarkStart w:id="1182" w:name="_Toc37243430"/>
      <w:r w:rsidRPr="00AD70DE">
        <w:rPr>
          <w:color w:val="auto"/>
        </w:rPr>
        <w:t>Visits and specific actions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rsidR="009C32E7" w:rsidRPr="00AD70DE" w:rsidRDefault="009C32E7" w:rsidP="00AD70DE">
      <w:pPr>
        <w:pStyle w:val="111Formatvorlage"/>
        <w:numPr>
          <w:ilvl w:val="2"/>
          <w:numId w:val="3"/>
        </w:numPr>
        <w:spacing w:line="240" w:lineRule="exact"/>
        <w:ind w:left="993" w:hanging="993"/>
      </w:pPr>
      <w:bookmarkStart w:id="1183" w:name="_Toc256002335"/>
      <w:bookmarkStart w:id="1184" w:name="_Toc256002238"/>
      <w:bookmarkStart w:id="1185" w:name="_Toc256002141"/>
      <w:bookmarkStart w:id="1186" w:name="_Toc256002044"/>
      <w:bookmarkStart w:id="1187" w:name="_Toc256001894"/>
      <w:bookmarkStart w:id="1188" w:name="_Toc256001661"/>
      <w:bookmarkStart w:id="1189" w:name="_Toc256001414"/>
      <w:bookmarkStart w:id="1190" w:name="_Toc256001195"/>
      <w:bookmarkStart w:id="1191" w:name="_Toc256000937"/>
      <w:bookmarkStart w:id="1192" w:name="_Toc256000697"/>
      <w:bookmarkStart w:id="1193" w:name="_Toc256000412"/>
      <w:bookmarkStart w:id="1194" w:name="_Toc256000106"/>
      <w:bookmarkStart w:id="1195" w:name="_Toc256000378"/>
      <w:bookmarkStart w:id="1196" w:name="_Toc469498899"/>
      <w:bookmarkStart w:id="1197" w:name="_Toc491340344"/>
      <w:bookmarkStart w:id="1198" w:name="_Toc9613143"/>
      <w:bookmarkStart w:id="1199" w:name="_Toc37173039"/>
      <w:bookmarkStart w:id="1200" w:name="_Toc37243431"/>
      <w:r w:rsidRPr="00AD70DE">
        <w:t>Screening visit</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rsidR="009C32E7" w:rsidRPr="00AD70DE" w:rsidRDefault="009C32E7" w:rsidP="00AD70DE">
      <w:pPr>
        <w:keepNext/>
        <w:keepLines/>
        <w:rPr>
          <w:lang w:val="en-GB"/>
        </w:rPr>
      </w:pPr>
      <w:r w:rsidRPr="00AD70DE">
        <w:rPr>
          <w:lang w:val="en-GB"/>
        </w:rPr>
        <w:t>Each participant will undergo a SCR within 4 weeks before the first trial day. All inclusion and exclusion criteria will be checked. The relevant medical history and medical condition will be assessed. Additionally, a complete physical examination (including body height, weight, body temperature (T), and blood pressure (BP)/heart rate (HR)), urine, and blood analysis (haematology, blood chemistry, coagulation, HIV, and hepatitis B/C), and an ECG evaluation will be done.</w:t>
      </w:r>
    </w:p>
    <w:p w:rsidR="009C32E7" w:rsidRPr="00AD70DE" w:rsidRDefault="009C32E7" w:rsidP="00AD70DE">
      <w:pPr>
        <w:rPr>
          <w:lang w:val="en-GB"/>
        </w:rPr>
      </w:pPr>
      <w:r w:rsidRPr="00AD70DE">
        <w:rPr>
          <w:lang w:val="en-GB"/>
        </w:rPr>
        <w:t>Abnormal parameters at SCR may be re-tested if thought to be a measurement error or to be the result of a transient and reversible condition. The last obtained value will define eligibility. At the end of the SCR, all inclusion and exclusion criteria must be evaluated and a decision will be taken if the volunteer can be included into the trial.</w:t>
      </w:r>
    </w:p>
    <w:tbl>
      <w:tblPr>
        <w:tblW w:w="0" w:type="auto"/>
        <w:tblLook w:val="00A0" w:firstRow="1" w:lastRow="0" w:firstColumn="1" w:lastColumn="0" w:noHBand="0" w:noVBand="0"/>
      </w:tblPr>
      <w:tblGrid>
        <w:gridCol w:w="878"/>
        <w:gridCol w:w="8410"/>
      </w:tblGrid>
      <w:tr w:rsidR="009C32E7" w:rsidRPr="00AD70DE" w:rsidTr="008355A9">
        <w:tc>
          <w:tcPr>
            <w:tcW w:w="878" w:type="dxa"/>
          </w:tcPr>
          <w:p w:rsidR="009C32E7" w:rsidRPr="00AD70DE" w:rsidRDefault="009C32E7" w:rsidP="00AD70DE">
            <w:pPr>
              <w:spacing w:after="0" w:line="240" w:lineRule="auto"/>
              <w:rPr>
                <w:b/>
                <w:lang w:val="en-GB"/>
              </w:rPr>
            </w:pPr>
            <w:r w:rsidRPr="00AD70DE">
              <w:rPr>
                <w:b/>
                <w:lang w:val="en-GB"/>
              </w:rPr>
              <w:t>Visits</w:t>
            </w:r>
          </w:p>
        </w:tc>
        <w:tc>
          <w:tcPr>
            <w:tcW w:w="8410" w:type="dxa"/>
          </w:tcPr>
          <w:p w:rsidR="009C32E7" w:rsidRPr="00AD70DE" w:rsidRDefault="009C32E7" w:rsidP="00AD70DE">
            <w:pPr>
              <w:spacing w:after="0" w:line="240" w:lineRule="auto"/>
              <w:rPr>
                <w:b/>
                <w:lang w:val="en-GB"/>
              </w:rPr>
            </w:pPr>
            <w:r w:rsidRPr="00AD70DE">
              <w:rPr>
                <w:b/>
                <w:lang w:val="en-GB"/>
              </w:rPr>
              <w:t>Action</w:t>
            </w:r>
          </w:p>
        </w:tc>
      </w:tr>
      <w:tr w:rsidR="009C32E7" w:rsidRPr="00AD70DE" w:rsidTr="008355A9">
        <w:tc>
          <w:tcPr>
            <w:tcW w:w="878" w:type="dxa"/>
          </w:tcPr>
          <w:p w:rsidR="009C32E7" w:rsidRPr="00AD70DE" w:rsidRDefault="009C32E7" w:rsidP="00AD70DE">
            <w:pPr>
              <w:spacing w:after="0" w:line="240" w:lineRule="auto"/>
              <w:rPr>
                <w:b/>
                <w:lang w:val="en-GB"/>
              </w:rPr>
            </w:pPr>
            <w:r w:rsidRPr="00AD70DE">
              <w:rPr>
                <w:b/>
                <w:lang w:val="en-GB"/>
              </w:rPr>
              <w:t>SCR</w:t>
            </w:r>
          </w:p>
        </w:tc>
        <w:tc>
          <w:tcPr>
            <w:tcW w:w="8410" w:type="dxa"/>
          </w:tcPr>
          <w:p w:rsidR="009C32E7" w:rsidRPr="00AD70DE" w:rsidRDefault="009C32E7" w:rsidP="00AD70DE">
            <w:pPr>
              <w:pStyle w:val="Listenabsatz"/>
              <w:widowControl w:val="0"/>
              <w:numPr>
                <w:ilvl w:val="0"/>
                <w:numId w:val="12"/>
              </w:numPr>
              <w:tabs>
                <w:tab w:val="left" w:pos="341"/>
              </w:tabs>
              <w:autoSpaceDE w:val="0"/>
              <w:autoSpaceDN w:val="0"/>
              <w:adjustRightInd w:val="0"/>
              <w:spacing w:after="0" w:line="240" w:lineRule="auto"/>
              <w:ind w:left="341" w:hanging="341"/>
              <w:jc w:val="both"/>
              <w:rPr>
                <w:rFonts w:cs="Times"/>
                <w:lang w:val="en-GB"/>
              </w:rPr>
            </w:pPr>
            <w:r w:rsidRPr="00AD70DE">
              <w:rPr>
                <w:rFonts w:cs="Times"/>
                <w:lang w:val="en-GB"/>
              </w:rPr>
              <w:t>Medical history,</w:t>
            </w:r>
          </w:p>
          <w:p w:rsidR="009C32E7" w:rsidRPr="00AD70DE" w:rsidRDefault="009C32E7" w:rsidP="00AD70DE">
            <w:pPr>
              <w:pStyle w:val="Listenabsatz"/>
              <w:widowControl w:val="0"/>
              <w:numPr>
                <w:ilvl w:val="0"/>
                <w:numId w:val="12"/>
              </w:numPr>
              <w:tabs>
                <w:tab w:val="left" w:pos="341"/>
              </w:tabs>
              <w:autoSpaceDE w:val="0"/>
              <w:autoSpaceDN w:val="0"/>
              <w:adjustRightInd w:val="0"/>
              <w:spacing w:after="0" w:line="240" w:lineRule="auto"/>
              <w:ind w:left="341" w:hanging="341"/>
              <w:jc w:val="both"/>
              <w:rPr>
                <w:rFonts w:cs="Times"/>
                <w:lang w:val="en-GB"/>
              </w:rPr>
            </w:pPr>
            <w:r w:rsidRPr="00AD70DE">
              <w:rPr>
                <w:rFonts w:cs="Times"/>
                <w:lang w:val="en-GB"/>
              </w:rPr>
              <w:t>Confirmation of inclusion and exclusion criteria,</w:t>
            </w:r>
          </w:p>
          <w:p w:rsidR="009C32E7" w:rsidRPr="00AD70DE" w:rsidRDefault="009C32E7" w:rsidP="00AD70DE">
            <w:pPr>
              <w:pStyle w:val="Listenabsatz"/>
              <w:widowControl w:val="0"/>
              <w:numPr>
                <w:ilvl w:val="0"/>
                <w:numId w:val="12"/>
              </w:numPr>
              <w:tabs>
                <w:tab w:val="left" w:pos="341"/>
              </w:tabs>
              <w:autoSpaceDE w:val="0"/>
              <w:autoSpaceDN w:val="0"/>
              <w:adjustRightInd w:val="0"/>
              <w:spacing w:after="0" w:line="240" w:lineRule="auto"/>
              <w:ind w:left="341" w:hanging="341"/>
              <w:jc w:val="both"/>
              <w:rPr>
                <w:rFonts w:cs="Times"/>
                <w:lang w:val="en-GB"/>
              </w:rPr>
            </w:pPr>
            <w:r w:rsidRPr="00AD70DE">
              <w:rPr>
                <w:rFonts w:cs="Times"/>
                <w:lang w:val="en-GB"/>
              </w:rPr>
              <w:t xml:space="preserve">Physical examination, vital signs, height, and body weight, </w:t>
            </w:r>
            <w:r w:rsidRPr="00AD70DE">
              <w:rPr>
                <w:rFonts w:ascii="MS Mincho" w:eastAsia="MS Mincho" w:hAnsi="MS Mincho" w:cs="MS Mincho"/>
                <w:lang w:val="en-GB"/>
              </w:rPr>
              <w:t> </w:t>
            </w:r>
          </w:p>
          <w:p w:rsidR="009C32E7" w:rsidRPr="00AD70DE" w:rsidRDefault="009C32E7" w:rsidP="00AD70DE">
            <w:pPr>
              <w:pStyle w:val="Listenabsatz"/>
              <w:widowControl w:val="0"/>
              <w:numPr>
                <w:ilvl w:val="0"/>
                <w:numId w:val="12"/>
              </w:numPr>
              <w:tabs>
                <w:tab w:val="left" w:pos="341"/>
              </w:tabs>
              <w:autoSpaceDE w:val="0"/>
              <w:autoSpaceDN w:val="0"/>
              <w:adjustRightInd w:val="0"/>
              <w:spacing w:after="0" w:line="240" w:lineRule="auto"/>
              <w:ind w:left="341" w:hanging="341"/>
              <w:jc w:val="both"/>
              <w:rPr>
                <w:rFonts w:cs="Times"/>
                <w:lang w:val="en-GB"/>
              </w:rPr>
            </w:pPr>
            <w:r w:rsidRPr="00AD70DE">
              <w:rPr>
                <w:rFonts w:cs="Times"/>
                <w:lang w:val="en-GB"/>
              </w:rPr>
              <w:t>ECG evaluation,</w:t>
            </w:r>
          </w:p>
          <w:p w:rsidR="009C32E7" w:rsidRPr="00AD70DE" w:rsidRDefault="009C32E7" w:rsidP="00AD70DE">
            <w:pPr>
              <w:pStyle w:val="Listenabsatz"/>
              <w:widowControl w:val="0"/>
              <w:numPr>
                <w:ilvl w:val="0"/>
                <w:numId w:val="12"/>
              </w:numPr>
              <w:tabs>
                <w:tab w:val="left" w:pos="341"/>
              </w:tabs>
              <w:autoSpaceDE w:val="0"/>
              <w:autoSpaceDN w:val="0"/>
              <w:adjustRightInd w:val="0"/>
              <w:spacing w:after="0" w:line="240" w:lineRule="auto"/>
              <w:ind w:left="341" w:hanging="341"/>
              <w:jc w:val="both"/>
              <w:rPr>
                <w:rFonts w:cs="Times"/>
                <w:lang w:val="en-GB"/>
              </w:rPr>
            </w:pPr>
            <w:r w:rsidRPr="00AD70DE">
              <w:rPr>
                <w:rFonts w:cs="Times"/>
                <w:lang w:val="en-GB"/>
              </w:rPr>
              <w:t xml:space="preserve">Blood sampling (haematology, blood chemistry, and HCV and HIV serology). </w:t>
            </w:r>
          </w:p>
          <w:p w:rsidR="009C32E7" w:rsidRPr="00AD70DE" w:rsidRDefault="009C32E7" w:rsidP="00AD70DE">
            <w:pPr>
              <w:pStyle w:val="Listenabsatz"/>
              <w:widowControl w:val="0"/>
              <w:numPr>
                <w:ilvl w:val="0"/>
                <w:numId w:val="12"/>
              </w:numPr>
              <w:tabs>
                <w:tab w:val="left" w:pos="341"/>
              </w:tabs>
              <w:autoSpaceDE w:val="0"/>
              <w:autoSpaceDN w:val="0"/>
              <w:adjustRightInd w:val="0"/>
              <w:spacing w:after="0" w:line="240" w:lineRule="auto"/>
              <w:jc w:val="both"/>
              <w:rPr>
                <w:rFonts w:cs="Times"/>
                <w:lang w:val="en-GB"/>
              </w:rPr>
            </w:pPr>
            <w:r w:rsidRPr="00AD70DE">
              <w:rPr>
                <w:rFonts w:cs="Times"/>
                <w:lang w:val="en-GB"/>
              </w:rPr>
              <w:t>Urinalysis, pregnancy test, and screening for illicit drugs (see 7.2.2).</w:t>
            </w:r>
            <w:r w:rsidRPr="00AD70DE">
              <w:rPr>
                <w:rFonts w:ascii="MS Mincho" w:eastAsia="MS Mincho" w:hAnsi="MS Mincho" w:cs="MS Mincho"/>
                <w:lang w:val="en-GB"/>
              </w:rPr>
              <w:t> </w:t>
            </w:r>
          </w:p>
        </w:tc>
      </w:tr>
    </w:tbl>
    <w:p w:rsidR="009C32E7" w:rsidRPr="00AD70DE" w:rsidRDefault="009C32E7" w:rsidP="00AD70DE">
      <w:pPr>
        <w:autoSpaceDE w:val="0"/>
        <w:autoSpaceDN w:val="0"/>
        <w:adjustRightInd w:val="0"/>
        <w:rPr>
          <w:rFonts w:cs="Calibri"/>
          <w:lang w:val="en-GB" w:eastAsia="de-DE"/>
        </w:rPr>
      </w:pPr>
    </w:p>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If a participant cannot be enrolled into the trial for administrative reasons, rescreening may occur by repeating the screening visit.</w:t>
      </w:r>
    </w:p>
    <w:p w:rsidR="009C32E7" w:rsidRPr="00AD70DE" w:rsidRDefault="009C32E7" w:rsidP="00AD70DE">
      <w:pPr>
        <w:pStyle w:val="111Formatvorlage"/>
        <w:keepNext w:val="0"/>
        <w:numPr>
          <w:ilvl w:val="2"/>
          <w:numId w:val="3"/>
        </w:numPr>
        <w:spacing w:line="240" w:lineRule="exact"/>
        <w:ind w:left="993" w:hanging="993"/>
      </w:pPr>
      <w:bookmarkStart w:id="1201" w:name="_Toc256002336"/>
      <w:bookmarkStart w:id="1202" w:name="_Toc256002239"/>
      <w:bookmarkStart w:id="1203" w:name="_Toc256002142"/>
      <w:bookmarkStart w:id="1204" w:name="_Toc256002045"/>
      <w:bookmarkStart w:id="1205" w:name="_Toc256001899"/>
      <w:bookmarkStart w:id="1206" w:name="_Toc256001662"/>
      <w:bookmarkStart w:id="1207" w:name="_Toc256001423"/>
      <w:bookmarkStart w:id="1208" w:name="_Toc256001197"/>
      <w:bookmarkStart w:id="1209" w:name="_Toc256000939"/>
      <w:bookmarkStart w:id="1210" w:name="_Toc256000698"/>
      <w:bookmarkStart w:id="1211" w:name="_Toc256000415"/>
      <w:bookmarkStart w:id="1212" w:name="_Toc256000107"/>
      <w:bookmarkStart w:id="1213" w:name="_Toc9613144"/>
      <w:bookmarkStart w:id="1214" w:name="_Toc37173040"/>
      <w:bookmarkStart w:id="1215" w:name="_Toc37243432"/>
      <w:r w:rsidRPr="00AD70DE">
        <w:t>Treatment period</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rsidR="009C32E7" w:rsidRPr="00AD70DE" w:rsidRDefault="009C32E7" w:rsidP="00AD70DE">
      <w:pPr>
        <w:rPr>
          <w:lang w:val="en-GB"/>
        </w:rPr>
      </w:pPr>
      <w:r w:rsidRPr="00AD70DE">
        <w:rPr>
          <w:lang w:val="en-GB"/>
        </w:rPr>
        <w:t>During the treatment period, the participants are expected to be present in the unit from approximately 30 min to 1 h prior to any activity to approximately 15 min after the scheduled trial procedure of a visit. This signifies:</w:t>
      </w:r>
    </w:p>
    <w:p w:rsidR="009C32E7" w:rsidRPr="00AD70DE" w:rsidRDefault="009C32E7" w:rsidP="00AD70DE">
      <w:pPr>
        <w:pStyle w:val="Listenabsatz"/>
        <w:numPr>
          <w:ilvl w:val="0"/>
          <w:numId w:val="15"/>
        </w:numPr>
        <w:rPr>
          <w:lang w:val="en-GB"/>
        </w:rPr>
      </w:pPr>
      <w:r w:rsidRPr="00AD70DE">
        <w:rPr>
          <w:lang w:val="en-GB"/>
        </w:rPr>
        <w:t>On V1, participants will be confined to the study unit from approximately 10:00 a.m. for approximately 8 h.</w:t>
      </w:r>
    </w:p>
    <w:p w:rsidR="009C32E7" w:rsidRPr="00AD70DE" w:rsidRDefault="009C32E7" w:rsidP="00AD70DE">
      <w:pPr>
        <w:pStyle w:val="Listenabsatz"/>
        <w:numPr>
          <w:ilvl w:val="0"/>
          <w:numId w:val="15"/>
        </w:numPr>
        <w:rPr>
          <w:lang w:val="en-GB"/>
        </w:rPr>
      </w:pPr>
      <w:r w:rsidRPr="00AD70DE">
        <w:rPr>
          <w:lang w:val="en-GB"/>
        </w:rPr>
        <w:t>On V2, participants will be confined to the study unit from approximately 7:00 a.m. for approximately 15 h.</w:t>
      </w:r>
    </w:p>
    <w:p w:rsidR="009C32E7" w:rsidRPr="00AD70DE" w:rsidRDefault="009C32E7" w:rsidP="00AD70DE">
      <w:pPr>
        <w:pStyle w:val="Listenabsatz"/>
        <w:numPr>
          <w:ilvl w:val="0"/>
          <w:numId w:val="15"/>
        </w:numPr>
        <w:rPr>
          <w:lang w:val="en-GB"/>
        </w:rPr>
      </w:pPr>
      <w:r w:rsidRPr="00AD70DE">
        <w:rPr>
          <w:lang w:val="en-GB"/>
        </w:rPr>
        <w:t>On V3, participants will be visiting the study unit two times for approximately 1h for 24-h and 36-h PK blood sampling</w:t>
      </w:r>
    </w:p>
    <w:p w:rsidR="009C32E7" w:rsidRPr="00AD70DE" w:rsidRDefault="009C32E7" w:rsidP="00AD70DE">
      <w:pPr>
        <w:pStyle w:val="Listenabsatz"/>
        <w:numPr>
          <w:ilvl w:val="0"/>
          <w:numId w:val="15"/>
        </w:numPr>
        <w:rPr>
          <w:lang w:val="en-GB"/>
        </w:rPr>
      </w:pPr>
      <w:r w:rsidRPr="00AD70DE">
        <w:rPr>
          <w:lang w:val="en-GB"/>
        </w:rPr>
        <w:t xml:space="preserve">On </w:t>
      </w:r>
      <w:r w:rsidRPr="00AD70DE">
        <w:rPr>
          <w:rFonts w:cs="Calibri"/>
          <w:color w:val="000000"/>
          <w:szCs w:val="20"/>
          <w:lang w:val="en-GB"/>
        </w:rPr>
        <w:t>V</w:t>
      </w:r>
      <w:r w:rsidRPr="00AD70DE">
        <w:rPr>
          <w:lang w:val="en-GB"/>
        </w:rPr>
        <w:t xml:space="preserve">4 and V5, participants will visit the study unit once for 48-h and 72-h blood sampling, respectively. </w:t>
      </w:r>
    </w:p>
    <w:tbl>
      <w:tblPr>
        <w:tblW w:w="0" w:type="auto"/>
        <w:tblLayout w:type="fixed"/>
        <w:tblLook w:val="00A0" w:firstRow="1" w:lastRow="0" w:firstColumn="1" w:lastColumn="0" w:noHBand="0" w:noVBand="0"/>
      </w:tblPr>
      <w:tblGrid>
        <w:gridCol w:w="1877"/>
        <w:gridCol w:w="6311"/>
      </w:tblGrid>
      <w:tr w:rsidR="009C32E7" w:rsidRPr="00AD70DE" w:rsidTr="008355A9">
        <w:trPr>
          <w:trHeight w:val="599"/>
        </w:trPr>
        <w:tc>
          <w:tcPr>
            <w:tcW w:w="1877" w:type="dxa"/>
          </w:tcPr>
          <w:p w:rsidR="009C32E7" w:rsidRPr="00AD70DE" w:rsidRDefault="009C32E7" w:rsidP="00AD70DE">
            <w:pPr>
              <w:keepNext/>
              <w:keepLines/>
              <w:spacing w:before="120"/>
              <w:rPr>
                <w:lang w:val="en-GB"/>
              </w:rPr>
            </w:pPr>
            <w:r w:rsidRPr="00AD70DE">
              <w:rPr>
                <w:lang w:val="en-GB"/>
              </w:rPr>
              <w:t>Visit 1 (day 1):</w:t>
            </w:r>
          </w:p>
        </w:tc>
        <w:tc>
          <w:tcPr>
            <w:tcW w:w="6311" w:type="dxa"/>
          </w:tcPr>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Breakfast (3 h before drug administration)</w:t>
            </w:r>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 xml:space="preserve">Administration of 30 µg midazolam </w:t>
            </w:r>
            <w:proofErr w:type="spellStart"/>
            <w:r w:rsidRPr="00AD70DE">
              <w:rPr>
                <w:lang w:val="en-GB"/>
              </w:rPr>
              <w:t>p.o.</w:t>
            </w:r>
            <w:proofErr w:type="spellEnd"/>
            <w:r w:rsidRPr="00AD70DE">
              <w:rPr>
                <w:lang w:val="en-GB"/>
              </w:rPr>
              <w:t xml:space="preserve"> </w:t>
            </w:r>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 xml:space="preserve">Administration of 50 µg </w:t>
            </w:r>
            <w:proofErr w:type="spellStart"/>
            <w:r w:rsidRPr="00AD70DE">
              <w:rPr>
                <w:lang w:val="en-GB"/>
              </w:rPr>
              <w:t>yohimbine</w:t>
            </w:r>
            <w:proofErr w:type="spellEnd"/>
            <w:r w:rsidRPr="00AD70DE">
              <w:rPr>
                <w:lang w:val="en-GB"/>
              </w:rPr>
              <w:t xml:space="preserve"> </w:t>
            </w:r>
            <w:proofErr w:type="spellStart"/>
            <w:r w:rsidRPr="00AD70DE">
              <w:rPr>
                <w:lang w:val="en-GB"/>
              </w:rPr>
              <w:t>p.o.</w:t>
            </w:r>
            <w:proofErr w:type="spellEnd"/>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Start 0-6 h PK</w:t>
            </w:r>
            <w:r w:rsidRPr="00AD70DE" w:rsidDel="00BD3D41">
              <w:rPr>
                <w:lang w:val="en-GB"/>
              </w:rPr>
              <w:t xml:space="preserve"> </w:t>
            </w:r>
            <w:r w:rsidRPr="00AD70DE">
              <w:rPr>
                <w:lang w:val="en-GB"/>
              </w:rPr>
              <w:t xml:space="preserve">assessments  </w:t>
            </w:r>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 xml:space="preserve">After PK assessments start with </w:t>
            </w:r>
            <w:proofErr w:type="spellStart"/>
            <w:r w:rsidRPr="00AD70DE">
              <w:rPr>
                <w:lang w:val="en-GB"/>
              </w:rPr>
              <w:t>pantoprazol</w:t>
            </w:r>
            <w:proofErr w:type="spellEnd"/>
            <w:r w:rsidRPr="00AD70DE">
              <w:rPr>
                <w:lang w:val="en-GB"/>
              </w:rPr>
              <w:t xml:space="preserve"> (</w:t>
            </w:r>
            <w:proofErr w:type="spellStart"/>
            <w:r w:rsidRPr="00AD70DE">
              <w:rPr>
                <w:lang w:val="en-GB"/>
              </w:rPr>
              <w:t>p.o.</w:t>
            </w:r>
            <w:proofErr w:type="spellEnd"/>
            <w:r w:rsidRPr="00AD70DE">
              <w:rPr>
                <w:lang w:val="en-GB"/>
              </w:rPr>
              <w:t>) for 9 d</w:t>
            </w:r>
          </w:p>
          <w:p w:rsidR="009C32E7" w:rsidRPr="00AD70DE" w:rsidRDefault="009C32E7" w:rsidP="00AD70DE">
            <w:pPr>
              <w:keepNext/>
              <w:keepLines/>
              <w:spacing w:before="120"/>
              <w:jc w:val="both"/>
              <w:rPr>
                <w:sz w:val="20"/>
                <w:szCs w:val="20"/>
                <w:lang w:val="en-GB"/>
              </w:rPr>
            </w:pPr>
            <w:r w:rsidRPr="00AD70DE">
              <w:rPr>
                <w:lang w:val="en-GB"/>
              </w:rPr>
              <w:t>Timing will be chosen related to expected timing of breakfast and dosing on V 2.</w:t>
            </w:r>
          </w:p>
        </w:tc>
      </w:tr>
      <w:tr w:rsidR="009C32E7" w:rsidRPr="00AD70DE" w:rsidTr="008355A9">
        <w:tc>
          <w:tcPr>
            <w:tcW w:w="1877" w:type="dxa"/>
          </w:tcPr>
          <w:p w:rsidR="009C32E7" w:rsidRPr="00AD70DE" w:rsidRDefault="009C32E7" w:rsidP="00AD70DE">
            <w:pPr>
              <w:spacing w:before="120"/>
              <w:rPr>
                <w:lang w:val="en-GB"/>
              </w:rPr>
            </w:pPr>
            <w:r w:rsidRPr="00AD70DE">
              <w:rPr>
                <w:lang w:val="en-GB"/>
              </w:rPr>
              <w:t>Visit 2 (day 6):</w:t>
            </w:r>
          </w:p>
        </w:tc>
        <w:tc>
          <w:tcPr>
            <w:tcW w:w="6311" w:type="dxa"/>
          </w:tcPr>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PPI therapy continued (morning dose 1 h before breakfast)</w:t>
            </w:r>
          </w:p>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 xml:space="preserve">400 mg HCQ </w:t>
            </w:r>
            <w:proofErr w:type="spellStart"/>
            <w:r w:rsidRPr="00AD70DE">
              <w:rPr>
                <w:lang w:val="en-GB"/>
              </w:rPr>
              <w:t>p.o.</w:t>
            </w:r>
            <w:proofErr w:type="spellEnd"/>
            <w:r w:rsidRPr="00AD70DE">
              <w:rPr>
                <w:lang w:val="en-GB"/>
              </w:rPr>
              <w:t xml:space="preserve"> with food</w:t>
            </w:r>
          </w:p>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Start 0-24 h HCQ PK</w:t>
            </w:r>
          </w:p>
          <w:p w:rsidR="009C32E7" w:rsidRPr="00AD70DE" w:rsidRDefault="009C32E7" w:rsidP="00AD70DE">
            <w:pPr>
              <w:pStyle w:val="Listenabsatz"/>
              <w:keepNext/>
              <w:keepLines/>
              <w:numPr>
                <w:ilvl w:val="0"/>
                <w:numId w:val="4"/>
              </w:numPr>
              <w:tabs>
                <w:tab w:val="clear" w:pos="360"/>
              </w:tabs>
              <w:spacing w:before="120"/>
              <w:ind w:left="360" w:hanging="360"/>
              <w:jc w:val="both"/>
              <w:rPr>
                <w:sz w:val="20"/>
                <w:szCs w:val="20"/>
                <w:lang w:val="en-GB"/>
              </w:rPr>
            </w:pPr>
            <w:r w:rsidRPr="00AD70DE">
              <w:rPr>
                <w:lang w:val="en-GB"/>
              </w:rPr>
              <w:t xml:space="preserve">3 h after HCQ: administration of 30 µg midazolam and 50 µg </w:t>
            </w:r>
            <w:proofErr w:type="spellStart"/>
            <w:r w:rsidRPr="00AD70DE">
              <w:rPr>
                <w:lang w:val="en-GB"/>
              </w:rPr>
              <w:t>yohimbine</w:t>
            </w:r>
            <w:proofErr w:type="spellEnd"/>
            <w:r w:rsidRPr="00AD70DE">
              <w:rPr>
                <w:lang w:val="en-GB"/>
              </w:rPr>
              <w:t xml:space="preserve"> </w:t>
            </w:r>
            <w:proofErr w:type="spellStart"/>
            <w:r w:rsidRPr="00AD70DE">
              <w:rPr>
                <w:lang w:val="en-GB"/>
              </w:rPr>
              <w:t>p.o.</w:t>
            </w:r>
            <w:proofErr w:type="spellEnd"/>
          </w:p>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 xml:space="preserve">Start 0-6 h midazolam and </w:t>
            </w:r>
            <w:proofErr w:type="spellStart"/>
            <w:r w:rsidRPr="00AD70DE">
              <w:rPr>
                <w:lang w:val="en-GB"/>
              </w:rPr>
              <w:t>yohimbine</w:t>
            </w:r>
            <w:proofErr w:type="spellEnd"/>
            <w:r w:rsidRPr="00AD70DE">
              <w:rPr>
                <w:lang w:val="en-GB"/>
              </w:rPr>
              <w:t xml:space="preserve"> PK</w:t>
            </w:r>
          </w:p>
        </w:tc>
      </w:tr>
      <w:tr w:rsidR="009C32E7" w:rsidRPr="00AD70DE" w:rsidTr="008355A9">
        <w:tc>
          <w:tcPr>
            <w:tcW w:w="1877" w:type="dxa"/>
          </w:tcPr>
          <w:p w:rsidR="009C32E7" w:rsidRPr="00AD70DE" w:rsidRDefault="009C32E7" w:rsidP="00AD70DE">
            <w:pPr>
              <w:spacing w:before="120"/>
              <w:rPr>
                <w:lang w:val="en-GB"/>
              </w:rPr>
            </w:pPr>
            <w:r w:rsidRPr="00AD70DE">
              <w:rPr>
                <w:lang w:val="en-GB"/>
              </w:rPr>
              <w:t>Visit 3 – 5</w:t>
            </w:r>
          </w:p>
          <w:p w:rsidR="009C32E7" w:rsidRPr="00AD70DE" w:rsidRDefault="009C32E7" w:rsidP="00AD70DE">
            <w:pPr>
              <w:spacing w:before="120"/>
              <w:rPr>
                <w:lang w:val="en-GB"/>
              </w:rPr>
            </w:pPr>
            <w:r w:rsidRPr="00AD70DE">
              <w:rPr>
                <w:lang w:val="en-GB"/>
              </w:rPr>
              <w:t>(day 7-9):</w:t>
            </w:r>
          </w:p>
        </w:tc>
        <w:tc>
          <w:tcPr>
            <w:tcW w:w="6311" w:type="dxa"/>
          </w:tcPr>
          <w:p w:rsidR="009C32E7" w:rsidRPr="00AD70DE" w:rsidRDefault="009C32E7" w:rsidP="00AD70DE">
            <w:pPr>
              <w:pStyle w:val="Listenabsatz"/>
              <w:numPr>
                <w:ilvl w:val="0"/>
                <w:numId w:val="4"/>
              </w:numPr>
              <w:tabs>
                <w:tab w:val="clear" w:pos="360"/>
              </w:tabs>
              <w:spacing w:before="120"/>
              <w:ind w:left="360" w:hanging="360"/>
              <w:jc w:val="both"/>
              <w:rPr>
                <w:lang w:val="en-GB"/>
              </w:rPr>
            </w:pPr>
            <w:r w:rsidRPr="00AD70DE">
              <w:rPr>
                <w:lang w:val="en-GB"/>
              </w:rPr>
              <w:t>PPI therapy continued until day 9</w:t>
            </w:r>
          </w:p>
          <w:p w:rsidR="009C32E7" w:rsidRPr="00AD70DE" w:rsidRDefault="009C32E7" w:rsidP="00AD70DE">
            <w:pPr>
              <w:pStyle w:val="Listenabsatz"/>
              <w:numPr>
                <w:ilvl w:val="0"/>
                <w:numId w:val="4"/>
              </w:numPr>
              <w:spacing w:before="120"/>
              <w:jc w:val="both"/>
              <w:rPr>
                <w:lang w:val="en-GB"/>
              </w:rPr>
            </w:pPr>
            <w:r w:rsidRPr="00AD70DE">
              <w:rPr>
                <w:lang w:val="en-GB"/>
              </w:rPr>
              <w:t>24 h ± 1, 36 h ± 1, 48 h ± 2 and 72 h ± 2 PK</w:t>
            </w:r>
          </w:p>
        </w:tc>
      </w:tr>
    </w:tbl>
    <w:p w:rsidR="009C32E7" w:rsidRPr="00AD70DE" w:rsidRDefault="009C32E7" w:rsidP="00AD70DE">
      <w:pPr>
        <w:spacing w:before="120" w:line="240" w:lineRule="exact"/>
        <w:rPr>
          <w:lang w:val="en-GB"/>
        </w:rPr>
      </w:pPr>
      <w:bookmarkStart w:id="1216" w:name="_Toc256000257"/>
      <w:bookmarkStart w:id="1217" w:name="_Toc469498885"/>
      <w:bookmarkStart w:id="1218" w:name="_Toc491340331"/>
    </w:p>
    <w:p w:rsidR="009C32E7" w:rsidRPr="00AD70DE" w:rsidRDefault="009C32E7" w:rsidP="00AD70DE">
      <w:pPr>
        <w:spacing w:before="120" w:line="240" w:lineRule="exact"/>
        <w:rPr>
          <w:lang w:val="en-GB"/>
        </w:rPr>
      </w:pPr>
      <w:r w:rsidRPr="00AD70DE">
        <w:rPr>
          <w:lang w:val="en-GB"/>
        </w:rPr>
        <w:t>Unscheduled safety visits and tests may be performed as a consequence of AEs at the discretion of the investigator, if clinically indicated.</w:t>
      </w:r>
    </w:p>
    <w:p w:rsidR="009C32E7" w:rsidRPr="00AD70DE" w:rsidRDefault="009C32E7" w:rsidP="00AD70DE">
      <w:pPr>
        <w:rPr>
          <w:lang w:val="en-GB"/>
        </w:rPr>
      </w:pPr>
    </w:p>
    <w:p w:rsidR="009C32E7" w:rsidRPr="00AD70DE" w:rsidRDefault="009C32E7" w:rsidP="00AD70DE">
      <w:pPr>
        <w:pStyle w:val="111Formatvorlage"/>
        <w:keepNext w:val="0"/>
        <w:numPr>
          <w:ilvl w:val="2"/>
          <w:numId w:val="3"/>
        </w:numPr>
        <w:spacing w:line="240" w:lineRule="exact"/>
        <w:ind w:left="993" w:hanging="993"/>
      </w:pPr>
      <w:bookmarkStart w:id="1219" w:name="_Toc256002337"/>
      <w:bookmarkStart w:id="1220" w:name="_Toc256002240"/>
      <w:bookmarkStart w:id="1221" w:name="_Toc256002143"/>
      <w:bookmarkStart w:id="1222" w:name="_Toc256002046"/>
      <w:bookmarkStart w:id="1223" w:name="_Toc256001905"/>
      <w:bookmarkStart w:id="1224" w:name="_Toc256001663"/>
      <w:bookmarkStart w:id="1225" w:name="_Toc256001424"/>
      <w:bookmarkStart w:id="1226" w:name="_Toc256001198"/>
      <w:bookmarkStart w:id="1227" w:name="_Toc256000944"/>
      <w:bookmarkStart w:id="1228" w:name="_Toc256000709"/>
      <w:bookmarkStart w:id="1229" w:name="_Toc256000420"/>
      <w:bookmarkStart w:id="1230" w:name="_Toc256000109"/>
      <w:bookmarkStart w:id="1231" w:name="_Toc9613145"/>
      <w:bookmarkStart w:id="1232" w:name="_Toc37173041"/>
      <w:bookmarkStart w:id="1233" w:name="_Toc37243433"/>
      <w:r w:rsidRPr="00AD70DE">
        <w:t>End-of-trial visit:</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The EOT must occur more than 7 d up to 28 d after HCQ administration and includes the following:</w:t>
      </w:r>
    </w:p>
    <w:tbl>
      <w:tblPr>
        <w:tblW w:w="0" w:type="auto"/>
        <w:tblLook w:val="00A0" w:firstRow="1" w:lastRow="0" w:firstColumn="1" w:lastColumn="0" w:noHBand="0" w:noVBand="0"/>
      </w:tblPr>
      <w:tblGrid>
        <w:gridCol w:w="1098"/>
        <w:gridCol w:w="8190"/>
      </w:tblGrid>
      <w:tr w:rsidR="009C32E7" w:rsidRPr="00AD70DE" w:rsidTr="008355A9">
        <w:tc>
          <w:tcPr>
            <w:tcW w:w="1098" w:type="dxa"/>
          </w:tcPr>
          <w:p w:rsidR="009C32E7" w:rsidRPr="00AD70DE" w:rsidRDefault="009C32E7" w:rsidP="00AD70DE">
            <w:pPr>
              <w:spacing w:after="0" w:line="240" w:lineRule="auto"/>
              <w:rPr>
                <w:b/>
                <w:lang w:val="en-GB"/>
              </w:rPr>
            </w:pPr>
            <w:r w:rsidRPr="00AD70DE">
              <w:rPr>
                <w:b/>
                <w:lang w:val="en-GB"/>
              </w:rPr>
              <w:t>EOT</w:t>
            </w:r>
          </w:p>
        </w:tc>
        <w:tc>
          <w:tcPr>
            <w:tcW w:w="8190" w:type="dxa"/>
          </w:tcPr>
          <w:p w:rsidR="009C32E7" w:rsidRPr="00AD70DE" w:rsidRDefault="009C32E7" w:rsidP="00AD70DE">
            <w:pPr>
              <w:widowControl w:val="0"/>
              <w:numPr>
                <w:ilvl w:val="0"/>
                <w:numId w:val="14"/>
              </w:numPr>
              <w:tabs>
                <w:tab w:val="left" w:pos="341"/>
              </w:tabs>
              <w:autoSpaceDE w:val="0"/>
              <w:autoSpaceDN w:val="0"/>
              <w:adjustRightInd w:val="0"/>
              <w:spacing w:after="0" w:line="240" w:lineRule="auto"/>
              <w:ind w:left="341" w:hanging="258"/>
              <w:jc w:val="both"/>
              <w:rPr>
                <w:rFonts w:cs="Times"/>
                <w:lang w:val="en-GB"/>
              </w:rPr>
            </w:pPr>
            <w:r w:rsidRPr="00AD70DE">
              <w:rPr>
                <w:rFonts w:cs="Times"/>
                <w:lang w:val="en-GB"/>
              </w:rPr>
              <w:t>Current medical condition,</w:t>
            </w:r>
            <w:r w:rsidRPr="00AD70DE">
              <w:rPr>
                <w:rFonts w:ascii="MS Mincho" w:eastAsia="MS Mincho" w:hAnsi="MS Mincho" w:cs="MS Mincho"/>
                <w:lang w:val="en-GB"/>
              </w:rPr>
              <w:t> </w:t>
            </w:r>
          </w:p>
          <w:p w:rsidR="009C32E7" w:rsidRPr="00AD70DE" w:rsidRDefault="009C32E7" w:rsidP="00AD70DE">
            <w:pPr>
              <w:widowControl w:val="0"/>
              <w:numPr>
                <w:ilvl w:val="0"/>
                <w:numId w:val="14"/>
              </w:numPr>
              <w:tabs>
                <w:tab w:val="left" w:pos="341"/>
              </w:tabs>
              <w:autoSpaceDE w:val="0"/>
              <w:autoSpaceDN w:val="0"/>
              <w:adjustRightInd w:val="0"/>
              <w:spacing w:after="0" w:line="240" w:lineRule="auto"/>
              <w:ind w:left="341" w:hanging="258"/>
              <w:jc w:val="both"/>
              <w:rPr>
                <w:lang w:val="en-GB"/>
              </w:rPr>
            </w:pPr>
            <w:r w:rsidRPr="00AD70DE">
              <w:rPr>
                <w:rFonts w:cs="Times"/>
                <w:lang w:val="en-GB"/>
              </w:rPr>
              <w:t>Assessment of AEs,</w:t>
            </w:r>
          </w:p>
          <w:p w:rsidR="009C32E7" w:rsidRPr="00AD70DE" w:rsidRDefault="009C32E7" w:rsidP="00AD70DE">
            <w:pPr>
              <w:widowControl w:val="0"/>
              <w:numPr>
                <w:ilvl w:val="0"/>
                <w:numId w:val="14"/>
              </w:numPr>
              <w:tabs>
                <w:tab w:val="left" w:pos="341"/>
              </w:tabs>
              <w:autoSpaceDE w:val="0"/>
              <w:autoSpaceDN w:val="0"/>
              <w:adjustRightInd w:val="0"/>
              <w:spacing w:after="0" w:line="240" w:lineRule="auto"/>
              <w:ind w:left="341" w:hanging="258"/>
              <w:jc w:val="both"/>
              <w:rPr>
                <w:lang w:val="en-GB"/>
              </w:rPr>
            </w:pPr>
            <w:r w:rsidRPr="00AD70DE">
              <w:rPr>
                <w:lang w:val="en-GB"/>
              </w:rPr>
              <w:t>Physical examination including BP, HR, T, and body weight,</w:t>
            </w:r>
          </w:p>
          <w:p w:rsidR="009C32E7" w:rsidRPr="00AD70DE" w:rsidRDefault="009C32E7" w:rsidP="00AD70DE">
            <w:pPr>
              <w:pStyle w:val="Listenabsatz"/>
              <w:widowControl w:val="0"/>
              <w:numPr>
                <w:ilvl w:val="0"/>
                <w:numId w:val="13"/>
              </w:numPr>
              <w:tabs>
                <w:tab w:val="left" w:pos="341"/>
              </w:tabs>
              <w:autoSpaceDE w:val="0"/>
              <w:autoSpaceDN w:val="0"/>
              <w:adjustRightInd w:val="0"/>
              <w:spacing w:after="0" w:line="240" w:lineRule="auto"/>
              <w:ind w:left="341" w:hanging="258"/>
              <w:jc w:val="both"/>
              <w:rPr>
                <w:rFonts w:cs="Times"/>
                <w:lang w:val="en-GB"/>
              </w:rPr>
            </w:pPr>
            <w:r w:rsidRPr="00AD70DE">
              <w:rPr>
                <w:rFonts w:cs="Times"/>
                <w:lang w:val="en-GB"/>
              </w:rPr>
              <w:t>ECG evaluation</w:t>
            </w:r>
            <w:r w:rsidRPr="00AD70DE">
              <w:rPr>
                <w:rFonts w:ascii="MS Mincho" w:eastAsia="MS Mincho" w:hAnsi="MS Mincho" w:cs="MS Mincho"/>
                <w:sz w:val="20"/>
                <w:szCs w:val="20"/>
                <w:lang w:val="en-GB"/>
              </w:rPr>
              <w:t>,</w:t>
            </w:r>
          </w:p>
          <w:p w:rsidR="009C32E7" w:rsidRPr="00AD70DE" w:rsidRDefault="009C32E7" w:rsidP="00AD70DE">
            <w:pPr>
              <w:widowControl w:val="0"/>
              <w:numPr>
                <w:ilvl w:val="0"/>
                <w:numId w:val="14"/>
              </w:numPr>
              <w:tabs>
                <w:tab w:val="left" w:pos="341"/>
              </w:tabs>
              <w:autoSpaceDE w:val="0"/>
              <w:autoSpaceDN w:val="0"/>
              <w:adjustRightInd w:val="0"/>
              <w:spacing w:after="0" w:line="240" w:lineRule="auto"/>
              <w:ind w:left="341" w:hanging="258"/>
              <w:jc w:val="both"/>
              <w:rPr>
                <w:rFonts w:cs="Times"/>
                <w:lang w:val="en-GB"/>
              </w:rPr>
            </w:pPr>
            <w:r w:rsidRPr="00AD70DE">
              <w:rPr>
                <w:rFonts w:cs="Times"/>
                <w:lang w:val="en-GB"/>
              </w:rPr>
              <w:t xml:space="preserve">Blood sampling (haematology, blood chemistry, safety lab, </w:t>
            </w:r>
          </w:p>
          <w:p w:rsidR="009C32E7" w:rsidRPr="00AD70DE" w:rsidRDefault="009C32E7" w:rsidP="00AD70DE">
            <w:pPr>
              <w:widowControl w:val="0"/>
              <w:numPr>
                <w:ilvl w:val="0"/>
                <w:numId w:val="14"/>
              </w:numPr>
              <w:tabs>
                <w:tab w:val="left" w:pos="341"/>
              </w:tabs>
              <w:autoSpaceDE w:val="0"/>
              <w:autoSpaceDN w:val="0"/>
              <w:adjustRightInd w:val="0"/>
              <w:spacing w:after="0" w:line="240" w:lineRule="auto"/>
              <w:ind w:left="341" w:hanging="258"/>
              <w:jc w:val="both"/>
              <w:rPr>
                <w:rFonts w:cs="Times"/>
                <w:lang w:val="en-GB"/>
              </w:rPr>
            </w:pPr>
            <w:r w:rsidRPr="00AD70DE">
              <w:rPr>
                <w:rFonts w:cs="Times"/>
                <w:lang w:val="en-GB"/>
              </w:rPr>
              <w:t>Urinalysis, and</w:t>
            </w:r>
          </w:p>
          <w:p w:rsidR="009C32E7" w:rsidRPr="00AD70DE" w:rsidRDefault="009C32E7" w:rsidP="00AD70DE">
            <w:pPr>
              <w:widowControl w:val="0"/>
              <w:numPr>
                <w:ilvl w:val="0"/>
                <w:numId w:val="14"/>
              </w:numPr>
              <w:tabs>
                <w:tab w:val="left" w:pos="341"/>
              </w:tabs>
              <w:autoSpaceDE w:val="0"/>
              <w:autoSpaceDN w:val="0"/>
              <w:adjustRightInd w:val="0"/>
              <w:spacing w:after="0" w:line="240" w:lineRule="auto"/>
              <w:ind w:left="341" w:hanging="258"/>
              <w:jc w:val="both"/>
              <w:rPr>
                <w:rFonts w:cs="Times"/>
                <w:lang w:val="en-GB"/>
              </w:rPr>
            </w:pPr>
            <w:r w:rsidRPr="00AD70DE">
              <w:rPr>
                <w:rFonts w:cs="Times"/>
                <w:lang w:val="en-GB"/>
              </w:rPr>
              <w:t>Confirmation of individual trial end or assessment of need to follow up any open AEs.</w:t>
            </w:r>
          </w:p>
        </w:tc>
      </w:tr>
    </w:tbl>
    <w:p w:rsidR="009C32E7" w:rsidRPr="00AD70DE" w:rsidRDefault="009C32E7" w:rsidP="00AD70DE">
      <w:pPr>
        <w:autoSpaceDE w:val="0"/>
        <w:autoSpaceDN w:val="0"/>
        <w:adjustRightInd w:val="0"/>
        <w:rPr>
          <w:rFonts w:cs="Calibri"/>
          <w:lang w:val="en-GB" w:eastAsia="de-DE"/>
        </w:rPr>
      </w:pPr>
    </w:p>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Additionally, there will be a telephone safety on day 90 - 120 after HCQ administration.</w:t>
      </w:r>
    </w:p>
    <w:p w:rsidR="009C32E7" w:rsidRPr="00AD70DE" w:rsidRDefault="009C32E7" w:rsidP="00AD70DE">
      <w:pPr>
        <w:pStyle w:val="berschrift2"/>
        <w:spacing w:before="240"/>
        <w:ind w:left="567" w:hanging="567"/>
        <w:rPr>
          <w:color w:val="auto"/>
        </w:rPr>
      </w:pPr>
      <w:bookmarkStart w:id="1234" w:name="_Toc256002338"/>
      <w:bookmarkStart w:id="1235" w:name="_Toc256002241"/>
      <w:bookmarkStart w:id="1236" w:name="_Toc256002144"/>
      <w:bookmarkStart w:id="1237" w:name="_Toc256002047"/>
      <w:bookmarkStart w:id="1238" w:name="_Toc256001908"/>
      <w:bookmarkStart w:id="1239" w:name="_Toc256001664"/>
      <w:bookmarkStart w:id="1240" w:name="_Toc256001427"/>
      <w:bookmarkStart w:id="1241" w:name="_Toc256001199"/>
      <w:bookmarkStart w:id="1242" w:name="_Toc256000946"/>
      <w:bookmarkStart w:id="1243" w:name="_Toc256000713"/>
      <w:bookmarkStart w:id="1244" w:name="_Toc256000421"/>
      <w:bookmarkStart w:id="1245" w:name="_Toc256000110"/>
      <w:bookmarkStart w:id="1246" w:name="_Toc9613146"/>
      <w:bookmarkStart w:id="1247" w:name="_Toc37173042"/>
      <w:bookmarkStart w:id="1248" w:name="_Toc37243434"/>
      <w:r w:rsidRPr="00AD70DE">
        <w:rPr>
          <w:color w:val="auto"/>
        </w:rPr>
        <w:t>Trial procedures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rsidR="009C32E7" w:rsidRPr="00AD70DE" w:rsidRDefault="009C32E7" w:rsidP="00AD70DE">
      <w:pPr>
        <w:rPr>
          <w:rFonts w:cs="Calibri"/>
          <w:color w:val="000000"/>
          <w:sz w:val="20"/>
          <w:szCs w:val="20"/>
          <w:lang w:val="en-GB"/>
        </w:rPr>
      </w:pPr>
      <w:r w:rsidRPr="00AD70DE">
        <w:rPr>
          <w:lang w:val="en-GB"/>
        </w:rPr>
        <w:t xml:space="preserve">Procedures will be carried out according to the Department’s </w:t>
      </w:r>
      <w:r w:rsidRPr="00AD70DE">
        <w:rPr>
          <w:rFonts w:cs="Calibri"/>
          <w:color w:val="000000"/>
          <w:lang w:val="en-GB"/>
        </w:rPr>
        <w:t>standard operating procedures (</w:t>
      </w:r>
      <w:r w:rsidRPr="00AD70DE">
        <w:rPr>
          <w:lang w:val="en-GB"/>
        </w:rPr>
        <w:t>SOPs).</w:t>
      </w:r>
    </w:p>
    <w:p w:rsidR="009C32E7" w:rsidRPr="00AD70DE" w:rsidRDefault="009C32E7" w:rsidP="00AD70DE">
      <w:pPr>
        <w:pStyle w:val="111Formatvorlage"/>
        <w:keepNext w:val="0"/>
        <w:numPr>
          <w:ilvl w:val="2"/>
          <w:numId w:val="3"/>
        </w:numPr>
        <w:spacing w:line="240" w:lineRule="exact"/>
        <w:ind w:left="993" w:hanging="993"/>
      </w:pPr>
      <w:bookmarkStart w:id="1249" w:name="_Toc256002339"/>
      <w:bookmarkStart w:id="1250" w:name="_Toc256002242"/>
      <w:bookmarkStart w:id="1251" w:name="_Toc256002145"/>
      <w:bookmarkStart w:id="1252" w:name="_Toc256002048"/>
      <w:bookmarkStart w:id="1253" w:name="_Toc256001909"/>
      <w:bookmarkStart w:id="1254" w:name="_Toc256001665"/>
      <w:bookmarkStart w:id="1255" w:name="_Toc256001432"/>
      <w:bookmarkStart w:id="1256" w:name="_Toc256001200"/>
      <w:bookmarkStart w:id="1257" w:name="_Toc256000947"/>
      <w:bookmarkStart w:id="1258" w:name="_Toc256000717"/>
      <w:bookmarkStart w:id="1259" w:name="_Toc256000422"/>
      <w:bookmarkStart w:id="1260" w:name="_Toc256000120"/>
      <w:bookmarkStart w:id="1261" w:name="_Toc9613147"/>
      <w:bookmarkStart w:id="1262" w:name="_Toc37173043"/>
      <w:bookmarkStart w:id="1263" w:name="_Toc37243435"/>
      <w:r w:rsidRPr="00AD70DE">
        <w:t>Physical examination, vital signs, and electrocardiogram</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The physical examination consists of a review of organ systems including lungs, heart, abdomen, liver, kidneys, peripheral pulses, eyes, nose, throat, skin, and neurological status.</w:t>
      </w:r>
    </w:p>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Vitals sign assessment consists of measurement of BP, HR, and T. Height and weight will be measured where indicated.</w:t>
      </w:r>
    </w:p>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ECGs will be carried out as 12-lead ECGs.</w:t>
      </w:r>
    </w:p>
    <w:p w:rsidR="009C32E7" w:rsidRPr="00AD70DE" w:rsidRDefault="009C32E7" w:rsidP="00AD70DE">
      <w:pPr>
        <w:pStyle w:val="111Formatvorlage"/>
        <w:keepNext w:val="0"/>
        <w:numPr>
          <w:ilvl w:val="2"/>
          <w:numId w:val="3"/>
        </w:numPr>
        <w:spacing w:line="240" w:lineRule="exact"/>
        <w:ind w:left="993" w:hanging="993"/>
      </w:pPr>
      <w:bookmarkStart w:id="1264" w:name="_Toc256000287"/>
      <w:bookmarkStart w:id="1265" w:name="_Toc469498887"/>
      <w:bookmarkStart w:id="1266" w:name="_Toc491340333"/>
      <w:bookmarkStart w:id="1267" w:name="_Toc256002340"/>
      <w:bookmarkStart w:id="1268" w:name="_Toc256002243"/>
      <w:bookmarkStart w:id="1269" w:name="_Toc256002146"/>
      <w:bookmarkStart w:id="1270" w:name="_Toc256002049"/>
      <w:bookmarkStart w:id="1271" w:name="_Toc256001913"/>
      <w:bookmarkStart w:id="1272" w:name="_Toc256001666"/>
      <w:bookmarkStart w:id="1273" w:name="_Toc256001433"/>
      <w:bookmarkStart w:id="1274" w:name="_Toc256001201"/>
      <w:bookmarkStart w:id="1275" w:name="_Toc256000954"/>
      <w:bookmarkStart w:id="1276" w:name="_Toc256000719"/>
      <w:bookmarkStart w:id="1277" w:name="_Toc256000427"/>
      <w:bookmarkStart w:id="1278" w:name="_Toc256000121"/>
      <w:bookmarkStart w:id="1279" w:name="_Toc9613148"/>
      <w:bookmarkStart w:id="1280" w:name="_Toc37173044"/>
      <w:bookmarkStart w:id="1281" w:name="_Toc37243436"/>
      <w:r w:rsidRPr="00AD70DE">
        <w:t>Blood and urine sampling</w:t>
      </w:r>
      <w:bookmarkEnd w:id="1264"/>
      <w:bookmarkEnd w:id="1265"/>
      <w:bookmarkEnd w:id="1266"/>
      <w:r w:rsidRPr="00AD70DE">
        <w:t>, and total amount of blood withdrawn</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r w:rsidRPr="00AD70DE">
        <w:t xml:space="preserve"> </w:t>
      </w:r>
    </w:p>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Blood sampling will be done as shown in Table 1</w:t>
      </w:r>
      <w:r w:rsidRPr="00AD70DE">
        <w:rPr>
          <w:lang w:val="en-GB"/>
        </w:rPr>
        <w:t>. Blood sampling at 24 h and 48 may occur with a deviation of ± 1 h and at 72 h it may occur</w:t>
      </w:r>
      <w:r w:rsidRPr="00AD70DE">
        <w:rPr>
          <w:sz w:val="18"/>
          <w:szCs w:val="18"/>
          <w:lang w:val="en-GB"/>
        </w:rPr>
        <w:t xml:space="preserve"> </w:t>
      </w:r>
      <w:r w:rsidRPr="00AD70DE">
        <w:rPr>
          <w:lang w:val="en-GB"/>
        </w:rPr>
        <w:t xml:space="preserve">with a deviation of ± 2 h. </w:t>
      </w:r>
      <w:r w:rsidRPr="00AD70DE">
        <w:rPr>
          <w:rFonts w:cs="Calibri"/>
          <w:lang w:val="en-GB" w:eastAsia="de-DE"/>
        </w:rPr>
        <w:t>The total amount of blood will be approximately 400 ml withdrawn over the trial period (including SCR and EOT examinations).</w:t>
      </w:r>
      <w:r w:rsidRPr="00AD70DE">
        <w:rPr>
          <w:lang w:val="en-US"/>
        </w:rPr>
        <w:t xml:space="preserve"> </w:t>
      </w:r>
      <w:r w:rsidRPr="00AD70DE">
        <w:rPr>
          <w:rFonts w:cs="Calibri"/>
          <w:lang w:val="en-GB" w:eastAsia="de-DE"/>
        </w:rPr>
        <w:t>If rescreening occurs, an additional 30 ml of blood will be taken.</w:t>
      </w:r>
    </w:p>
    <w:p w:rsidR="009C32E7" w:rsidRPr="00AD70DE" w:rsidRDefault="009C32E7" w:rsidP="00AD70DE">
      <w:pPr>
        <w:keepNext/>
        <w:keepLines/>
        <w:autoSpaceDE w:val="0"/>
        <w:autoSpaceDN w:val="0"/>
        <w:adjustRightInd w:val="0"/>
        <w:rPr>
          <w:rFonts w:cs="Calibri"/>
          <w:b/>
          <w:lang w:val="en-GB" w:eastAsia="de-DE"/>
        </w:rPr>
      </w:pPr>
      <w:r w:rsidRPr="00AD70DE">
        <w:rPr>
          <w:rFonts w:cs="Calibri"/>
          <w:b/>
          <w:lang w:val="en-GB" w:eastAsia="de-DE"/>
        </w:rPr>
        <w:t xml:space="preserve">Safety laboratory assessments </w:t>
      </w:r>
    </w:p>
    <w:p w:rsidR="009C32E7" w:rsidRPr="00AD70DE" w:rsidRDefault="009C32E7" w:rsidP="00AD70DE">
      <w:pPr>
        <w:keepNext/>
        <w:keepLines/>
        <w:autoSpaceDE w:val="0"/>
        <w:autoSpaceDN w:val="0"/>
        <w:adjustRightInd w:val="0"/>
        <w:rPr>
          <w:rFonts w:cs="Calibri"/>
          <w:lang w:val="en-GB" w:eastAsia="de-DE"/>
        </w:rPr>
      </w:pPr>
      <w:r w:rsidRPr="00AD70DE">
        <w:rPr>
          <w:rFonts w:cs="Calibri"/>
          <w:lang w:val="en-GB" w:eastAsia="de-DE"/>
        </w:rPr>
        <w:t xml:space="preserve">These assessments will be carried out at the central lab of Heidelberg Medical Centre according to the routine hospital procedures. </w:t>
      </w:r>
    </w:p>
    <w:p w:rsidR="009C32E7" w:rsidRPr="00AD70DE" w:rsidRDefault="009C32E7" w:rsidP="00AD70DE">
      <w:pPr>
        <w:pStyle w:val="Listenabsatz"/>
        <w:keepNext/>
        <w:keepLines/>
        <w:numPr>
          <w:ilvl w:val="0"/>
          <w:numId w:val="21"/>
        </w:numPr>
        <w:autoSpaceDE w:val="0"/>
        <w:autoSpaceDN w:val="0"/>
        <w:adjustRightInd w:val="0"/>
        <w:rPr>
          <w:rFonts w:cs="Calibri"/>
          <w:lang w:val="en-GB" w:eastAsia="de-DE"/>
        </w:rPr>
      </w:pPr>
      <w:r w:rsidRPr="00AD70DE">
        <w:rPr>
          <w:rFonts w:cs="Calibri"/>
          <w:lang w:val="en-GB" w:eastAsia="de-DE"/>
        </w:rPr>
        <w:t>Haematology: red blood cell count, haematocrit, haemoglobin, white blood cell count with differentials (neutrophils, eosinophils, basophils, monocytes, and lymphocytes), platelets,</w:t>
      </w:r>
    </w:p>
    <w:p w:rsidR="009C32E7" w:rsidRPr="00AD70DE" w:rsidRDefault="009C32E7" w:rsidP="00AD70DE">
      <w:pPr>
        <w:pStyle w:val="Listenabsatz"/>
        <w:numPr>
          <w:ilvl w:val="0"/>
          <w:numId w:val="21"/>
        </w:numPr>
        <w:autoSpaceDE w:val="0"/>
        <w:autoSpaceDN w:val="0"/>
        <w:adjustRightInd w:val="0"/>
        <w:rPr>
          <w:rFonts w:cs="Calibri"/>
          <w:lang w:val="en-GB" w:eastAsia="de-DE"/>
        </w:rPr>
      </w:pPr>
      <w:r w:rsidRPr="00AD70DE">
        <w:rPr>
          <w:rFonts w:cs="Calibri"/>
          <w:lang w:val="en-GB" w:eastAsia="de-DE"/>
        </w:rPr>
        <w:t xml:space="preserve">Electrolytes/biochemistry: sodium, potassium, calcium, chloride, phosphate, AST, ALT, alkaline phosphatase (AP), </w:t>
      </w:r>
      <w:r w:rsidRPr="00AD70DE">
        <w:rPr>
          <w:rFonts w:cs="Calibri"/>
          <w:color w:val="000000"/>
          <w:lang w:val="en-GB"/>
        </w:rPr>
        <w:t>gamma-</w:t>
      </w:r>
      <w:proofErr w:type="spellStart"/>
      <w:r w:rsidRPr="00AD70DE">
        <w:rPr>
          <w:rFonts w:cs="Calibri"/>
          <w:color w:val="000000"/>
          <w:lang w:val="en-GB"/>
        </w:rPr>
        <w:t>glutamyltransfeptidase</w:t>
      </w:r>
      <w:proofErr w:type="spellEnd"/>
      <w:r w:rsidRPr="00AD70DE">
        <w:rPr>
          <w:rFonts w:cs="Calibri"/>
          <w:lang w:val="en-GB" w:eastAsia="de-DE"/>
        </w:rPr>
        <w:t xml:space="preserve"> (γ-GT), CK, troponin T, total bilirubin, </w:t>
      </w:r>
      <w:proofErr w:type="spellStart"/>
      <w:r w:rsidRPr="00AD70DE">
        <w:rPr>
          <w:rFonts w:cs="Calibri"/>
          <w:lang w:val="en-GB" w:eastAsia="de-DE"/>
        </w:rPr>
        <w:t>Crea</w:t>
      </w:r>
      <w:proofErr w:type="spellEnd"/>
      <w:r w:rsidRPr="00AD70DE">
        <w:rPr>
          <w:rFonts w:cs="Calibri"/>
          <w:lang w:val="en-GB" w:eastAsia="de-DE"/>
        </w:rPr>
        <w:t xml:space="preserve">, </w:t>
      </w:r>
      <w:proofErr w:type="spellStart"/>
      <w:r w:rsidRPr="00AD70DE">
        <w:rPr>
          <w:rFonts w:cs="Calibri"/>
          <w:lang w:val="en-GB" w:eastAsia="de-DE"/>
        </w:rPr>
        <w:t>Crea</w:t>
      </w:r>
      <w:proofErr w:type="spellEnd"/>
      <w:r w:rsidRPr="00AD70DE">
        <w:rPr>
          <w:rFonts w:cs="Calibri"/>
          <w:lang w:val="en-GB" w:eastAsia="de-DE"/>
        </w:rPr>
        <w:t xml:space="preserve"> Cl (Cockcroft-Gault),total protein, albumin, lipase, and plasma glucose,</w:t>
      </w:r>
    </w:p>
    <w:p w:rsidR="009C32E7" w:rsidRPr="00AD70DE" w:rsidRDefault="009C32E7" w:rsidP="00AD70DE">
      <w:pPr>
        <w:pStyle w:val="Listenabsatz"/>
        <w:numPr>
          <w:ilvl w:val="0"/>
          <w:numId w:val="21"/>
        </w:numPr>
        <w:autoSpaceDE w:val="0"/>
        <w:autoSpaceDN w:val="0"/>
        <w:adjustRightInd w:val="0"/>
        <w:rPr>
          <w:rFonts w:cs="Calibri"/>
          <w:lang w:val="en-GB" w:eastAsia="de-DE"/>
        </w:rPr>
      </w:pPr>
      <w:r w:rsidRPr="00AD70DE">
        <w:rPr>
          <w:rFonts w:cs="Calibri"/>
          <w:lang w:val="en-GB" w:eastAsia="de-DE"/>
        </w:rPr>
        <w:t xml:space="preserve">Coagulation: </w:t>
      </w:r>
      <w:r w:rsidRPr="00AD70DE">
        <w:rPr>
          <w:rFonts w:cs="Calibri"/>
          <w:color w:val="000000"/>
          <w:lang w:val="en-GB"/>
        </w:rPr>
        <w:t>international normalized ratio</w:t>
      </w:r>
      <w:r w:rsidRPr="00AD70DE">
        <w:rPr>
          <w:rFonts w:cs="Calibri"/>
          <w:lang w:val="en-GB" w:eastAsia="de-DE"/>
        </w:rPr>
        <w:t xml:space="preserve"> (INR), </w:t>
      </w:r>
      <w:r w:rsidRPr="00AD70DE">
        <w:rPr>
          <w:rFonts w:cs="Calibri"/>
          <w:color w:val="000000"/>
          <w:lang w:val="en-GB"/>
        </w:rPr>
        <w:t>activated partial thromboplastin time (</w:t>
      </w:r>
      <w:r w:rsidRPr="00AD70DE">
        <w:rPr>
          <w:rFonts w:cs="Calibri"/>
          <w:lang w:val="en-GB" w:eastAsia="de-DE"/>
        </w:rPr>
        <w:t xml:space="preserve">aPTT) (at SCR only), </w:t>
      </w:r>
    </w:p>
    <w:p w:rsidR="009C32E7" w:rsidRPr="00AD70DE" w:rsidRDefault="009C32E7" w:rsidP="00AD70DE">
      <w:pPr>
        <w:pStyle w:val="Listenabsatz"/>
        <w:numPr>
          <w:ilvl w:val="0"/>
          <w:numId w:val="21"/>
        </w:numPr>
        <w:autoSpaceDE w:val="0"/>
        <w:autoSpaceDN w:val="0"/>
        <w:adjustRightInd w:val="0"/>
        <w:rPr>
          <w:rFonts w:cs="Calibri"/>
          <w:lang w:val="en-GB" w:eastAsia="de-DE"/>
        </w:rPr>
      </w:pPr>
      <w:r w:rsidRPr="00AD70DE">
        <w:rPr>
          <w:rFonts w:cs="Calibri"/>
          <w:lang w:val="en-GB" w:eastAsia="de-DE"/>
        </w:rPr>
        <w:t xml:space="preserve">Urinalysis: </w:t>
      </w:r>
      <w:r w:rsidRPr="00AD70DE">
        <w:rPr>
          <w:color w:val="000000"/>
          <w:lang w:val="en-GB"/>
        </w:rPr>
        <w:t>dip-stick test with optional microscopic examination (as per routine of the central laboratory), pregnancy test,</w:t>
      </w:r>
      <w:r w:rsidRPr="00AD70DE">
        <w:rPr>
          <w:rFonts w:cs="Calibri"/>
          <w:lang w:val="en-GB" w:eastAsia="de-DE"/>
        </w:rPr>
        <w:t xml:space="preserve"> and drug screen test (dip stick for amphetamines, barbiturates, benzodiazepines, cocaine, methamphetamines, ecstasy (MDMA), opiates, methadone, TCA (tricyclic antidepressants)).</w:t>
      </w:r>
    </w:p>
    <w:p w:rsidR="009C32E7" w:rsidRPr="00AD70DE" w:rsidRDefault="009C32E7" w:rsidP="00AD70DE">
      <w:pPr>
        <w:autoSpaceDE w:val="0"/>
        <w:autoSpaceDN w:val="0"/>
        <w:adjustRightInd w:val="0"/>
        <w:rPr>
          <w:rFonts w:cs="Calibri"/>
          <w:lang w:val="en-GB" w:eastAsia="de-DE"/>
        </w:rPr>
      </w:pPr>
      <w:r w:rsidRPr="00AD70DE">
        <w:rPr>
          <w:rFonts w:cs="Calibri"/>
          <w:lang w:val="en-GB" w:eastAsia="de-DE"/>
        </w:rPr>
        <w:t xml:space="preserve">In agreement with the hospital routine, samples measured at the central laboratory will be destroyed </w:t>
      </w:r>
      <w:r w:rsidRPr="00AD70DE">
        <w:rPr>
          <w:color w:val="000000"/>
          <w:lang w:val="en-GB"/>
        </w:rPr>
        <w:t>48 h after analysis.</w:t>
      </w:r>
    </w:p>
    <w:p w:rsidR="009C32E7" w:rsidRPr="00AD70DE" w:rsidRDefault="009C32E7" w:rsidP="00AD70DE">
      <w:pPr>
        <w:keepNext/>
        <w:keepLines/>
        <w:autoSpaceDE w:val="0"/>
        <w:autoSpaceDN w:val="0"/>
        <w:adjustRightInd w:val="0"/>
        <w:rPr>
          <w:rFonts w:cs="Calibri"/>
          <w:b/>
          <w:lang w:val="en-GB" w:eastAsia="de-DE"/>
        </w:rPr>
      </w:pPr>
      <w:r w:rsidRPr="00AD70DE">
        <w:rPr>
          <w:rFonts w:cs="Calibri"/>
          <w:b/>
          <w:lang w:val="en-GB" w:eastAsia="de-DE"/>
        </w:rPr>
        <w:t>Drug concentrations:</w:t>
      </w:r>
    </w:p>
    <w:p w:rsidR="009C32E7" w:rsidRPr="00AD70DE" w:rsidRDefault="009C32E7" w:rsidP="00AD70DE">
      <w:pPr>
        <w:keepNext/>
        <w:keepLines/>
        <w:autoSpaceDE w:val="0"/>
        <w:autoSpaceDN w:val="0"/>
        <w:adjustRightInd w:val="0"/>
        <w:rPr>
          <w:rFonts w:cs="Calibri"/>
          <w:lang w:val="en-GB" w:eastAsia="de-DE"/>
        </w:rPr>
      </w:pPr>
      <w:r w:rsidRPr="00AD70DE">
        <w:rPr>
          <w:rFonts w:cs="Calibri"/>
          <w:lang w:val="en-GB" w:eastAsia="de-DE"/>
        </w:rPr>
        <w:t>There will be whole blood samples, plasma samples and PBMC samples for quantification of drug concentrations. All samples will be frozen at least at -20 °C or lower and will be analysed as outlined in section 6.</w:t>
      </w:r>
    </w:p>
    <w:p w:rsidR="009C32E7" w:rsidRPr="00AD70DE" w:rsidRDefault="009C32E7" w:rsidP="00AD70DE">
      <w:pPr>
        <w:pStyle w:val="111Formatvorlage"/>
        <w:numPr>
          <w:ilvl w:val="2"/>
          <w:numId w:val="3"/>
        </w:numPr>
        <w:spacing w:line="240" w:lineRule="exact"/>
        <w:ind w:left="993" w:hanging="993"/>
      </w:pPr>
      <w:bookmarkStart w:id="1282" w:name="_Toc37243437"/>
      <w:bookmarkStart w:id="1283" w:name="_Toc256000392"/>
      <w:bookmarkStart w:id="1284" w:name="_Toc256001926"/>
      <w:bookmarkStart w:id="1285" w:name="_Toc256001834"/>
      <w:bookmarkStart w:id="1286" w:name="_Toc256001742"/>
      <w:bookmarkStart w:id="1287" w:name="_Toc256001650"/>
      <w:bookmarkStart w:id="1288" w:name="_Toc256001558"/>
      <w:bookmarkStart w:id="1289" w:name="_Toc256001466"/>
      <w:bookmarkStart w:id="1290" w:name="_Toc256001374"/>
      <w:bookmarkStart w:id="1291" w:name="_Toc256001282"/>
      <w:bookmarkStart w:id="1292" w:name="_Toc256001190"/>
      <w:bookmarkStart w:id="1293" w:name="_Toc256001098"/>
      <w:bookmarkStart w:id="1294" w:name="_Toc256001006"/>
      <w:bookmarkStart w:id="1295" w:name="_Toc256000914"/>
      <w:bookmarkStart w:id="1296" w:name="_Toc256000822"/>
      <w:bookmarkStart w:id="1297" w:name="_Toc256000730"/>
      <w:bookmarkStart w:id="1298" w:name="_Toc256000638"/>
      <w:bookmarkStart w:id="1299" w:name="_Toc256000546"/>
      <w:bookmarkStart w:id="1300" w:name="_Toc256000454"/>
      <w:bookmarkStart w:id="1301" w:name="_Toc256000362"/>
      <w:bookmarkStart w:id="1302" w:name="_Toc256000270"/>
      <w:bookmarkStart w:id="1303" w:name="_Toc256000178"/>
      <w:bookmarkStart w:id="1304" w:name="_Toc256000123"/>
      <w:bookmarkStart w:id="1305" w:name="_Toc256000044"/>
      <w:bookmarkStart w:id="1306" w:name="_Toc434223638"/>
      <w:bookmarkStart w:id="1307" w:name="_Toc455594093"/>
      <w:bookmarkStart w:id="1308" w:name="_Toc461443283"/>
      <w:bookmarkStart w:id="1309" w:name="_Toc469498904"/>
      <w:bookmarkStart w:id="1310" w:name="_Toc491340349"/>
      <w:bookmarkStart w:id="1311" w:name="_Toc256002341"/>
      <w:bookmarkStart w:id="1312" w:name="_Toc256002244"/>
      <w:bookmarkStart w:id="1313" w:name="_Toc256002147"/>
      <w:bookmarkStart w:id="1314" w:name="_Toc256002050"/>
      <w:bookmarkStart w:id="1315" w:name="_Toc256001915"/>
      <w:bookmarkStart w:id="1316" w:name="_Toc256001667"/>
      <w:bookmarkStart w:id="1317" w:name="_Toc256001434"/>
      <w:bookmarkStart w:id="1318" w:name="_Toc256001202"/>
      <w:bookmarkStart w:id="1319" w:name="_Toc256000963"/>
      <w:bookmarkStart w:id="1320" w:name="_Toc256000727"/>
      <w:bookmarkStart w:id="1321" w:name="_Toc256000433"/>
      <w:bookmarkStart w:id="1322" w:name="_Toc256000125"/>
      <w:bookmarkStart w:id="1323" w:name="_Toc9613149"/>
      <w:bookmarkStart w:id="1324" w:name="_Toc37173045"/>
      <w:r w:rsidRPr="00AD70DE">
        <w:t>Metabolic genotypes</w:t>
      </w:r>
      <w:bookmarkEnd w:id="1282"/>
    </w:p>
    <w:p w:rsidR="009C32E7" w:rsidRPr="00AD70DE" w:rsidRDefault="009C32E7" w:rsidP="00AD70DE">
      <w:pPr>
        <w:pStyle w:val="111Formatvorlage"/>
        <w:spacing w:line="240" w:lineRule="exact"/>
        <w:ind w:left="0" w:firstLine="0"/>
        <w:rPr>
          <w:sz w:val="22"/>
          <w:szCs w:val="22"/>
        </w:rPr>
      </w:pPr>
      <w:bookmarkStart w:id="1325" w:name="_Toc37243438"/>
      <w:r w:rsidRPr="00AD70DE">
        <w:rPr>
          <w:sz w:val="22"/>
          <w:szCs w:val="22"/>
        </w:rPr>
        <w:t>Volunteers will participate in a genotyping study (K093). Evaluated genotypes of CYP enzymes will be documented and used in the present study as subjects’ characteristics.</w:t>
      </w:r>
      <w:bookmarkEnd w:id="1325"/>
    </w:p>
    <w:p w:rsidR="009C32E7" w:rsidRPr="00AD70DE" w:rsidRDefault="009C32E7" w:rsidP="00AD70DE">
      <w:pPr>
        <w:pStyle w:val="111Formatvorlage"/>
        <w:numPr>
          <w:ilvl w:val="2"/>
          <w:numId w:val="3"/>
        </w:numPr>
        <w:spacing w:line="240" w:lineRule="exact"/>
        <w:ind w:left="993" w:hanging="993"/>
      </w:pPr>
      <w:bookmarkStart w:id="1326" w:name="_Toc37243439"/>
      <w:r w:rsidRPr="00AD70DE">
        <w:t xml:space="preserve">Priority and sequence of trial </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r w:rsidRPr="00AD70DE">
        <w:t>procedures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6"/>
    </w:p>
    <w:p w:rsidR="009C32E7" w:rsidRPr="00AD70DE" w:rsidRDefault="009C32E7" w:rsidP="00AD70DE">
      <w:pPr>
        <w:keepNext/>
        <w:keepLines/>
        <w:rPr>
          <w:lang w:val="en-GB"/>
        </w:rPr>
      </w:pPr>
      <w:r w:rsidRPr="00AD70DE">
        <w:rPr>
          <w:lang w:val="en-GB"/>
        </w:rPr>
        <w:t xml:space="preserve">In case of coinciding activities (activities that are scheduled at the same time of the clinical trial), the activities will be performed in the following order: </w:t>
      </w:r>
    </w:p>
    <w:p w:rsidR="009C32E7" w:rsidRPr="00AD70DE" w:rsidRDefault="009C32E7" w:rsidP="00AD70DE">
      <w:pPr>
        <w:pStyle w:val="Listenabsatz"/>
        <w:numPr>
          <w:ilvl w:val="0"/>
          <w:numId w:val="9"/>
        </w:numPr>
        <w:jc w:val="both"/>
        <w:rPr>
          <w:lang w:val="en-GB"/>
        </w:rPr>
      </w:pPr>
      <w:r w:rsidRPr="00AD70DE">
        <w:rPr>
          <w:lang w:val="en-GB"/>
        </w:rPr>
        <w:t>Blood sampling,</w:t>
      </w:r>
    </w:p>
    <w:p w:rsidR="009C32E7" w:rsidRPr="00AD70DE" w:rsidRDefault="009C32E7" w:rsidP="00AD70DE">
      <w:pPr>
        <w:pStyle w:val="Listenabsatz"/>
        <w:numPr>
          <w:ilvl w:val="0"/>
          <w:numId w:val="9"/>
        </w:numPr>
        <w:jc w:val="both"/>
        <w:rPr>
          <w:lang w:val="en-GB"/>
        </w:rPr>
      </w:pPr>
      <w:r w:rsidRPr="00AD70DE">
        <w:rPr>
          <w:lang w:val="en-GB"/>
        </w:rPr>
        <w:t>Clinical observations/examinations,</w:t>
      </w:r>
    </w:p>
    <w:p w:rsidR="009C32E7" w:rsidRPr="00AD70DE" w:rsidRDefault="009C32E7" w:rsidP="00AD70DE">
      <w:pPr>
        <w:rPr>
          <w:lang w:val="en-GB"/>
        </w:rPr>
      </w:pPr>
      <w:r w:rsidRPr="00AD70DE">
        <w:rPr>
          <w:lang w:val="en-GB"/>
        </w:rPr>
        <w:t xml:space="preserve">The administration of pantoprazole will be 1 h prior to the oral intake of HCQ. HCQ is taken together with a meal (standardized Breakfast). The diagnostic substances midazolam and </w:t>
      </w:r>
      <w:proofErr w:type="spellStart"/>
      <w:r w:rsidRPr="00AD70DE">
        <w:rPr>
          <w:lang w:val="en-GB"/>
        </w:rPr>
        <w:t>yohimbine</w:t>
      </w:r>
      <w:proofErr w:type="spellEnd"/>
      <w:r w:rsidRPr="00AD70DE">
        <w:rPr>
          <w:lang w:val="en-GB"/>
        </w:rPr>
        <w:t xml:space="preserve"> will be dosed 3 h after breakfast/HCQ intake at the same time, which is defined as administration</w:t>
      </w:r>
      <w:r w:rsidRPr="00AD70DE" w:rsidDel="000365B4">
        <w:rPr>
          <w:lang w:val="en-GB"/>
        </w:rPr>
        <w:t xml:space="preserve"> </w:t>
      </w:r>
      <w:r w:rsidRPr="00AD70DE">
        <w:rPr>
          <w:lang w:val="en-GB"/>
        </w:rPr>
        <w:t>within 60 seconds (s). Deviations up to + 60 s are acceptable. If intake of the drugs deviates further, the blood drawing time points must relate to the intake of the respective drug.</w:t>
      </w:r>
    </w:p>
    <w:p w:rsidR="009C32E7" w:rsidRPr="00AD70DE" w:rsidRDefault="009C32E7" w:rsidP="00AD70DE">
      <w:pPr>
        <w:pStyle w:val="berschrift2"/>
        <w:spacing w:before="240"/>
        <w:ind w:left="567" w:hanging="567"/>
        <w:rPr>
          <w:color w:val="auto"/>
        </w:rPr>
      </w:pPr>
      <w:bookmarkStart w:id="1327" w:name="_Toc256002342"/>
      <w:bookmarkStart w:id="1328" w:name="_Toc256002245"/>
      <w:bookmarkStart w:id="1329" w:name="_Toc256002148"/>
      <w:bookmarkStart w:id="1330" w:name="_Toc256002051"/>
      <w:bookmarkStart w:id="1331" w:name="_Toc256001923"/>
      <w:bookmarkStart w:id="1332" w:name="_Toc256001669"/>
      <w:bookmarkStart w:id="1333" w:name="_Toc256001439"/>
      <w:bookmarkStart w:id="1334" w:name="_Toc256001203"/>
      <w:bookmarkStart w:id="1335" w:name="_Toc256000964"/>
      <w:bookmarkStart w:id="1336" w:name="_Toc256000728"/>
      <w:bookmarkStart w:id="1337" w:name="_Toc256000436"/>
      <w:bookmarkStart w:id="1338" w:name="_Toc256000131"/>
      <w:bookmarkStart w:id="1339" w:name="_Toc9613150"/>
      <w:bookmarkStart w:id="1340" w:name="_Toc37173046"/>
      <w:bookmarkStart w:id="1341" w:name="_Toc37243440"/>
      <w:r w:rsidRPr="00AD70DE">
        <w:rPr>
          <w:color w:val="auto"/>
        </w:rPr>
        <w:t>Hospitalization / emergency visit</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rsidR="009C32E7" w:rsidRPr="00AD70DE" w:rsidRDefault="009C32E7" w:rsidP="00AD70DE">
      <w:pPr>
        <w:rPr>
          <w:lang w:val="en-GB" w:eastAsia="de-DE"/>
        </w:rPr>
      </w:pPr>
      <w:r w:rsidRPr="00AD70DE">
        <w:rPr>
          <w:lang w:val="en-GB" w:eastAsia="de-DE"/>
        </w:rPr>
        <w:t>No hospitalizations are planned during this trial. Participants who are admitted to a hospital or have to attend an emergency unit unexpectedly will be requested to inform the trial centre as soon as possible. However, an overnight stay in the study unit may be allowed following the day of V2/ day 6</w:t>
      </w:r>
      <w:r w:rsidRPr="00AD70DE">
        <w:rPr>
          <w:lang w:val="en-US"/>
        </w:rPr>
        <w:t xml:space="preserve"> </w:t>
      </w:r>
      <w:r w:rsidRPr="00AD70DE">
        <w:rPr>
          <w:lang w:val="en-GB" w:eastAsia="de-DE"/>
        </w:rPr>
        <w:t>for organizational reasons.</w:t>
      </w:r>
    </w:p>
    <w:p w:rsidR="009C32E7" w:rsidRPr="00AD70DE" w:rsidRDefault="009C32E7" w:rsidP="00AD70DE">
      <w:pPr>
        <w:rPr>
          <w:lang w:val="en-GB" w:eastAsia="de-DE"/>
        </w:rPr>
      </w:pPr>
    </w:p>
    <w:p w:rsidR="009C32E7" w:rsidRPr="00AD70DE" w:rsidRDefault="009C32E7" w:rsidP="00AD70DE">
      <w:pPr>
        <w:pStyle w:val="berschrift2"/>
        <w:spacing w:before="240"/>
        <w:ind w:left="567" w:hanging="567"/>
        <w:rPr>
          <w:color w:val="auto"/>
        </w:rPr>
      </w:pPr>
      <w:bookmarkStart w:id="1342" w:name="_Toc256002343"/>
      <w:bookmarkStart w:id="1343" w:name="_Toc256002246"/>
      <w:bookmarkStart w:id="1344" w:name="_Toc256002149"/>
      <w:bookmarkStart w:id="1345" w:name="_Toc256002052"/>
      <w:bookmarkStart w:id="1346" w:name="_Toc256001924"/>
      <w:bookmarkStart w:id="1347" w:name="_Toc256001670"/>
      <w:bookmarkStart w:id="1348" w:name="_Toc256001445"/>
      <w:bookmarkStart w:id="1349" w:name="_Toc256001204"/>
      <w:bookmarkStart w:id="1350" w:name="_Toc256000967"/>
      <w:bookmarkStart w:id="1351" w:name="_Toc256000733"/>
      <w:bookmarkStart w:id="1352" w:name="_Toc256000437"/>
      <w:bookmarkStart w:id="1353" w:name="_Toc37173047"/>
      <w:bookmarkStart w:id="1354" w:name="_Toc37243441"/>
      <w:r w:rsidRPr="00AD70DE">
        <w:rPr>
          <w:color w:val="auto"/>
        </w:rPr>
        <w:t>Concomitant medication</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rsidR="009C32E7" w:rsidRPr="00AD70DE" w:rsidRDefault="009C32E7" w:rsidP="00AD70DE">
      <w:pPr>
        <w:rPr>
          <w:lang w:val="en-GB" w:eastAsia="de-DE"/>
        </w:rPr>
      </w:pPr>
      <w:r w:rsidRPr="00AD70DE">
        <w:rPr>
          <w:lang w:val="en-GB" w:eastAsia="de-DE"/>
        </w:rPr>
        <w:t xml:space="preserve">No other medication (prescription medication, over-the-counter medicine including </w:t>
      </w:r>
      <w:proofErr w:type="gramStart"/>
      <w:r w:rsidRPr="00AD70DE">
        <w:rPr>
          <w:lang w:val="en-GB" w:eastAsia="de-DE"/>
        </w:rPr>
        <w:t>multivitamin,</w:t>
      </w:r>
      <w:proofErr w:type="gramEnd"/>
      <w:r w:rsidRPr="00AD70DE">
        <w:rPr>
          <w:lang w:val="en-GB" w:eastAsia="de-DE"/>
        </w:rPr>
        <w:t xml:space="preserve"> or herbal) should be taken during the trial period to exclude potential DDI, except hormonal contraception </w:t>
      </w:r>
      <w:r w:rsidRPr="00AD70DE">
        <w:rPr>
          <w:lang w:val="en-GB"/>
        </w:rPr>
        <w:t>and levothyroxine</w:t>
      </w:r>
      <w:r w:rsidRPr="00AD70DE">
        <w:rPr>
          <w:lang w:val="en-GB" w:eastAsia="de-DE"/>
        </w:rPr>
        <w:t xml:space="preserve"> or, if medically indicated, for </w:t>
      </w:r>
      <w:proofErr w:type="spellStart"/>
      <w:r w:rsidRPr="00AD70DE">
        <w:rPr>
          <w:lang w:val="en-GB" w:eastAsia="de-DE"/>
        </w:rPr>
        <w:t>intercurrent</w:t>
      </w:r>
      <w:proofErr w:type="spellEnd"/>
      <w:r w:rsidRPr="00AD70DE">
        <w:rPr>
          <w:lang w:val="en-GB" w:eastAsia="de-DE"/>
        </w:rPr>
        <w:t xml:space="preserve"> disease. </w:t>
      </w:r>
    </w:p>
    <w:p w:rsidR="009C32E7" w:rsidRPr="00AD70DE" w:rsidRDefault="009C32E7" w:rsidP="00AD70DE">
      <w:pPr>
        <w:rPr>
          <w:lang w:val="en-GB" w:eastAsia="de-DE"/>
        </w:rPr>
      </w:pPr>
      <w:r w:rsidRPr="00AD70DE">
        <w:rPr>
          <w:lang w:val="en-GB" w:eastAsia="de-DE"/>
        </w:rPr>
        <w:t xml:space="preserve">Contraindicated drugs are mentioned in the </w:t>
      </w:r>
      <w:proofErr w:type="spellStart"/>
      <w:r w:rsidRPr="00AD70DE">
        <w:rPr>
          <w:lang w:val="en-GB" w:eastAsia="de-DE"/>
        </w:rPr>
        <w:t>SmPC</w:t>
      </w:r>
      <w:proofErr w:type="spellEnd"/>
      <w:r w:rsidRPr="00AD70DE">
        <w:rPr>
          <w:lang w:val="en-GB" w:eastAsia="de-DE"/>
        </w:rPr>
        <w:t xml:space="preserve"> (see Appendix 16.3).</w:t>
      </w:r>
    </w:p>
    <w:p w:rsidR="009C32E7" w:rsidRPr="00AD70DE" w:rsidRDefault="009C32E7" w:rsidP="00AD70DE">
      <w:pPr>
        <w:pStyle w:val="berschrift2"/>
        <w:spacing w:before="240"/>
        <w:ind w:left="567" w:hanging="567"/>
        <w:rPr>
          <w:color w:val="auto"/>
        </w:rPr>
      </w:pPr>
      <w:bookmarkStart w:id="1355" w:name="_Toc256002344"/>
      <w:bookmarkStart w:id="1356" w:name="_Toc256002247"/>
      <w:bookmarkStart w:id="1357" w:name="_Toc256002150"/>
      <w:bookmarkStart w:id="1358" w:name="_Toc256002053"/>
      <w:bookmarkStart w:id="1359" w:name="_Toc256001929"/>
      <w:bookmarkStart w:id="1360" w:name="_Toc256001671"/>
      <w:bookmarkStart w:id="1361" w:name="_Toc256001448"/>
      <w:bookmarkStart w:id="1362" w:name="_Toc256001205"/>
      <w:bookmarkStart w:id="1363" w:name="_Toc256000972"/>
      <w:bookmarkStart w:id="1364" w:name="_Toc256000734"/>
      <w:bookmarkStart w:id="1365" w:name="_Toc256000443"/>
      <w:bookmarkStart w:id="1366" w:name="_Toc256000139"/>
      <w:bookmarkStart w:id="1367" w:name="_Toc9613151"/>
      <w:bookmarkStart w:id="1368" w:name="_Toc37173048"/>
      <w:bookmarkStart w:id="1369" w:name="_Toc37243442"/>
      <w:r w:rsidRPr="00AD70DE">
        <w:rPr>
          <w:color w:val="auto"/>
        </w:rPr>
        <w:t>Dietary and other restrictions</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rsidR="009C32E7" w:rsidRPr="00AD70DE" w:rsidRDefault="009C32E7" w:rsidP="00AD70DE">
      <w:pPr>
        <w:rPr>
          <w:lang w:val="en-GB" w:eastAsia="de-DE"/>
        </w:rPr>
      </w:pPr>
      <w:r w:rsidRPr="00AD70DE">
        <w:rPr>
          <w:lang w:val="en-GB" w:eastAsia="de-DE"/>
        </w:rPr>
        <w:t>Participants will have to refrain from intake of citrus fruits or products of these fruits during the course of the trial.</w:t>
      </w:r>
    </w:p>
    <w:p w:rsidR="009C32E7" w:rsidRPr="00AD70DE" w:rsidRDefault="009C32E7" w:rsidP="00AD70DE">
      <w:pPr>
        <w:widowControl w:val="0"/>
        <w:autoSpaceDE w:val="0"/>
        <w:autoSpaceDN w:val="0"/>
        <w:adjustRightInd w:val="0"/>
        <w:spacing w:after="0" w:line="240" w:lineRule="auto"/>
        <w:rPr>
          <w:rFonts w:cs="Times"/>
          <w:lang w:val="en-GB" w:eastAsia="de-DE"/>
        </w:rPr>
      </w:pPr>
      <w:r w:rsidRPr="00AD70DE">
        <w:rPr>
          <w:rFonts w:cs="Times"/>
          <w:lang w:val="en-GB" w:eastAsia="de-DE"/>
        </w:rPr>
        <w:t xml:space="preserve">Participants will have to arrive in the fasted state (at least 6 h fasted) on all trial visits except for screening. </w:t>
      </w:r>
      <w:r w:rsidRPr="00AD70DE">
        <w:rPr>
          <w:lang w:val="en-GB"/>
        </w:rPr>
        <w:t xml:space="preserve">During V2, a </w:t>
      </w:r>
      <w:r w:rsidRPr="00AD70DE">
        <w:rPr>
          <w:rFonts w:cs="Times"/>
          <w:lang w:val="en-GB" w:eastAsia="de-DE"/>
        </w:rPr>
        <w:t xml:space="preserve">standard meal will be served to the participants, which is to be eaten at the time of the intake of HCQ. </w:t>
      </w:r>
    </w:p>
    <w:p w:rsidR="009C32E7" w:rsidRPr="00AD70DE" w:rsidRDefault="009C32E7" w:rsidP="00AD70DE">
      <w:pPr>
        <w:widowControl w:val="0"/>
        <w:autoSpaceDE w:val="0"/>
        <w:autoSpaceDN w:val="0"/>
        <w:adjustRightInd w:val="0"/>
        <w:spacing w:after="240" w:line="240" w:lineRule="auto"/>
        <w:rPr>
          <w:rFonts w:cs="Times"/>
          <w:lang w:val="en-GB" w:eastAsia="de-DE"/>
        </w:rPr>
      </w:pPr>
      <w:r w:rsidRPr="00AD70DE">
        <w:rPr>
          <w:rFonts w:cs="Times"/>
          <w:lang w:val="en-GB" w:eastAsia="de-DE"/>
        </w:rPr>
        <w:t xml:space="preserve">Because we do not expect any </w:t>
      </w:r>
      <w:proofErr w:type="spellStart"/>
      <w:r w:rsidRPr="00AD70DE">
        <w:rPr>
          <w:rFonts w:cs="Times"/>
          <w:lang w:val="en-GB" w:eastAsia="de-DE"/>
        </w:rPr>
        <w:t>pharmacodynamic</w:t>
      </w:r>
      <w:proofErr w:type="spellEnd"/>
      <w:r w:rsidRPr="00AD70DE">
        <w:rPr>
          <w:rFonts w:cs="Times"/>
          <w:lang w:val="en-GB" w:eastAsia="de-DE"/>
        </w:rPr>
        <w:t xml:space="preserve"> action from the used diagnostic administration of a midazolam microdose, there will be no restrictions on activities requiring complete mental alertness, such as working with hazardous machineries or driving a motor vehicle. </w:t>
      </w:r>
    </w:p>
    <w:p w:rsidR="009C32E7" w:rsidRPr="00AD70DE" w:rsidRDefault="009C32E7" w:rsidP="00AD70DE">
      <w:pPr>
        <w:widowControl w:val="0"/>
        <w:autoSpaceDE w:val="0"/>
        <w:autoSpaceDN w:val="0"/>
        <w:adjustRightInd w:val="0"/>
        <w:spacing w:after="240" w:line="240" w:lineRule="auto"/>
        <w:rPr>
          <w:rFonts w:cs="Times"/>
          <w:lang w:val="en-GB" w:eastAsia="de-DE"/>
        </w:rPr>
      </w:pPr>
    </w:p>
    <w:p w:rsidR="009C32E7" w:rsidRPr="00AD70DE" w:rsidRDefault="009C32E7" w:rsidP="00AD70DE">
      <w:pPr>
        <w:pStyle w:val="berschrift2"/>
        <w:spacing w:before="240"/>
        <w:ind w:left="567" w:hanging="567"/>
        <w:rPr>
          <w:color w:val="auto"/>
        </w:rPr>
      </w:pPr>
      <w:bookmarkStart w:id="1370" w:name="_Toc256000385"/>
      <w:bookmarkStart w:id="1371" w:name="_Toc256001925"/>
      <w:bookmarkStart w:id="1372" w:name="_Toc256001833"/>
      <w:bookmarkStart w:id="1373" w:name="_Toc256001741"/>
      <w:bookmarkStart w:id="1374" w:name="_Toc256001649"/>
      <w:bookmarkStart w:id="1375" w:name="_Toc256001557"/>
      <w:bookmarkStart w:id="1376" w:name="_Toc256001465"/>
      <w:bookmarkStart w:id="1377" w:name="_Toc256001373"/>
      <w:bookmarkStart w:id="1378" w:name="_Toc256001281"/>
      <w:bookmarkStart w:id="1379" w:name="_Toc256001189"/>
      <w:bookmarkStart w:id="1380" w:name="_Toc256001097"/>
      <w:bookmarkStart w:id="1381" w:name="_Toc256001005"/>
      <w:bookmarkStart w:id="1382" w:name="_Toc256000913"/>
      <w:bookmarkStart w:id="1383" w:name="_Toc256000821"/>
      <w:bookmarkStart w:id="1384" w:name="_Toc256000729"/>
      <w:bookmarkStart w:id="1385" w:name="_Toc256000637"/>
      <w:bookmarkStart w:id="1386" w:name="_Toc256000545"/>
      <w:bookmarkStart w:id="1387" w:name="_Toc256000453"/>
      <w:bookmarkStart w:id="1388" w:name="_Toc256000361"/>
      <w:bookmarkStart w:id="1389" w:name="_Toc256000269"/>
      <w:bookmarkStart w:id="1390" w:name="_Toc256000177"/>
      <w:bookmarkStart w:id="1391" w:name="_Toc256000122"/>
      <w:bookmarkStart w:id="1392" w:name="_Toc256000043"/>
      <w:bookmarkStart w:id="1393" w:name="_Toc434223637"/>
      <w:bookmarkStart w:id="1394" w:name="_Toc455594092"/>
      <w:bookmarkStart w:id="1395" w:name="_Toc461443282"/>
      <w:bookmarkStart w:id="1396" w:name="_Toc469498903"/>
      <w:bookmarkStart w:id="1397" w:name="_Toc491340348"/>
      <w:bookmarkStart w:id="1398" w:name="_Toc256002345"/>
      <w:bookmarkStart w:id="1399" w:name="_Toc256002248"/>
      <w:bookmarkStart w:id="1400" w:name="_Toc256002151"/>
      <w:bookmarkStart w:id="1401" w:name="_Toc256002054"/>
      <w:bookmarkStart w:id="1402" w:name="_Toc256001930"/>
      <w:bookmarkStart w:id="1403" w:name="_Toc256001672"/>
      <w:bookmarkStart w:id="1404" w:name="_Toc256001449"/>
      <w:bookmarkStart w:id="1405" w:name="_Toc256001206"/>
      <w:bookmarkStart w:id="1406" w:name="_Toc256000973"/>
      <w:bookmarkStart w:id="1407" w:name="_Toc256000735"/>
      <w:bookmarkStart w:id="1408" w:name="_Toc256000451"/>
      <w:bookmarkStart w:id="1409" w:name="_Toc256000148"/>
      <w:bookmarkStart w:id="1410" w:name="_Toc9613152"/>
      <w:bookmarkStart w:id="1411" w:name="_Toc37173049"/>
      <w:bookmarkStart w:id="1412" w:name="_Toc37243443"/>
      <w:r w:rsidRPr="00AD70DE">
        <w:rPr>
          <w:color w:val="auto"/>
        </w:rPr>
        <w:t xml:space="preserve">Assessment and recording of </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sidRPr="00AD70DE">
        <w:rPr>
          <w:color w:val="auto"/>
        </w:rPr>
        <w:t>AEs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rsidR="009C32E7" w:rsidRPr="00AD70DE" w:rsidRDefault="009C32E7" w:rsidP="00AD70DE">
      <w:pPr>
        <w:rPr>
          <w:lang w:val="en-GB"/>
        </w:rPr>
      </w:pPr>
      <w:r w:rsidRPr="00AD70DE">
        <w:rPr>
          <w:lang w:val="en-GB"/>
        </w:rPr>
        <w:t xml:space="preserve">Any AE must be documented and suspected unexpected serious adverse reactions (SUSAR) will be reported to the responsible authorities (for definition see Appendix 16.1) such as the EC, the Federal Institute for Drugs and Medical Devices (BfArM), and the </w:t>
      </w:r>
      <w:proofErr w:type="spellStart"/>
      <w:r w:rsidRPr="00AD70DE">
        <w:rPr>
          <w:lang w:val="en-GB"/>
        </w:rPr>
        <w:t>Eudra</w:t>
      </w:r>
      <w:proofErr w:type="spellEnd"/>
      <w:r w:rsidRPr="00AD70DE">
        <w:rPr>
          <w:lang w:val="en-GB"/>
        </w:rPr>
        <w:t xml:space="preserve"> Vigilance Database. In all cases, the EU-report form must show the identity of the investigator and be dated and signed. The description of the AE will include the time of onset, duration, seriousness, intensity, outcome, relationship to the study drug and any treatment required. The investigator will assess the intensity and causality of any AE (for classification and assessment see Appendix 1).</w:t>
      </w:r>
    </w:p>
    <w:p w:rsidR="009C32E7" w:rsidRPr="00AD70DE" w:rsidRDefault="009C32E7" w:rsidP="00AD70DE">
      <w:pPr>
        <w:rPr>
          <w:lang w:val="en-GB"/>
        </w:rPr>
      </w:pPr>
      <w:r w:rsidRPr="00AD70DE">
        <w:rPr>
          <w:lang w:val="en-GB"/>
        </w:rPr>
        <w:t>In this trial, the overnight stay at V2 does not qualify as SAE.</w:t>
      </w:r>
    </w:p>
    <w:p w:rsidR="009C32E7" w:rsidRPr="00AD70DE" w:rsidRDefault="009C32E7" w:rsidP="00AD70DE">
      <w:pPr>
        <w:rPr>
          <w:lang w:val="en-GB"/>
        </w:rPr>
      </w:pPr>
      <w:r w:rsidRPr="00AD70DE">
        <w:rPr>
          <w:lang w:val="en-GB"/>
        </w:rPr>
        <w:t xml:space="preserve">The observation period begins with the first administration of the IMP (any AEs prior to the first administration of the IMP are documented as medical history) and ends with the EOT visit. The investigator follows the outcome of AEs or abnormal laboratory findings that are related to study activities until recovery or stabilisation of the participant’s state. Further therapeutic consequences will be documented, for example any medical treatment or drop-out of the study. </w:t>
      </w:r>
    </w:p>
    <w:p w:rsidR="009C32E7" w:rsidRPr="00AD70DE" w:rsidRDefault="009C32E7" w:rsidP="00AD70DE">
      <w:pPr>
        <w:rPr>
          <w:lang w:val="en-GB"/>
        </w:rPr>
      </w:pPr>
      <w:r w:rsidRPr="00AD70DE">
        <w:rPr>
          <w:lang w:val="en-GB"/>
        </w:rPr>
        <w:t xml:space="preserve">In the case of a </w:t>
      </w:r>
      <w:r w:rsidRPr="00AD70DE">
        <w:rPr>
          <w:rFonts w:cs="Calibri"/>
          <w:lang w:val="en-GB"/>
        </w:rPr>
        <w:t>SAE,</w:t>
      </w:r>
      <w:r w:rsidRPr="00AD70DE">
        <w:rPr>
          <w:lang w:val="en-GB"/>
        </w:rPr>
        <w:t xml:space="preserve"> the Safety Officer of the Department will be informed within 24 h. Notification on a SAE form can be handed over in person, sent by mail or fax, and will be documented. </w:t>
      </w:r>
    </w:p>
    <w:p w:rsidR="009C32E7" w:rsidRPr="00AD70DE" w:rsidRDefault="009C32E7" w:rsidP="00AD70DE">
      <w:pPr>
        <w:rPr>
          <w:lang w:val="en-GB"/>
        </w:rPr>
      </w:pPr>
      <w:r w:rsidRPr="00AD70DE">
        <w:rPr>
          <w:lang w:val="en-GB"/>
        </w:rPr>
        <w:t>Fax number: +49 (0) 6221 / 56-8523</w:t>
      </w:r>
    </w:p>
    <w:p w:rsidR="009C32E7" w:rsidRPr="00AD70DE" w:rsidRDefault="009C32E7" w:rsidP="00AD70DE">
      <w:pPr>
        <w:rPr>
          <w:lang w:val="en-GB"/>
        </w:rPr>
      </w:pPr>
      <w:r w:rsidRPr="00AD70DE">
        <w:rPr>
          <w:lang w:val="en-GB"/>
        </w:rPr>
        <w:t xml:space="preserve">Email: </w:t>
      </w:r>
      <w:hyperlink r:id="rId17" w:history="1">
        <w:r w:rsidRPr="00AD70DE">
          <w:rPr>
            <w:rStyle w:val="Hyperlink"/>
            <w:lang w:val="en-GB"/>
          </w:rPr>
          <w:t>SAE.KLIPS@med.uni-heidelberg.de</w:t>
        </w:r>
      </w:hyperlink>
    </w:p>
    <w:p w:rsidR="009C32E7" w:rsidRPr="00AD70DE" w:rsidRDefault="009C32E7" w:rsidP="00AD70DE">
      <w:pPr>
        <w:rPr>
          <w:lang w:val="en-GB"/>
        </w:rPr>
      </w:pPr>
    </w:p>
    <w:p w:rsidR="009C32E7" w:rsidRPr="00AD70DE" w:rsidRDefault="009C32E7" w:rsidP="00AD70DE">
      <w:pPr>
        <w:pStyle w:val="standard1"/>
        <w:spacing w:before="240" w:after="160" w:line="240" w:lineRule="exact"/>
        <w:ind w:left="460" w:hanging="460"/>
        <w:contextualSpacing/>
        <w:jc w:val="left"/>
        <w:rPr>
          <w:rFonts w:ascii="Calibri" w:hAnsi="Calibri"/>
          <w:b/>
          <w:szCs w:val="22"/>
          <w:u w:val="single"/>
        </w:rPr>
      </w:pPr>
      <w:r w:rsidRPr="00AD70DE">
        <w:rPr>
          <w:rFonts w:ascii="Calibri" w:hAnsi="Calibri"/>
          <w:b/>
          <w:szCs w:val="22"/>
          <w:u w:val="single"/>
        </w:rPr>
        <w:t>Period of observation and documentation</w:t>
      </w:r>
    </w:p>
    <w:p w:rsidR="009C32E7" w:rsidRPr="00AD70DE" w:rsidRDefault="009C32E7" w:rsidP="00AD70DE">
      <w:pPr>
        <w:rPr>
          <w:lang w:val="en-GB"/>
        </w:rPr>
      </w:pPr>
      <w:r w:rsidRPr="00AD70DE">
        <w:rPr>
          <w:lang w:val="en-GB"/>
        </w:rPr>
        <w:t xml:space="preserve">AEs will be ascertained by the investigators using non-leading questions, noted as spontaneously reported by the patients to the medical </w:t>
      </w:r>
      <w:proofErr w:type="gramStart"/>
      <w:r w:rsidRPr="00AD70DE">
        <w:rPr>
          <w:lang w:val="en-GB"/>
        </w:rPr>
        <w:t>staff,</w:t>
      </w:r>
      <w:proofErr w:type="gramEnd"/>
      <w:r w:rsidRPr="00AD70DE">
        <w:rPr>
          <w:lang w:val="en-GB"/>
        </w:rPr>
        <w:t xml:space="preserve"> or observed during any measurements on all study days. The observation period begins with the first administration of an IMP</w:t>
      </w:r>
      <w:r w:rsidRPr="00AD70DE">
        <w:rPr>
          <w:lang w:val="en-US"/>
        </w:rPr>
        <w:t xml:space="preserve"> </w:t>
      </w:r>
      <w:r w:rsidRPr="00AD70DE">
        <w:rPr>
          <w:lang w:val="en-GB"/>
        </w:rPr>
        <w:t>and ends at the end of study EOT visit. Any event prior to first administration of the IMP is documented as medical history. AEs will be documented in the patient´s file and in the CRF. All participants who present with AEs, whether considered associated with the use of the trial medication or not, will be monitored by the responsible investigator to determine their outcome; this applies also to withdrawals.</w:t>
      </w:r>
    </w:p>
    <w:p w:rsidR="009C32E7" w:rsidRPr="00AD70DE" w:rsidRDefault="009C32E7" w:rsidP="00AD70DE">
      <w:pPr>
        <w:pStyle w:val="berschrift1"/>
        <w:spacing w:before="360" w:after="160"/>
      </w:pPr>
      <w:bookmarkStart w:id="1413" w:name="_Toc256002346"/>
      <w:bookmarkStart w:id="1414" w:name="_Toc256002249"/>
      <w:bookmarkStart w:id="1415" w:name="_Toc256002152"/>
      <w:bookmarkStart w:id="1416" w:name="_Toc256002055"/>
      <w:bookmarkStart w:id="1417" w:name="_Toc256001931"/>
      <w:bookmarkStart w:id="1418" w:name="_Toc256001673"/>
      <w:bookmarkStart w:id="1419" w:name="_Toc256001453"/>
      <w:bookmarkStart w:id="1420" w:name="_Toc256001207"/>
      <w:bookmarkStart w:id="1421" w:name="_Toc256000974"/>
      <w:bookmarkStart w:id="1422" w:name="_Toc256000737"/>
      <w:bookmarkStart w:id="1423" w:name="_Toc256000452"/>
      <w:bookmarkStart w:id="1424" w:name="_Toc256000149"/>
      <w:bookmarkStart w:id="1425" w:name="_Toc9613153"/>
      <w:bookmarkStart w:id="1426" w:name="_Toc37173050"/>
      <w:bookmarkStart w:id="1427" w:name="_Toc37243444"/>
      <w:r w:rsidRPr="00AD70DE">
        <w:t>Analytical procedures</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rsidR="009C32E7" w:rsidRPr="00AD70DE" w:rsidRDefault="009C32E7" w:rsidP="00AD70DE">
      <w:pPr>
        <w:pStyle w:val="berschrift2"/>
        <w:spacing w:before="240"/>
        <w:ind w:left="567" w:hanging="567"/>
        <w:rPr>
          <w:color w:val="auto"/>
        </w:rPr>
      </w:pPr>
      <w:bookmarkStart w:id="1428" w:name="_Toc256002347"/>
      <w:bookmarkStart w:id="1429" w:name="_Toc256002250"/>
      <w:bookmarkStart w:id="1430" w:name="_Toc256002153"/>
      <w:bookmarkStart w:id="1431" w:name="_Toc256002056"/>
      <w:bookmarkStart w:id="1432" w:name="_Toc256001933"/>
      <w:bookmarkStart w:id="1433" w:name="_Toc256001675"/>
      <w:bookmarkStart w:id="1434" w:name="_Toc256001455"/>
      <w:bookmarkStart w:id="1435" w:name="_Toc256001209"/>
      <w:bookmarkStart w:id="1436" w:name="_Toc256000979"/>
      <w:bookmarkStart w:id="1437" w:name="_Toc256000739"/>
      <w:bookmarkStart w:id="1438" w:name="_Toc256000457"/>
      <w:bookmarkStart w:id="1439" w:name="_Toc256000154"/>
      <w:bookmarkStart w:id="1440" w:name="_Toc9613154"/>
      <w:bookmarkStart w:id="1441" w:name="_Toc37173051"/>
      <w:bookmarkStart w:id="1442" w:name="_Toc37243445"/>
      <w:r w:rsidRPr="00AD70DE">
        <w:rPr>
          <w:color w:val="auto"/>
        </w:rPr>
        <w:t>Quantification of drug concentrations in whole blood, plasma</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r w:rsidRPr="00AD70DE">
        <w:rPr>
          <w:color w:val="auto"/>
        </w:rPr>
        <w:t>, and PBMC</w:t>
      </w:r>
      <w:bookmarkEnd w:id="1441"/>
      <w:bookmarkEnd w:id="1442"/>
    </w:p>
    <w:p w:rsidR="009C32E7" w:rsidRPr="00AD70DE" w:rsidRDefault="009C32E7" w:rsidP="00AD70DE">
      <w:pPr>
        <w:rPr>
          <w:lang w:val="en-GB"/>
        </w:rPr>
      </w:pPr>
      <w:r w:rsidRPr="00AD70DE">
        <w:rPr>
          <w:lang w:val="en-GB"/>
        </w:rPr>
        <w:t xml:space="preserve">All samples will be processed within 30 min after sampling and whole blood, plasma and PBMCs will be stored at least at ≤ -20 °C or lower. HCQ concentrations will be quantified in whole blood, plasma, and PBMCs based on ultra-performance liquid chromatography (UPLC) - tandem mass spectrometry (MS/MS). The method is currently under development. Midazolam and </w:t>
      </w:r>
      <w:proofErr w:type="spellStart"/>
      <w:r w:rsidRPr="00AD70DE">
        <w:rPr>
          <w:lang w:val="en-GB"/>
        </w:rPr>
        <w:t>yohimbine</w:t>
      </w:r>
      <w:proofErr w:type="spellEnd"/>
      <w:r w:rsidRPr="00AD70DE">
        <w:rPr>
          <w:lang w:val="en-GB"/>
        </w:rPr>
        <w:t xml:space="preserve"> will be quantified by UPLC-MS/MS </w:t>
      </w:r>
      <w:r w:rsidRPr="00AD70DE">
        <w:rPr>
          <w:noProof/>
          <w:lang w:val="en-GB"/>
        </w:rPr>
        <w:t>[11, 12]</w:t>
      </w:r>
      <w:r w:rsidRPr="00AD70DE">
        <w:rPr>
          <w:lang w:val="en-GB"/>
        </w:rPr>
        <w:t xml:space="preserve">. These methods are validated according to FDA standards </w:t>
      </w:r>
      <w:r w:rsidRPr="00AD70DE">
        <w:rPr>
          <w:noProof/>
          <w:lang w:val="en-GB"/>
        </w:rPr>
        <w:t>[13, 14]</w:t>
      </w:r>
      <w:r w:rsidRPr="00AD70DE">
        <w:rPr>
          <w:lang w:val="en-GB"/>
        </w:rPr>
        <w:t>.</w:t>
      </w:r>
    </w:p>
    <w:p w:rsidR="009C32E7" w:rsidRPr="00AD70DE" w:rsidRDefault="009C32E7" w:rsidP="00AD70DE">
      <w:pPr>
        <w:pStyle w:val="berschrift2"/>
        <w:spacing w:before="240"/>
        <w:ind w:left="567" w:hanging="567"/>
        <w:rPr>
          <w:color w:val="auto"/>
        </w:rPr>
      </w:pPr>
      <w:bookmarkStart w:id="1443" w:name="_Toc256002348"/>
      <w:bookmarkStart w:id="1444" w:name="_Toc256002251"/>
      <w:bookmarkStart w:id="1445" w:name="_Toc256002154"/>
      <w:bookmarkStart w:id="1446" w:name="_Toc256002057"/>
      <w:bookmarkStart w:id="1447" w:name="_Toc256001934"/>
      <w:bookmarkStart w:id="1448" w:name="_Toc256001680"/>
      <w:bookmarkStart w:id="1449" w:name="_Toc256001463"/>
      <w:bookmarkStart w:id="1450" w:name="_Toc256001210"/>
      <w:bookmarkStart w:id="1451" w:name="_Toc256000985"/>
      <w:bookmarkStart w:id="1452" w:name="_Toc256000740"/>
      <w:bookmarkStart w:id="1453" w:name="_Toc256000458"/>
      <w:bookmarkStart w:id="1454" w:name="_Toc256000159"/>
      <w:bookmarkStart w:id="1455" w:name="_Toc395872291"/>
      <w:bookmarkStart w:id="1456" w:name="_Toc9613155"/>
      <w:bookmarkStart w:id="1457" w:name="_Toc37173052"/>
      <w:bookmarkStart w:id="1458" w:name="_Toc37243446"/>
      <w:r w:rsidRPr="00AD70DE">
        <w:rPr>
          <w:color w:val="auto"/>
        </w:rPr>
        <w:t>Labelling and storage of biological samples</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rsidR="00093E06" w:rsidRPr="00AD70DE" w:rsidRDefault="009C32E7" w:rsidP="00AD70DE">
      <w:pPr>
        <w:rPr>
          <w:lang w:val="en-GB"/>
        </w:rPr>
      </w:pPr>
      <w:r w:rsidRPr="00AD70DE">
        <w:rPr>
          <w:rFonts w:cs="Calibri"/>
          <w:lang w:val="en-GB" w:eastAsia="de-DE"/>
        </w:rPr>
        <w:t xml:space="preserve">The labels of collected blood samples will only contain </w:t>
      </w:r>
      <w:proofErr w:type="spellStart"/>
      <w:r w:rsidRPr="00AD70DE">
        <w:rPr>
          <w:rFonts w:cs="Calibri"/>
          <w:lang w:val="en-GB" w:eastAsia="de-DE"/>
        </w:rPr>
        <w:t>pseudonymised</w:t>
      </w:r>
      <w:proofErr w:type="spellEnd"/>
      <w:r w:rsidRPr="00AD70DE">
        <w:rPr>
          <w:rFonts w:cs="Calibri"/>
          <w:lang w:val="en-GB" w:eastAsia="de-DE"/>
        </w:rPr>
        <w:t xml:space="preserve"> data of the participant. </w:t>
      </w:r>
      <w:r w:rsidRPr="00AD70DE">
        <w:rPr>
          <w:lang w:val="en-GB"/>
        </w:rPr>
        <w:t>Plasma samples will be labelled with the trial code, trial information, and the specific participant code and kept until the analysis has been completed, up to a maximum of 10 y. They will be destroyed at the latest 15 y after the EOT. If the participant withdraws consent at any time point in the trial, he/she may contact the respective medical investigator and request that samples will be destroyed.</w:t>
      </w:r>
    </w:p>
    <w:p w:rsidR="00093E06" w:rsidRPr="00AD70DE" w:rsidRDefault="00093E06" w:rsidP="00AD70DE">
      <w:pPr>
        <w:spacing w:after="0" w:line="240" w:lineRule="auto"/>
        <w:rPr>
          <w:lang w:val="en-GB"/>
        </w:rPr>
      </w:pPr>
      <w:r w:rsidRPr="00AD70DE">
        <w:rPr>
          <w:lang w:val="en-GB"/>
        </w:rPr>
        <w:br w:type="page"/>
      </w:r>
    </w:p>
    <w:p w:rsidR="009C32E7" w:rsidRPr="00AD70DE" w:rsidRDefault="009C32E7" w:rsidP="00AD70DE">
      <w:pPr>
        <w:pStyle w:val="berschrift1"/>
        <w:spacing w:before="360" w:after="160"/>
      </w:pPr>
      <w:bookmarkStart w:id="1459" w:name="_Toc256000394"/>
      <w:bookmarkStart w:id="1460" w:name="_Toc256001927"/>
      <w:bookmarkStart w:id="1461" w:name="_Toc256001835"/>
      <w:bookmarkStart w:id="1462" w:name="_Toc256001743"/>
      <w:bookmarkStart w:id="1463" w:name="_Toc256001651"/>
      <w:bookmarkStart w:id="1464" w:name="_Toc256001559"/>
      <w:bookmarkStart w:id="1465" w:name="_Toc256001467"/>
      <w:bookmarkStart w:id="1466" w:name="_Toc256001375"/>
      <w:bookmarkStart w:id="1467" w:name="_Toc256001283"/>
      <w:bookmarkStart w:id="1468" w:name="_Toc256001191"/>
      <w:bookmarkStart w:id="1469" w:name="_Toc256001099"/>
      <w:bookmarkStart w:id="1470" w:name="_Toc256001007"/>
      <w:bookmarkStart w:id="1471" w:name="_Toc256000915"/>
      <w:bookmarkStart w:id="1472" w:name="_Toc256000823"/>
      <w:bookmarkStart w:id="1473" w:name="_Toc256000731"/>
      <w:bookmarkStart w:id="1474" w:name="_Toc256000639"/>
      <w:bookmarkStart w:id="1475" w:name="_Toc256000547"/>
      <w:bookmarkStart w:id="1476" w:name="_Toc256000455"/>
      <w:bookmarkStart w:id="1477" w:name="_Toc256000363"/>
      <w:bookmarkStart w:id="1478" w:name="_Toc256000271"/>
      <w:bookmarkStart w:id="1479" w:name="_Toc256000179"/>
      <w:bookmarkStart w:id="1480" w:name="_Toc256000095"/>
      <w:bookmarkStart w:id="1481" w:name="_Toc256000016"/>
      <w:bookmarkStart w:id="1482" w:name="_Toc434223610"/>
      <w:bookmarkStart w:id="1483" w:name="_Toc455594094"/>
      <w:bookmarkStart w:id="1484" w:name="_Toc461443284"/>
      <w:bookmarkStart w:id="1485" w:name="_Toc469498905"/>
      <w:bookmarkStart w:id="1486" w:name="_Toc491340350"/>
      <w:bookmarkStart w:id="1487" w:name="_Toc256002349"/>
      <w:bookmarkStart w:id="1488" w:name="_Toc256002252"/>
      <w:bookmarkStart w:id="1489" w:name="_Toc256002155"/>
      <w:bookmarkStart w:id="1490" w:name="_Toc256002058"/>
      <w:bookmarkStart w:id="1491" w:name="_Toc256001935"/>
      <w:bookmarkStart w:id="1492" w:name="_Toc256001682"/>
      <w:bookmarkStart w:id="1493" w:name="_Toc256001464"/>
      <w:bookmarkStart w:id="1494" w:name="_Toc256001211"/>
      <w:bookmarkStart w:id="1495" w:name="_Toc256000988"/>
      <w:bookmarkStart w:id="1496" w:name="_Toc256000741"/>
      <w:bookmarkStart w:id="1497" w:name="_Toc256000459"/>
      <w:bookmarkStart w:id="1498" w:name="_Toc256000160"/>
      <w:bookmarkStart w:id="1499" w:name="_Toc9613156"/>
      <w:bookmarkStart w:id="1500" w:name="_Toc37173053"/>
      <w:bookmarkStart w:id="1501" w:name="_Toc37243447"/>
      <w:r w:rsidRPr="00AD70DE">
        <w:t>Trial medication</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r w:rsidRPr="00AD70DE">
        <w:t xml:space="preserve"> – investigational medicinal products</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p>
    <w:p w:rsidR="009C32E7" w:rsidRPr="00AD70DE" w:rsidRDefault="009C32E7" w:rsidP="00AD70DE">
      <w:pPr>
        <w:rPr>
          <w:b/>
          <w:snapToGrid w:val="0"/>
          <w:color w:val="000000"/>
          <w:u w:val="single"/>
          <w:lang w:val="en-GB"/>
        </w:rPr>
      </w:pPr>
      <w:r w:rsidRPr="00AD70DE">
        <w:rPr>
          <w:b/>
          <w:snapToGrid w:val="0"/>
          <w:color w:val="000000"/>
          <w:u w:val="single"/>
          <w:lang w:val="en-GB"/>
        </w:rPr>
        <w:t>Hydroxychloroquine</w:t>
      </w:r>
    </w:p>
    <w:p w:rsidR="009C32E7" w:rsidRPr="00AD70DE" w:rsidRDefault="009C32E7" w:rsidP="00AD70DE">
      <w:pPr>
        <w:spacing w:line="240" w:lineRule="exact"/>
        <w:rPr>
          <w:snapToGrid w:val="0"/>
          <w:color w:val="000000"/>
          <w:lang w:val="en-GB"/>
        </w:rPr>
      </w:pPr>
      <w:proofErr w:type="gramStart"/>
      <w:r w:rsidRPr="00AD70DE">
        <w:rPr>
          <w:snapToGrid w:val="0"/>
          <w:color w:val="000000"/>
          <w:lang w:val="en-GB"/>
        </w:rPr>
        <w:t xml:space="preserve">Administration of 400 mg </w:t>
      </w:r>
      <w:proofErr w:type="spellStart"/>
      <w:r w:rsidRPr="00AD70DE">
        <w:rPr>
          <w:snapToGrid w:val="0"/>
          <w:color w:val="000000"/>
          <w:lang w:val="en-GB"/>
        </w:rPr>
        <w:t>p.o.</w:t>
      </w:r>
      <w:proofErr w:type="spellEnd"/>
      <w:r w:rsidRPr="00AD70DE">
        <w:rPr>
          <w:snapToGrid w:val="0"/>
          <w:color w:val="000000"/>
          <w:lang w:val="en-GB"/>
        </w:rPr>
        <w:t xml:space="preserve"> (single dose of two 200-mg tablets) on V2/day 6.</w:t>
      </w:r>
      <w:proofErr w:type="gramEnd"/>
    </w:p>
    <w:p w:rsidR="009C32E7" w:rsidRPr="00AD70DE" w:rsidRDefault="009C32E7" w:rsidP="00AD70DE">
      <w:pPr>
        <w:spacing w:after="120" w:line="240" w:lineRule="exact"/>
        <w:rPr>
          <w:b/>
          <w:snapToGrid w:val="0"/>
          <w:u w:val="single"/>
          <w:lang w:val="en-GB"/>
        </w:rPr>
      </w:pPr>
      <w:r w:rsidRPr="00AD70DE">
        <w:rPr>
          <w:b/>
          <w:snapToGrid w:val="0"/>
          <w:u w:val="single"/>
          <w:lang w:val="en-GB"/>
        </w:rPr>
        <w:t>Pantoprazole</w:t>
      </w:r>
    </w:p>
    <w:p w:rsidR="009C32E7" w:rsidRPr="00AD70DE" w:rsidRDefault="009C32E7" w:rsidP="00AD70DE">
      <w:pPr>
        <w:spacing w:after="200" w:line="240" w:lineRule="exact"/>
        <w:rPr>
          <w:snapToGrid w:val="0"/>
          <w:color w:val="000000"/>
          <w:lang w:val="en-GB"/>
        </w:rPr>
      </w:pPr>
      <w:proofErr w:type="gramStart"/>
      <w:r w:rsidRPr="00AD70DE">
        <w:rPr>
          <w:snapToGrid w:val="0"/>
          <w:lang w:val="en-GB"/>
        </w:rPr>
        <w:t xml:space="preserve">Administration </w:t>
      </w:r>
      <w:r w:rsidRPr="00AD70DE">
        <w:rPr>
          <w:snapToGrid w:val="0"/>
          <w:color w:val="000000"/>
          <w:lang w:val="en-GB"/>
        </w:rPr>
        <w:t xml:space="preserve">of 40 mg </w:t>
      </w:r>
      <w:proofErr w:type="spellStart"/>
      <w:r w:rsidRPr="00AD70DE">
        <w:rPr>
          <w:snapToGrid w:val="0"/>
          <w:color w:val="000000"/>
          <w:lang w:val="en-GB"/>
        </w:rPr>
        <w:t>p.o.</w:t>
      </w:r>
      <w:proofErr w:type="spellEnd"/>
      <w:r w:rsidRPr="00AD70DE">
        <w:rPr>
          <w:snapToGrid w:val="0"/>
          <w:color w:val="000000"/>
          <w:lang w:val="en-GB"/>
        </w:rPr>
        <w:t xml:space="preserve"> </w:t>
      </w:r>
      <w:proofErr w:type="spellStart"/>
      <w:r w:rsidRPr="00AD70DE">
        <w:rPr>
          <w:snapToGrid w:val="0"/>
          <w:color w:val="000000"/>
          <w:lang w:val="en-GB"/>
        </w:rPr>
        <w:t>q.d</w:t>
      </w:r>
      <w:proofErr w:type="spellEnd"/>
      <w:r w:rsidRPr="00AD70DE">
        <w:rPr>
          <w:snapToGrid w:val="0"/>
          <w:color w:val="000000"/>
          <w:lang w:val="en-GB"/>
        </w:rPr>
        <w:t>. on days 1-9.</w:t>
      </w:r>
      <w:proofErr w:type="gramEnd"/>
    </w:p>
    <w:p w:rsidR="009C32E7" w:rsidRPr="00AD70DE" w:rsidRDefault="009C32E7" w:rsidP="00AD70DE">
      <w:pPr>
        <w:rPr>
          <w:b/>
          <w:snapToGrid w:val="0"/>
          <w:color w:val="000000"/>
          <w:u w:val="single"/>
          <w:lang w:val="en-GB"/>
        </w:rPr>
      </w:pPr>
      <w:r w:rsidRPr="00AD70DE">
        <w:rPr>
          <w:b/>
          <w:snapToGrid w:val="0"/>
          <w:color w:val="000000"/>
          <w:u w:val="single"/>
          <w:lang w:val="en-GB"/>
        </w:rPr>
        <w:t>Midazolam</w:t>
      </w:r>
    </w:p>
    <w:p w:rsidR="009C32E7" w:rsidRPr="00AD70DE" w:rsidRDefault="009C32E7" w:rsidP="00AD70DE">
      <w:pPr>
        <w:spacing w:line="240" w:lineRule="exact"/>
        <w:rPr>
          <w:snapToGrid w:val="0"/>
          <w:color w:val="000000"/>
          <w:lang w:val="en-GB"/>
        </w:rPr>
      </w:pPr>
      <w:proofErr w:type="gramStart"/>
      <w:r w:rsidRPr="00AD70DE">
        <w:rPr>
          <w:snapToGrid w:val="0"/>
          <w:color w:val="000000"/>
          <w:lang w:val="en-GB"/>
        </w:rPr>
        <w:t xml:space="preserve">Administration of 30 µg </w:t>
      </w:r>
      <w:proofErr w:type="spellStart"/>
      <w:r w:rsidRPr="00AD70DE">
        <w:rPr>
          <w:snapToGrid w:val="0"/>
          <w:color w:val="000000"/>
          <w:lang w:val="en-GB"/>
        </w:rPr>
        <w:t>p.o.</w:t>
      </w:r>
      <w:proofErr w:type="spellEnd"/>
      <w:r w:rsidRPr="00AD70DE">
        <w:rPr>
          <w:snapToGrid w:val="0"/>
          <w:color w:val="000000"/>
          <w:lang w:val="en-GB"/>
        </w:rPr>
        <w:t xml:space="preserve"> (single dose) on V1/day 1 and V2/day 6.</w:t>
      </w:r>
      <w:proofErr w:type="gramEnd"/>
    </w:p>
    <w:p w:rsidR="009C32E7" w:rsidRPr="00AD70DE" w:rsidRDefault="009C32E7" w:rsidP="00AD70DE">
      <w:pPr>
        <w:rPr>
          <w:b/>
          <w:snapToGrid w:val="0"/>
          <w:color w:val="000000"/>
          <w:u w:val="single"/>
          <w:lang w:val="en-GB"/>
        </w:rPr>
      </w:pPr>
      <w:proofErr w:type="spellStart"/>
      <w:r w:rsidRPr="00AD70DE">
        <w:rPr>
          <w:b/>
          <w:snapToGrid w:val="0"/>
          <w:color w:val="000000"/>
          <w:u w:val="single"/>
          <w:lang w:val="en-GB"/>
        </w:rPr>
        <w:t>Yohimbine</w:t>
      </w:r>
      <w:proofErr w:type="spellEnd"/>
    </w:p>
    <w:p w:rsidR="009C32E7" w:rsidRPr="00AD70DE" w:rsidRDefault="009C32E7" w:rsidP="00AD70DE">
      <w:pPr>
        <w:spacing w:line="240" w:lineRule="exact"/>
        <w:rPr>
          <w:snapToGrid w:val="0"/>
          <w:color w:val="000000"/>
          <w:lang w:val="en-GB"/>
        </w:rPr>
      </w:pPr>
      <w:proofErr w:type="gramStart"/>
      <w:r w:rsidRPr="00AD70DE">
        <w:rPr>
          <w:snapToGrid w:val="0"/>
          <w:color w:val="000000"/>
          <w:lang w:val="en-GB"/>
        </w:rPr>
        <w:t xml:space="preserve">Administration of 50 µg </w:t>
      </w:r>
      <w:proofErr w:type="spellStart"/>
      <w:r w:rsidRPr="00AD70DE">
        <w:rPr>
          <w:snapToGrid w:val="0"/>
          <w:color w:val="000000"/>
          <w:lang w:val="en-GB"/>
        </w:rPr>
        <w:t>p.o.</w:t>
      </w:r>
      <w:proofErr w:type="spellEnd"/>
      <w:r w:rsidRPr="00AD70DE">
        <w:rPr>
          <w:snapToGrid w:val="0"/>
          <w:color w:val="000000"/>
          <w:lang w:val="en-GB"/>
        </w:rPr>
        <w:t xml:space="preserve"> (single dose) on V1/day 1 and V2/day 6.</w:t>
      </w:r>
      <w:proofErr w:type="gramEnd"/>
    </w:p>
    <w:p w:rsidR="009C32E7" w:rsidRPr="00AD70DE" w:rsidRDefault="009C32E7" w:rsidP="00AD70DE">
      <w:pPr>
        <w:spacing w:line="240" w:lineRule="exact"/>
        <w:rPr>
          <w:snapToGrid w:val="0"/>
          <w:color w:val="000000"/>
          <w:lang w:val="en-GB"/>
        </w:rPr>
      </w:pPr>
    </w:p>
    <w:p w:rsidR="009C32E7" w:rsidRPr="00AD70DE" w:rsidRDefault="009C32E7" w:rsidP="00AD70DE">
      <w:pPr>
        <w:pStyle w:val="berschrift2"/>
        <w:keepNext w:val="0"/>
        <w:keepLines w:val="0"/>
        <w:spacing w:before="240"/>
        <w:ind w:left="567" w:hanging="567"/>
        <w:rPr>
          <w:color w:val="auto"/>
        </w:rPr>
      </w:pPr>
      <w:bookmarkStart w:id="1502" w:name="_Toc256001928"/>
      <w:bookmarkStart w:id="1503" w:name="_Toc256001836"/>
      <w:bookmarkStart w:id="1504" w:name="_Toc256001744"/>
      <w:bookmarkStart w:id="1505" w:name="_Toc256001652"/>
      <w:bookmarkStart w:id="1506" w:name="_Toc256001560"/>
      <w:bookmarkStart w:id="1507" w:name="_Toc256001468"/>
      <w:bookmarkStart w:id="1508" w:name="_Toc256001376"/>
      <w:bookmarkStart w:id="1509" w:name="_Toc256001284"/>
      <w:bookmarkStart w:id="1510" w:name="_Toc256001192"/>
      <w:bookmarkStart w:id="1511" w:name="_Toc256001100"/>
      <w:bookmarkStart w:id="1512" w:name="_Toc256001008"/>
      <w:bookmarkStart w:id="1513" w:name="_Toc256000916"/>
      <w:bookmarkStart w:id="1514" w:name="_Toc256000824"/>
      <w:bookmarkStart w:id="1515" w:name="_Toc256000732"/>
      <w:bookmarkStart w:id="1516" w:name="_Toc256000640"/>
      <w:bookmarkStart w:id="1517" w:name="_Toc256000548"/>
      <w:bookmarkStart w:id="1518" w:name="_Toc256000456"/>
      <w:bookmarkStart w:id="1519" w:name="_Toc256000364"/>
      <w:bookmarkStart w:id="1520" w:name="_Toc256000272"/>
      <w:bookmarkStart w:id="1521" w:name="_Toc256000180"/>
      <w:bookmarkStart w:id="1522" w:name="_Toc256000096"/>
      <w:bookmarkStart w:id="1523" w:name="_Toc256000017"/>
      <w:bookmarkStart w:id="1524" w:name="_Toc434223611"/>
      <w:bookmarkStart w:id="1525" w:name="_Toc455594095"/>
      <w:bookmarkStart w:id="1526" w:name="_Toc461443285"/>
      <w:r w:rsidRPr="00AD70DE">
        <w:rPr>
          <w:color w:val="auto"/>
        </w:rPr>
        <w:t xml:space="preserve"> </w:t>
      </w:r>
      <w:bookmarkStart w:id="1527" w:name="_Toc37173054"/>
      <w:bookmarkStart w:id="1528" w:name="_Toc37243448"/>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rsidRPr="00AD70DE">
        <w:rPr>
          <w:color w:val="auto"/>
        </w:rPr>
        <w:t>Hydroxychloroquine</w:t>
      </w:r>
      <w:bookmarkEnd w:id="1527"/>
      <w:bookmarkEnd w:id="1528"/>
    </w:p>
    <w:p w:rsidR="009C32E7" w:rsidRPr="00AD70DE" w:rsidRDefault="009C32E7" w:rsidP="00AD70DE">
      <w:pPr>
        <w:rPr>
          <w:lang w:val="en-GB"/>
        </w:rPr>
      </w:pPr>
      <w:proofErr w:type="spellStart"/>
      <w:r w:rsidRPr="00AD70DE">
        <w:rPr>
          <w:lang w:val="en-GB"/>
        </w:rPr>
        <w:t>Quensyl</w:t>
      </w:r>
      <w:proofErr w:type="spellEnd"/>
      <w:r w:rsidRPr="00AD70DE">
        <w:rPr>
          <w:lang w:val="en-GB"/>
        </w:rPr>
        <w:t>®, 200 mg tablets, marketed drug available from Sanofi-Aventis Deutschland GmbH, 65926 Frankfurt am Main.</w:t>
      </w:r>
    </w:p>
    <w:p w:rsidR="009C32E7" w:rsidRPr="00AD70DE" w:rsidRDefault="009C32E7" w:rsidP="00AD70DE">
      <w:pPr>
        <w:pStyle w:val="Beschriftung"/>
        <w:keepNext/>
        <w:keepLines/>
        <w:spacing w:after="160" w:line="259" w:lineRule="auto"/>
        <w:rPr>
          <w:rFonts w:cs="Arial"/>
          <w:color w:val="000000"/>
          <w:sz w:val="22"/>
          <w:szCs w:val="22"/>
          <w:lang w:val="en-GB"/>
        </w:rPr>
      </w:pPr>
      <w:r w:rsidRPr="00AD70DE">
        <w:rPr>
          <w:color w:val="000000"/>
          <w:sz w:val="22"/>
          <w:szCs w:val="22"/>
          <w:lang w:val="en-GB"/>
        </w:rPr>
        <w:t>Table 2:</w:t>
      </w:r>
      <w:r w:rsidRPr="00AD70DE">
        <w:rPr>
          <w:color w:val="000000"/>
          <w:lang w:val="en-GB"/>
        </w:rPr>
        <w:t xml:space="preserve"> </w:t>
      </w:r>
      <w:r w:rsidRPr="00AD70DE">
        <w:rPr>
          <w:rFonts w:cs="Arial"/>
          <w:b w:val="0"/>
          <w:color w:val="000000"/>
          <w:sz w:val="22"/>
          <w:szCs w:val="22"/>
          <w:lang w:val="en-GB"/>
        </w:rPr>
        <w:t>HCQ drug information</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81"/>
        <w:gridCol w:w="6591"/>
      </w:tblGrid>
      <w:tr w:rsidR="009C32E7" w:rsidRPr="00AD70DE" w:rsidTr="008355A9">
        <w:trPr>
          <w:cantSplit/>
        </w:trPr>
        <w:tc>
          <w:tcPr>
            <w:tcW w:w="2481" w:type="dxa"/>
            <w:vAlign w:val="center"/>
          </w:tcPr>
          <w:p w:rsidR="009C32E7" w:rsidRPr="00AD70DE" w:rsidRDefault="009C32E7" w:rsidP="00AD70DE">
            <w:pPr>
              <w:keepNext/>
              <w:spacing w:after="120" w:line="276" w:lineRule="auto"/>
              <w:rPr>
                <w:rFonts w:cs="Arial"/>
                <w:lang w:val="en-GB" w:eastAsia="de-DE"/>
              </w:rPr>
            </w:pPr>
            <w:r w:rsidRPr="00AD70DE">
              <w:rPr>
                <w:rFonts w:cs="Arial"/>
                <w:lang w:val="en-GB"/>
              </w:rPr>
              <w:t>Proprietary name:</w:t>
            </w:r>
          </w:p>
        </w:tc>
        <w:tc>
          <w:tcPr>
            <w:tcW w:w="6591" w:type="dxa"/>
            <w:vAlign w:val="center"/>
          </w:tcPr>
          <w:p w:rsidR="009C32E7" w:rsidRPr="00AD70DE" w:rsidRDefault="009C32E7" w:rsidP="00AD70DE">
            <w:pPr>
              <w:spacing w:after="120" w:line="276" w:lineRule="auto"/>
              <w:rPr>
                <w:rFonts w:cs="Arial"/>
                <w:lang w:val="en-GB" w:eastAsia="de-DE"/>
              </w:rPr>
            </w:pPr>
            <w:proofErr w:type="spellStart"/>
            <w:r w:rsidRPr="00AD70DE">
              <w:rPr>
                <w:rFonts w:cs="Arial"/>
                <w:lang w:val="en-GB"/>
              </w:rPr>
              <w:t>Quensyl</w:t>
            </w:r>
            <w:proofErr w:type="spellEnd"/>
            <w:r w:rsidRPr="00AD70DE">
              <w:rPr>
                <w:rFonts w:cs="Arial"/>
                <w:lang w:val="en-GB"/>
              </w:rPr>
              <w:t>®</w:t>
            </w:r>
          </w:p>
        </w:tc>
      </w:tr>
      <w:tr w:rsidR="009C32E7" w:rsidRPr="00AD70DE" w:rsidTr="008355A9">
        <w:trPr>
          <w:cantSplit/>
        </w:trPr>
        <w:tc>
          <w:tcPr>
            <w:tcW w:w="2481" w:type="dxa"/>
            <w:vAlign w:val="center"/>
          </w:tcPr>
          <w:p w:rsidR="009C32E7" w:rsidRPr="00AD70DE" w:rsidRDefault="009C32E7" w:rsidP="00AD70DE">
            <w:pPr>
              <w:keepNext/>
              <w:spacing w:after="120" w:line="276" w:lineRule="auto"/>
              <w:rPr>
                <w:rFonts w:cs="Arial"/>
                <w:lang w:val="en-GB" w:eastAsia="de-DE"/>
              </w:rPr>
            </w:pPr>
            <w:r w:rsidRPr="00AD70DE">
              <w:rPr>
                <w:rFonts w:cs="Arial"/>
                <w:lang w:val="en-GB"/>
              </w:rPr>
              <w:t xml:space="preserve">International </w:t>
            </w:r>
            <w:proofErr w:type="spellStart"/>
            <w:r w:rsidRPr="00AD70DE">
              <w:rPr>
                <w:rFonts w:cs="Arial"/>
                <w:lang w:val="en-GB"/>
              </w:rPr>
              <w:t>Nonproprietary</w:t>
            </w:r>
            <w:proofErr w:type="spellEnd"/>
            <w:r w:rsidRPr="00AD70DE">
              <w:rPr>
                <w:rFonts w:cs="Arial"/>
                <w:lang w:val="en-GB"/>
              </w:rPr>
              <w:t xml:space="preserve"> Name (INN): </w:t>
            </w:r>
          </w:p>
        </w:tc>
        <w:tc>
          <w:tcPr>
            <w:tcW w:w="659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Hydroxychloroquine</w:t>
            </w:r>
          </w:p>
        </w:tc>
      </w:tr>
      <w:tr w:rsidR="009C32E7" w:rsidRPr="00AD70DE" w:rsidTr="008355A9">
        <w:trPr>
          <w:cantSplit/>
        </w:trPr>
        <w:tc>
          <w:tcPr>
            <w:tcW w:w="2481" w:type="dxa"/>
            <w:vAlign w:val="center"/>
          </w:tcPr>
          <w:p w:rsidR="009C32E7" w:rsidRPr="00AD70DE" w:rsidRDefault="009C32E7" w:rsidP="00AD70DE">
            <w:pPr>
              <w:keepNext/>
              <w:spacing w:after="120" w:line="276" w:lineRule="auto"/>
              <w:rPr>
                <w:rFonts w:cs="Arial"/>
                <w:lang w:val="en-GB" w:eastAsia="de-DE"/>
              </w:rPr>
            </w:pPr>
            <w:r w:rsidRPr="00AD70DE">
              <w:rPr>
                <w:rFonts w:cs="Arial"/>
                <w:lang w:val="en-GB"/>
              </w:rPr>
              <w:t>ATC code, if officially registered:</w:t>
            </w:r>
          </w:p>
        </w:tc>
        <w:tc>
          <w:tcPr>
            <w:tcW w:w="659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P01BA02</w:t>
            </w:r>
          </w:p>
        </w:tc>
      </w:tr>
      <w:tr w:rsidR="009C32E7" w:rsidRPr="00AD70DE" w:rsidTr="008355A9">
        <w:trPr>
          <w:cantSplit/>
        </w:trPr>
        <w:tc>
          <w:tcPr>
            <w:tcW w:w="2481" w:type="dxa"/>
            <w:vAlign w:val="center"/>
          </w:tcPr>
          <w:p w:rsidR="009C32E7" w:rsidRPr="00AD70DE" w:rsidRDefault="009C32E7" w:rsidP="00AD70DE">
            <w:pPr>
              <w:keepNext/>
              <w:spacing w:after="120" w:line="276" w:lineRule="auto"/>
              <w:rPr>
                <w:rFonts w:cs="Arial"/>
                <w:lang w:val="en-GB" w:eastAsia="de-DE"/>
              </w:rPr>
            </w:pPr>
            <w:r w:rsidRPr="00AD70DE">
              <w:rPr>
                <w:rFonts w:cs="Arial"/>
                <w:lang w:val="en-GB"/>
              </w:rPr>
              <w:t>Manufacturer:</w:t>
            </w:r>
          </w:p>
        </w:tc>
        <w:tc>
          <w:tcPr>
            <w:tcW w:w="6591" w:type="dxa"/>
            <w:vAlign w:val="center"/>
          </w:tcPr>
          <w:p w:rsidR="009C32E7" w:rsidRPr="00AD70DE" w:rsidRDefault="009C32E7" w:rsidP="00AD70DE">
            <w:pPr>
              <w:spacing w:after="120" w:line="276" w:lineRule="auto"/>
              <w:rPr>
                <w:rFonts w:cs="Arial"/>
                <w:lang w:eastAsia="de-DE"/>
              </w:rPr>
            </w:pPr>
            <w:proofErr w:type="spellStart"/>
            <w:r w:rsidRPr="00AD70DE">
              <w:t>Sanofi</w:t>
            </w:r>
            <w:proofErr w:type="spellEnd"/>
            <w:r w:rsidRPr="00AD70DE">
              <w:t>-Aventis Deutschland GmbH, 65926 Frankfurt am Main</w:t>
            </w:r>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Pharmaceutical formulation:</w:t>
            </w:r>
          </w:p>
        </w:tc>
        <w:tc>
          <w:tcPr>
            <w:tcW w:w="659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Tablet</w:t>
            </w:r>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rPr>
            </w:pPr>
            <w:r w:rsidRPr="00AD70DE">
              <w:rPr>
                <w:rFonts w:cs="Arial"/>
                <w:lang w:val="en-GB"/>
              </w:rPr>
              <w:t>Dosage:</w:t>
            </w:r>
          </w:p>
        </w:tc>
        <w:tc>
          <w:tcPr>
            <w:tcW w:w="6591" w:type="dxa"/>
            <w:vAlign w:val="center"/>
          </w:tcPr>
          <w:p w:rsidR="009C32E7" w:rsidRPr="00AD70DE" w:rsidRDefault="009C32E7" w:rsidP="00AD70DE">
            <w:pPr>
              <w:spacing w:after="120" w:line="276" w:lineRule="auto"/>
              <w:rPr>
                <w:rFonts w:cs="Arial"/>
                <w:lang w:val="en-GB"/>
              </w:rPr>
            </w:pPr>
            <w:r w:rsidRPr="00AD70DE">
              <w:rPr>
                <w:rFonts w:cs="Arial"/>
                <w:lang w:val="en-GB" w:eastAsia="de-DE"/>
              </w:rPr>
              <w:t>2 x 200 mg = 400 mg (single dose) on V2</w:t>
            </w:r>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Mode of administration:</w:t>
            </w:r>
          </w:p>
        </w:tc>
        <w:tc>
          <w:tcPr>
            <w:tcW w:w="6591" w:type="dxa"/>
            <w:vAlign w:val="center"/>
          </w:tcPr>
          <w:p w:rsidR="009C32E7" w:rsidRPr="00AD70DE" w:rsidRDefault="009C32E7" w:rsidP="00AD70DE">
            <w:pPr>
              <w:spacing w:after="120" w:line="276" w:lineRule="auto"/>
              <w:rPr>
                <w:rFonts w:cs="Arial"/>
                <w:lang w:val="en-GB"/>
              </w:rPr>
            </w:pPr>
            <w:r w:rsidRPr="00AD70DE">
              <w:rPr>
                <w:rFonts w:cs="Arial"/>
                <w:lang w:val="en-GB"/>
              </w:rPr>
              <w:t>Oral, together with a meal</w:t>
            </w:r>
          </w:p>
        </w:tc>
      </w:tr>
      <w:tr w:rsidR="009C32E7" w:rsidRPr="00AD70DE" w:rsidTr="008355A9">
        <w:trPr>
          <w:cantSplit/>
        </w:trPr>
        <w:tc>
          <w:tcPr>
            <w:tcW w:w="2481" w:type="dxa"/>
          </w:tcPr>
          <w:p w:rsidR="009C32E7" w:rsidRPr="00AD70DE" w:rsidRDefault="009C32E7" w:rsidP="00AD70DE">
            <w:pPr>
              <w:keepNext/>
              <w:spacing w:after="120" w:line="276" w:lineRule="auto"/>
              <w:rPr>
                <w:rFonts w:cs="Arial"/>
                <w:lang w:val="en-GB" w:eastAsia="de-DE"/>
              </w:rPr>
            </w:pPr>
            <w:r w:rsidRPr="00AD70DE">
              <w:rPr>
                <w:rFonts w:cs="Arial"/>
                <w:lang w:val="en-GB"/>
              </w:rPr>
              <w:t>Storage instructions:</w:t>
            </w:r>
          </w:p>
        </w:tc>
        <w:tc>
          <w:tcPr>
            <w:tcW w:w="6591" w:type="dxa"/>
            <w:vAlign w:val="center"/>
          </w:tcPr>
          <w:p w:rsidR="009C32E7" w:rsidRPr="00AD70DE" w:rsidRDefault="009C32E7" w:rsidP="00AD70DE">
            <w:pPr>
              <w:spacing w:line="276" w:lineRule="auto"/>
              <w:rPr>
                <w:rFonts w:cs="Arial"/>
                <w:lang w:val="en-GB" w:eastAsia="de-DE"/>
              </w:rPr>
            </w:pPr>
            <w:r w:rsidRPr="00AD70DE">
              <w:rPr>
                <w:rFonts w:cs="Arial"/>
                <w:lang w:val="en-GB"/>
              </w:rPr>
              <w:t>No specific storage instructions</w:t>
            </w:r>
          </w:p>
        </w:tc>
      </w:tr>
    </w:tbl>
    <w:p w:rsidR="009C32E7" w:rsidRPr="00AD70DE" w:rsidRDefault="009C32E7" w:rsidP="00AD70DE">
      <w:pPr>
        <w:rPr>
          <w:lang w:val="en-GB" w:eastAsia="de-DE"/>
        </w:rPr>
      </w:pPr>
      <w:r w:rsidRPr="00AD70DE">
        <w:rPr>
          <w:lang w:val="en-GB" w:eastAsia="de-DE"/>
        </w:rPr>
        <w:t xml:space="preserve"> </w:t>
      </w:r>
    </w:p>
    <w:p w:rsidR="009C32E7" w:rsidRPr="00AD70DE" w:rsidRDefault="009C32E7" w:rsidP="00AD70DE">
      <w:pPr>
        <w:pStyle w:val="111Formatvorlage"/>
        <w:keepNext w:val="0"/>
        <w:keepLines w:val="0"/>
        <w:numPr>
          <w:ilvl w:val="2"/>
          <w:numId w:val="3"/>
        </w:numPr>
        <w:spacing w:line="240" w:lineRule="exact"/>
        <w:ind w:left="993" w:hanging="993"/>
      </w:pPr>
      <w:bookmarkStart w:id="1529" w:name="_Toc256002351"/>
      <w:bookmarkStart w:id="1530" w:name="_Toc256002254"/>
      <w:bookmarkStart w:id="1531" w:name="_Toc256002157"/>
      <w:bookmarkStart w:id="1532" w:name="_Toc256002060"/>
      <w:bookmarkStart w:id="1533" w:name="_Toc256001937"/>
      <w:bookmarkStart w:id="1534" w:name="_Toc256001690"/>
      <w:bookmarkStart w:id="1535" w:name="_Toc256001470"/>
      <w:bookmarkStart w:id="1536" w:name="_Toc256001213"/>
      <w:bookmarkStart w:id="1537" w:name="_Toc256000993"/>
      <w:bookmarkStart w:id="1538" w:name="_Toc256000743"/>
      <w:bookmarkStart w:id="1539" w:name="_Toc256000462"/>
      <w:bookmarkStart w:id="1540" w:name="_Toc256000167"/>
      <w:bookmarkStart w:id="1541" w:name="_Toc9613158"/>
      <w:bookmarkStart w:id="1542" w:name="_Toc37173055"/>
      <w:bookmarkStart w:id="1543" w:name="_Toc37243449"/>
      <w:r w:rsidRPr="00AD70DE">
        <w:t>Pharmacological properties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p>
    <w:p w:rsidR="009C32E7" w:rsidRPr="00AD70DE" w:rsidRDefault="009C32E7" w:rsidP="00AD70DE">
      <w:pPr>
        <w:rPr>
          <w:lang w:val="en-GB"/>
        </w:rPr>
      </w:pPr>
      <w:r w:rsidRPr="00AD70DE">
        <w:rPr>
          <w:lang w:val="en-GB"/>
        </w:rPr>
        <w:t xml:space="preserve">HCQ belongs to the group of 4-aminoquinolines. By binding to </w:t>
      </w:r>
      <w:proofErr w:type="spellStart"/>
      <w:r w:rsidRPr="00AD70DE">
        <w:rPr>
          <w:lang w:val="en-GB"/>
        </w:rPr>
        <w:t>porphyrine</w:t>
      </w:r>
      <w:proofErr w:type="spellEnd"/>
      <w:r w:rsidRPr="00AD70DE">
        <w:rPr>
          <w:lang w:val="en-GB"/>
        </w:rPr>
        <w:t xml:space="preserve">, 4-aminoquinolines exert their effect in the prophylaxis and treatment of malaria. The </w:t>
      </w:r>
      <w:proofErr w:type="spellStart"/>
      <w:r w:rsidRPr="00AD70DE">
        <w:rPr>
          <w:lang w:val="en-GB"/>
        </w:rPr>
        <w:t>immunemodulatory</w:t>
      </w:r>
      <w:proofErr w:type="spellEnd"/>
      <w:r w:rsidRPr="00AD70DE">
        <w:rPr>
          <w:lang w:val="en-GB"/>
        </w:rPr>
        <w:t xml:space="preserve"> effect of HCQ, important for its use in rheumatic diseases and presumably Covid-19, is probably mediated by inhibition of T-cell proliferation, the complement system, or antigen-antibody reactions. </w:t>
      </w:r>
    </w:p>
    <w:p w:rsidR="009C32E7" w:rsidRPr="00AD70DE" w:rsidRDefault="009C32E7" w:rsidP="00AD70DE">
      <w:pPr>
        <w:rPr>
          <w:lang w:val="en-GB" w:eastAsia="de-DE"/>
        </w:rPr>
      </w:pPr>
      <w:r w:rsidRPr="00AD70DE">
        <w:rPr>
          <w:lang w:val="en-GB" w:eastAsia="de-DE"/>
        </w:rPr>
        <w:t xml:space="preserve">HCQ is nearly completely absorbed reaching </w:t>
      </w:r>
      <w:proofErr w:type="spellStart"/>
      <w:r w:rsidRPr="00AD70DE">
        <w:rPr>
          <w:lang w:val="en-GB" w:eastAsia="de-DE"/>
        </w:rPr>
        <w:t>C</w:t>
      </w:r>
      <w:r w:rsidRPr="00AD70DE">
        <w:rPr>
          <w:vertAlign w:val="subscript"/>
          <w:lang w:val="en-GB" w:eastAsia="de-DE"/>
        </w:rPr>
        <w:t>max</w:t>
      </w:r>
      <w:proofErr w:type="spellEnd"/>
      <w:r w:rsidRPr="00AD70DE">
        <w:rPr>
          <w:lang w:val="en-GB" w:eastAsia="de-DE"/>
        </w:rPr>
        <w:t xml:space="preserve"> after 4 h. Bioavailability is about 75 % </w:t>
      </w:r>
      <w:r w:rsidRPr="00AD70DE">
        <w:rPr>
          <w:noProof/>
          <w:lang w:val="en-GB" w:eastAsia="de-DE"/>
        </w:rPr>
        <w:t>[15]</w:t>
      </w:r>
      <w:r w:rsidRPr="00AD70DE">
        <w:rPr>
          <w:lang w:val="en-GB" w:eastAsia="de-DE"/>
        </w:rPr>
        <w:t>. In blood, HCQ is mainly bound to cells; in plasma, plasma protein binding is approximately 50 %. HCQ accumulates in blood cells and organs: The concentration found in pigmented cells, for instance, is up to 1000 times higher than in plasma. Half-life is 30 to 60 days, assuming a multi-compartmental model.</w:t>
      </w:r>
    </w:p>
    <w:p w:rsidR="009C32E7" w:rsidRPr="00AD70DE" w:rsidRDefault="009C32E7" w:rsidP="00AD70DE">
      <w:pPr>
        <w:rPr>
          <w:lang w:val="en-GB" w:eastAsia="de-DE"/>
        </w:rPr>
      </w:pPr>
      <w:r w:rsidRPr="00AD70DE">
        <w:rPr>
          <w:lang w:val="en-GB" w:eastAsia="de-DE"/>
        </w:rPr>
        <w:t xml:space="preserve">The main active metabolite of HCQ is </w:t>
      </w:r>
      <w:proofErr w:type="spellStart"/>
      <w:r w:rsidRPr="00AD70DE">
        <w:rPr>
          <w:lang w:val="en-GB" w:eastAsia="de-DE"/>
        </w:rPr>
        <w:t>desethyl</w:t>
      </w:r>
      <w:proofErr w:type="spellEnd"/>
      <w:r w:rsidRPr="00AD70DE">
        <w:rPr>
          <w:lang w:val="en-GB" w:eastAsia="de-DE"/>
        </w:rPr>
        <w:t xml:space="preserve">-HCQ. It is mainly excreted via faeces with a smaller portion excreted into urine, which consists of 60 % of HCQ. </w:t>
      </w:r>
      <w:r w:rsidRPr="00AD70DE">
        <w:rPr>
          <w:noProof/>
          <w:lang w:val="en-GB" w:eastAsia="de-DE"/>
        </w:rPr>
        <w:t>[5]</w:t>
      </w:r>
    </w:p>
    <w:p w:rsidR="009C32E7" w:rsidRPr="00AD70DE" w:rsidRDefault="009C32E7" w:rsidP="00AD70DE">
      <w:pPr>
        <w:pStyle w:val="111Formatvorlage"/>
        <w:keepNext w:val="0"/>
        <w:keepLines w:val="0"/>
        <w:numPr>
          <w:ilvl w:val="2"/>
          <w:numId w:val="3"/>
        </w:numPr>
        <w:spacing w:line="240" w:lineRule="exact"/>
        <w:ind w:left="993" w:hanging="993"/>
      </w:pPr>
      <w:bookmarkStart w:id="1544" w:name="_Toc256002352"/>
      <w:bookmarkStart w:id="1545" w:name="_Toc256002255"/>
      <w:bookmarkStart w:id="1546" w:name="_Toc256002158"/>
      <w:bookmarkStart w:id="1547" w:name="_Toc256002061"/>
      <w:bookmarkStart w:id="1548" w:name="_Toc256001938"/>
      <w:bookmarkStart w:id="1549" w:name="_Toc256001699"/>
      <w:bookmarkStart w:id="1550" w:name="_Toc256001471"/>
      <w:bookmarkStart w:id="1551" w:name="_Toc256001215"/>
      <w:bookmarkStart w:id="1552" w:name="_Toc256000995"/>
      <w:bookmarkStart w:id="1553" w:name="_Toc256000744"/>
      <w:bookmarkStart w:id="1554" w:name="_Toc256000463"/>
      <w:bookmarkStart w:id="1555" w:name="_Toc256000175"/>
      <w:bookmarkStart w:id="1556" w:name="_Toc9613159"/>
      <w:bookmarkStart w:id="1557" w:name="_Toc37173056"/>
      <w:bookmarkStart w:id="1558" w:name="_Toc37243450"/>
      <w:r w:rsidRPr="00AD70DE">
        <w:t>Packaging, labelling, and supply</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p>
    <w:p w:rsidR="009C32E7" w:rsidRPr="00AD70DE" w:rsidRDefault="009C32E7" w:rsidP="00AD70DE">
      <w:pPr>
        <w:autoSpaceDE w:val="0"/>
        <w:autoSpaceDN w:val="0"/>
        <w:adjustRightInd w:val="0"/>
        <w:rPr>
          <w:lang w:val="en-GB"/>
        </w:rPr>
      </w:pPr>
      <w:r w:rsidRPr="00AD70DE">
        <w:rPr>
          <w:lang w:val="en-GB"/>
        </w:rPr>
        <w:t>The trial medication is a marketed product. There will be no trial-specific labelling for HCQ because this drug is approved for human use in Germany and will be used in unchanged marketed form.</w:t>
      </w:r>
    </w:p>
    <w:p w:rsidR="009C32E7" w:rsidRPr="00AD70DE" w:rsidRDefault="009C32E7" w:rsidP="00AD70DE">
      <w:pPr>
        <w:autoSpaceDE w:val="0"/>
        <w:autoSpaceDN w:val="0"/>
        <w:adjustRightInd w:val="0"/>
        <w:rPr>
          <w:lang w:val="en-GB"/>
        </w:rPr>
      </w:pPr>
      <w:r w:rsidRPr="00AD70DE">
        <w:rPr>
          <w:lang w:val="en-GB"/>
        </w:rPr>
        <w:t>The investigator will confirm correct receipt of the trial medication in writing and ensure that the medication is safely and correctly stored. The investigator will document the use of the trial medication. The site monitor will periodically check the supplies of trial medication held by the investigator to ensure the correct accountability of all trial medication used. At the EOT, all unused trial medication will be completely destroyed or may be transferred to third parties according to legal use, both options will be documented. It will be assured that a final report of the drug accountability is prepared and maintained by the investigator.</w:t>
      </w:r>
    </w:p>
    <w:p w:rsidR="009C32E7" w:rsidRPr="00AD70DE" w:rsidRDefault="009C32E7" w:rsidP="00AD70DE">
      <w:pPr>
        <w:pStyle w:val="111Formatvorlage"/>
        <w:keepNext w:val="0"/>
        <w:keepLines w:val="0"/>
        <w:numPr>
          <w:ilvl w:val="2"/>
          <w:numId w:val="3"/>
        </w:numPr>
        <w:spacing w:line="240" w:lineRule="exact"/>
        <w:ind w:left="993" w:hanging="993"/>
      </w:pPr>
      <w:bookmarkStart w:id="1559" w:name="_Toc256002353"/>
      <w:bookmarkStart w:id="1560" w:name="_Toc256002256"/>
      <w:bookmarkStart w:id="1561" w:name="_Toc256002159"/>
      <w:bookmarkStart w:id="1562" w:name="_Toc256002062"/>
      <w:bookmarkStart w:id="1563" w:name="_Toc256001939"/>
      <w:bookmarkStart w:id="1564" w:name="_Toc256001700"/>
      <w:bookmarkStart w:id="1565" w:name="_Toc256001473"/>
      <w:bookmarkStart w:id="1566" w:name="_Toc256001220"/>
      <w:bookmarkStart w:id="1567" w:name="_Toc256001003"/>
      <w:bookmarkStart w:id="1568" w:name="_Toc256000745"/>
      <w:bookmarkStart w:id="1569" w:name="_Toc256000464"/>
      <w:bookmarkStart w:id="1570" w:name="_Toc256000176"/>
      <w:bookmarkStart w:id="1571" w:name="_Toc9613160"/>
      <w:bookmarkStart w:id="1572" w:name="_Toc37173057"/>
      <w:bookmarkStart w:id="1573" w:name="_Toc37243451"/>
      <w:bookmarkStart w:id="1574" w:name="_Toc256000441"/>
      <w:bookmarkStart w:id="1575" w:name="_Toc256001932"/>
      <w:bookmarkStart w:id="1576" w:name="_Toc256001840"/>
      <w:bookmarkStart w:id="1577" w:name="_Toc256001748"/>
      <w:bookmarkStart w:id="1578" w:name="_Toc256001656"/>
      <w:bookmarkStart w:id="1579" w:name="_Toc256001564"/>
      <w:bookmarkStart w:id="1580" w:name="_Toc256001472"/>
      <w:bookmarkStart w:id="1581" w:name="_Toc256001380"/>
      <w:bookmarkStart w:id="1582" w:name="_Toc256001288"/>
      <w:bookmarkStart w:id="1583" w:name="_Toc256001196"/>
      <w:bookmarkStart w:id="1584" w:name="_Toc256001104"/>
      <w:bookmarkStart w:id="1585" w:name="_Toc256001012"/>
      <w:bookmarkStart w:id="1586" w:name="_Toc256000920"/>
      <w:bookmarkStart w:id="1587" w:name="_Toc256000828"/>
      <w:bookmarkStart w:id="1588" w:name="_Toc256000736"/>
      <w:bookmarkStart w:id="1589" w:name="_Toc256000644"/>
      <w:bookmarkStart w:id="1590" w:name="_Toc256000552"/>
      <w:bookmarkStart w:id="1591" w:name="_Toc256000460"/>
      <w:bookmarkStart w:id="1592" w:name="_Toc256000368"/>
      <w:bookmarkStart w:id="1593" w:name="_Toc256000276"/>
      <w:bookmarkStart w:id="1594" w:name="_Toc256000184"/>
      <w:bookmarkStart w:id="1595" w:name="_Toc256000100"/>
      <w:bookmarkStart w:id="1596" w:name="_Toc256000021"/>
      <w:bookmarkStart w:id="1597" w:name="_Toc434223615"/>
      <w:bookmarkStart w:id="1598" w:name="_Toc455594099"/>
      <w:bookmarkStart w:id="1599" w:name="_Toc461443289"/>
      <w:bookmarkStart w:id="1600" w:name="_Toc469498910"/>
      <w:bookmarkStart w:id="1601" w:name="_Toc491340355"/>
      <w:r w:rsidRPr="00AD70DE">
        <w:t>Administration of trial medication</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rsidR="009C32E7" w:rsidRPr="00AD70DE" w:rsidRDefault="009C32E7" w:rsidP="00AD70DE">
      <w:pPr>
        <w:rPr>
          <w:rFonts w:cs="Arial"/>
          <w:lang w:val="en-GB"/>
        </w:rPr>
      </w:pPr>
      <w:r w:rsidRPr="00AD70DE">
        <w:rPr>
          <w:lang w:val="en-GB" w:eastAsia="de-DE"/>
        </w:rPr>
        <w:t xml:space="preserve">Participants will receive 400 mg of HCQ as a single oral dose. </w:t>
      </w:r>
      <w:r w:rsidRPr="00AD70DE">
        <w:rPr>
          <w:rFonts w:cs="Arial"/>
          <w:lang w:val="en-GB"/>
        </w:rPr>
        <w:t xml:space="preserve">The administration of the trial drug will take place at the trial site, together with a meal. No dose adjustments are planned. </w:t>
      </w:r>
    </w:p>
    <w:p w:rsidR="009C32E7" w:rsidRPr="00AD70DE" w:rsidRDefault="009C32E7" w:rsidP="00AD70DE">
      <w:pPr>
        <w:pStyle w:val="111Formatvorlage"/>
        <w:keepNext w:val="0"/>
        <w:keepLines w:val="0"/>
        <w:numPr>
          <w:ilvl w:val="2"/>
          <w:numId w:val="3"/>
        </w:numPr>
        <w:spacing w:line="240" w:lineRule="exact"/>
        <w:ind w:left="993" w:hanging="993"/>
      </w:pPr>
      <w:bookmarkStart w:id="1602" w:name="_Toc256002354"/>
      <w:bookmarkStart w:id="1603" w:name="_Toc256002257"/>
      <w:bookmarkStart w:id="1604" w:name="_Toc256002160"/>
      <w:bookmarkStart w:id="1605" w:name="_Toc256002063"/>
      <w:bookmarkStart w:id="1606" w:name="_Toc256001940"/>
      <w:bookmarkStart w:id="1607" w:name="_Toc256001703"/>
      <w:bookmarkStart w:id="1608" w:name="_Toc256001474"/>
      <w:bookmarkStart w:id="1609" w:name="_Toc256001222"/>
      <w:bookmarkStart w:id="1610" w:name="_Toc256001004"/>
      <w:bookmarkStart w:id="1611" w:name="_Toc256000747"/>
      <w:bookmarkStart w:id="1612" w:name="_Toc256000465"/>
      <w:bookmarkStart w:id="1613" w:name="_Toc256000181"/>
      <w:bookmarkStart w:id="1614" w:name="_Toc9613161"/>
      <w:bookmarkStart w:id="1615" w:name="_Toc37173058"/>
      <w:bookmarkStart w:id="1616" w:name="_Toc37243452"/>
      <w:r w:rsidRPr="00AD70DE">
        <w:t>Adherence and drug accountability</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rsidR="009C32E7" w:rsidRPr="00AD70DE" w:rsidRDefault="009C32E7" w:rsidP="00AD70DE">
      <w:pPr>
        <w:rPr>
          <w:rFonts w:cs="Arial"/>
          <w:lang w:val="en-GB"/>
        </w:rPr>
      </w:pPr>
      <w:r w:rsidRPr="00AD70DE">
        <w:rPr>
          <w:rFonts w:cs="Arial"/>
          <w:lang w:val="en-GB"/>
        </w:rPr>
        <w:t>HCQ will be administered by the trial team; therefore, taking and timing adherence of 100 % is expected. A drug accountability log will document the use of drug.</w:t>
      </w:r>
    </w:p>
    <w:p w:rsidR="009C32E7" w:rsidRPr="00AD70DE" w:rsidRDefault="009C32E7" w:rsidP="00AD70DE">
      <w:pPr>
        <w:pStyle w:val="111Formatvorlage"/>
        <w:keepNext w:val="0"/>
        <w:keepLines w:val="0"/>
        <w:numPr>
          <w:ilvl w:val="2"/>
          <w:numId w:val="3"/>
        </w:numPr>
        <w:spacing w:line="240" w:lineRule="exact"/>
        <w:ind w:left="993" w:hanging="993"/>
      </w:pPr>
      <w:bookmarkStart w:id="1617" w:name="_Toc256002355"/>
      <w:bookmarkStart w:id="1618" w:name="_Toc256002258"/>
      <w:bookmarkStart w:id="1619" w:name="_Toc256002161"/>
      <w:bookmarkStart w:id="1620" w:name="_Toc256002064"/>
      <w:bookmarkStart w:id="1621" w:name="_Toc256001941"/>
      <w:bookmarkStart w:id="1622" w:name="_Toc256001708"/>
      <w:bookmarkStart w:id="1623" w:name="_Toc256001475"/>
      <w:bookmarkStart w:id="1624" w:name="_Toc256001230"/>
      <w:bookmarkStart w:id="1625" w:name="_Toc256001009"/>
      <w:bookmarkStart w:id="1626" w:name="_Toc256000749"/>
      <w:bookmarkStart w:id="1627" w:name="_Toc256000466"/>
      <w:bookmarkStart w:id="1628" w:name="_Toc256000182"/>
      <w:bookmarkStart w:id="1629" w:name="_Toc9613162"/>
      <w:bookmarkStart w:id="1630" w:name="_Toc37173059"/>
      <w:bookmarkStart w:id="1631" w:name="_Toc3724345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r w:rsidRPr="00AD70DE">
        <w:t>Safety and tolerability</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rsidR="009C32E7" w:rsidRPr="00AD70DE" w:rsidRDefault="009C32E7" w:rsidP="00AD70DE">
      <w:pPr>
        <w:rPr>
          <w:lang w:val="en-GB"/>
        </w:rPr>
      </w:pPr>
      <w:bookmarkStart w:id="1632" w:name="_Toc256000471"/>
      <w:bookmarkStart w:id="1633" w:name="_Toc469498913"/>
      <w:bookmarkStart w:id="1634" w:name="_Toc491340358"/>
      <w:r w:rsidRPr="00AD70DE">
        <w:rPr>
          <w:lang w:val="en-GB"/>
        </w:rPr>
        <w:t xml:space="preserve">After oral administration of HCQ, the AEs listed below are known. Notably, most AEs are dose-dependent and occur at plasma concentrations of &gt; 250 µg/l </w:t>
      </w:r>
      <w:r w:rsidRPr="00AD70DE">
        <w:rPr>
          <w:noProof/>
          <w:lang w:val="en-GB"/>
        </w:rPr>
        <w:t>[5]</w:t>
      </w:r>
      <w:r w:rsidRPr="00AD70DE">
        <w:rPr>
          <w:lang w:val="en-GB"/>
        </w:rPr>
        <w:t>.</w:t>
      </w:r>
    </w:p>
    <w:p w:rsidR="009C32E7" w:rsidRPr="00AD70DE" w:rsidRDefault="009C32E7" w:rsidP="00AD70DE">
      <w:pPr>
        <w:rPr>
          <w:lang w:val="en-GB"/>
        </w:rPr>
      </w:pPr>
    </w:p>
    <w:p w:rsidR="009C32E7" w:rsidRPr="00AD70DE" w:rsidRDefault="009C32E7" w:rsidP="00AD70DE">
      <w:pPr>
        <w:pStyle w:val="Beschriftung"/>
        <w:keepNext/>
        <w:keepLines/>
        <w:spacing w:after="160" w:line="259" w:lineRule="auto"/>
        <w:rPr>
          <w:rFonts w:cs="Arial"/>
          <w:color w:val="000000"/>
          <w:sz w:val="22"/>
          <w:szCs w:val="22"/>
          <w:lang w:val="en-GB"/>
        </w:rPr>
      </w:pPr>
      <w:proofErr w:type="gramStart"/>
      <w:r w:rsidRPr="00AD70DE">
        <w:rPr>
          <w:color w:val="000000"/>
          <w:sz w:val="22"/>
          <w:szCs w:val="22"/>
          <w:lang w:val="en-GB"/>
        </w:rPr>
        <w:t>Table 3:</w:t>
      </w:r>
      <w:r w:rsidRPr="00AD70DE">
        <w:rPr>
          <w:color w:val="000000"/>
          <w:lang w:val="en-GB"/>
        </w:rPr>
        <w:t xml:space="preserve"> </w:t>
      </w:r>
      <w:r w:rsidRPr="00AD70DE">
        <w:rPr>
          <w:rFonts w:cs="Arial"/>
          <w:b w:val="0"/>
          <w:color w:val="000000"/>
          <w:sz w:val="22"/>
          <w:szCs w:val="22"/>
          <w:lang w:val="en-GB"/>
        </w:rPr>
        <w:t xml:space="preserve">HCQ adverse drug reactions </w:t>
      </w:r>
      <w:r w:rsidRPr="00AD70DE">
        <w:rPr>
          <w:rFonts w:cs="Arial"/>
          <w:b w:val="0"/>
          <w:noProof/>
          <w:color w:val="000000"/>
          <w:sz w:val="22"/>
          <w:szCs w:val="22"/>
          <w:lang w:val="en-GB"/>
        </w:rPr>
        <w:t>[5]</w:t>
      </w:r>
      <w:r w:rsidRPr="00AD70DE">
        <w:rPr>
          <w:rFonts w:cs="Arial"/>
          <w:b w:val="0"/>
          <w:color w:val="000000"/>
          <w:sz w:val="22"/>
          <w:szCs w:val="22"/>
          <w:lang w:val="en-GB"/>
        </w:rPr>
        <w:t>.</w:t>
      </w:r>
      <w:proofErr w:type="gram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4"/>
        <w:gridCol w:w="5428"/>
      </w:tblGrid>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Blood und lymphatic system</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Bone marrow depression, anaemia, thrombocytopenia, leukopenia, agranulocytosis, pancytopenia, aplastic anaemia (all******). </w:t>
            </w:r>
          </w:p>
          <w:p w:rsidR="009C32E7" w:rsidRPr="00AD70DE" w:rsidRDefault="009C32E7" w:rsidP="00AD70DE">
            <w:pPr>
              <w:keepNext/>
              <w:keepLines/>
              <w:rPr>
                <w:sz w:val="20"/>
                <w:szCs w:val="20"/>
                <w:lang w:val="en-GB"/>
              </w:rPr>
            </w:pPr>
            <w:r w:rsidRPr="00AD70DE">
              <w:rPr>
                <w:sz w:val="20"/>
                <w:szCs w:val="20"/>
                <w:lang w:val="en-GB"/>
              </w:rPr>
              <w:t xml:space="preserve">Precaution due to findings from known chloroquine effects: </w:t>
            </w:r>
            <w:proofErr w:type="spellStart"/>
            <w:r w:rsidRPr="00AD70DE">
              <w:rPr>
                <w:sz w:val="20"/>
                <w:szCs w:val="20"/>
                <w:lang w:val="en-GB"/>
              </w:rPr>
              <w:t>Methaemoglobinaemia</w:t>
            </w:r>
            <w:proofErr w:type="spellEnd"/>
            <w:r w:rsidRPr="00AD70DE">
              <w:rPr>
                <w:sz w:val="20"/>
                <w:szCs w:val="20"/>
                <w:lang w:val="en-GB"/>
              </w:rPr>
              <w:t>*****, eosinophilia (with lung infiltration) *****.</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Immune system</w:t>
            </w:r>
          </w:p>
        </w:tc>
        <w:tc>
          <w:tcPr>
            <w:tcW w:w="5428" w:type="dxa"/>
          </w:tcPr>
          <w:p w:rsidR="009C32E7" w:rsidRPr="00AD70DE" w:rsidRDefault="009C32E7" w:rsidP="00AD70DE">
            <w:pPr>
              <w:keepNext/>
              <w:keepLines/>
              <w:rPr>
                <w:sz w:val="20"/>
                <w:szCs w:val="20"/>
                <w:lang w:val="en-GB"/>
              </w:rPr>
            </w:pPr>
            <w:proofErr w:type="spellStart"/>
            <w:r w:rsidRPr="00AD70DE">
              <w:rPr>
                <w:sz w:val="20"/>
                <w:szCs w:val="20"/>
                <w:lang w:val="en-GB"/>
              </w:rPr>
              <w:t>Urticaria</w:t>
            </w:r>
            <w:proofErr w:type="spellEnd"/>
            <w:r w:rsidRPr="00AD70DE">
              <w:rPr>
                <w:sz w:val="20"/>
                <w:szCs w:val="20"/>
                <w:lang w:val="en-GB"/>
              </w:rPr>
              <w:t xml:space="preserve">, </w:t>
            </w:r>
            <w:proofErr w:type="spellStart"/>
            <w:r w:rsidRPr="00AD70DE">
              <w:rPr>
                <w:sz w:val="20"/>
                <w:szCs w:val="20"/>
                <w:lang w:val="en-GB"/>
              </w:rPr>
              <w:t>angiooedema</w:t>
            </w:r>
            <w:proofErr w:type="spellEnd"/>
            <w:r w:rsidRPr="00AD70DE">
              <w:rPr>
                <w:sz w:val="20"/>
                <w:szCs w:val="20"/>
                <w:lang w:val="en-GB"/>
              </w:rPr>
              <w:t>, bronchospasm (all******).</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Endocrine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Reduced appetite*, hypoglycaemia******. </w:t>
            </w:r>
          </w:p>
          <w:p w:rsidR="009C32E7" w:rsidRPr="00AD70DE" w:rsidRDefault="009C32E7" w:rsidP="00AD70DE">
            <w:pPr>
              <w:keepNext/>
              <w:keepLines/>
              <w:rPr>
                <w:sz w:val="20"/>
                <w:szCs w:val="20"/>
                <w:lang w:val="en-GB"/>
              </w:rPr>
            </w:pPr>
            <w:r w:rsidRPr="00AD70DE">
              <w:rPr>
                <w:sz w:val="20"/>
                <w:szCs w:val="20"/>
                <w:lang w:val="en-GB"/>
              </w:rPr>
              <w:t>Exacerbation of porphyria.</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Psychiatric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Labile affect**, sleep disturbances or sleepiness***, confusion***, </w:t>
            </w:r>
            <w:proofErr w:type="spellStart"/>
            <w:r w:rsidRPr="00AD70DE">
              <w:rPr>
                <w:sz w:val="20"/>
                <w:szCs w:val="20"/>
                <w:lang w:val="en-GB"/>
              </w:rPr>
              <w:t>unrestlessness</w:t>
            </w:r>
            <w:proofErr w:type="spellEnd"/>
            <w:r w:rsidRPr="00AD70DE">
              <w:rPr>
                <w:sz w:val="20"/>
                <w:szCs w:val="20"/>
                <w:lang w:val="en-GB"/>
              </w:rPr>
              <w:t>***, paraesthesia***; exacerbation of psychosis******, suicide******.</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Nervous system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Headache**, dizziness***, seizures******, dystonia******, dyskinesia******, akathisia******, tremor******.</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Eye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Blurred vision (disturbed accommodation, dose-dependent and reversible</w:t>
            </w:r>
            <w:proofErr w:type="gramStart"/>
            <w:r w:rsidRPr="00AD70DE">
              <w:rPr>
                <w:sz w:val="20"/>
                <w:szCs w:val="20"/>
                <w:lang w:val="en-GB"/>
              </w:rPr>
              <w:t>)*</w:t>
            </w:r>
            <w:proofErr w:type="gramEnd"/>
            <w:r w:rsidRPr="00AD70DE">
              <w:rPr>
                <w:sz w:val="20"/>
                <w:szCs w:val="20"/>
                <w:lang w:val="en-GB"/>
              </w:rPr>
              <w:t xml:space="preserve">*, retinopathy (seems reversible in early stage, irreversible especially in long-term treatment; dose-dependent -&gt; rare if daily dose ≤ 6.5 mg/kg body weight)***/*****, corneal changes (oedema, opacity; reversible)***, maculopathy/ </w:t>
            </w:r>
            <w:proofErr w:type="spellStart"/>
            <w:r w:rsidRPr="00AD70DE">
              <w:rPr>
                <w:sz w:val="20"/>
                <w:szCs w:val="20"/>
                <w:lang w:val="en-GB"/>
              </w:rPr>
              <w:t>macula</w:t>
            </w:r>
            <w:proofErr w:type="spellEnd"/>
            <w:r w:rsidRPr="00AD70DE">
              <w:rPr>
                <w:sz w:val="20"/>
                <w:szCs w:val="20"/>
                <w:lang w:val="en-GB"/>
              </w:rPr>
              <w:t xml:space="preserve"> degeneration******.</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Ear and vestibular organ</w:t>
            </w:r>
          </w:p>
        </w:tc>
        <w:tc>
          <w:tcPr>
            <w:tcW w:w="5428" w:type="dxa"/>
          </w:tcPr>
          <w:p w:rsidR="009C32E7" w:rsidRPr="00AD70DE" w:rsidRDefault="009C32E7" w:rsidP="00AD70DE">
            <w:pPr>
              <w:keepNext/>
              <w:keepLines/>
              <w:rPr>
                <w:sz w:val="20"/>
                <w:szCs w:val="20"/>
                <w:lang w:val="en-GB"/>
              </w:rPr>
            </w:pPr>
            <w:r w:rsidRPr="00AD70DE">
              <w:rPr>
                <w:sz w:val="20"/>
                <w:szCs w:val="20"/>
                <w:lang w:val="en-GB"/>
              </w:rPr>
              <w:t>Vertigo***, tinnitus***, deafness******</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Heart and vessels</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Cardiomyopathy, including fatal heart failure******, depression of T wave******, conduction disorders (partially reversible after withdrawal of </w:t>
            </w:r>
            <w:proofErr w:type="spellStart"/>
            <w:r w:rsidRPr="00AD70DE">
              <w:rPr>
                <w:sz w:val="20"/>
                <w:szCs w:val="20"/>
                <w:lang w:val="en-GB"/>
              </w:rPr>
              <w:t>Quensyl</w:t>
            </w:r>
            <w:proofErr w:type="spellEnd"/>
            <w:r w:rsidRPr="00AD70DE">
              <w:rPr>
                <w:sz w:val="20"/>
                <w:szCs w:val="20"/>
                <w:lang w:val="en-GB"/>
              </w:rPr>
              <w:t>®</w:t>
            </w:r>
            <w:proofErr w:type="gramStart"/>
            <w:r w:rsidRPr="00AD70DE">
              <w:rPr>
                <w:sz w:val="20"/>
                <w:szCs w:val="20"/>
                <w:lang w:val="en-GB"/>
              </w:rPr>
              <w:t>)*</w:t>
            </w:r>
            <w:proofErr w:type="gramEnd"/>
            <w:r w:rsidRPr="00AD70DE">
              <w:rPr>
                <w:sz w:val="20"/>
                <w:szCs w:val="20"/>
                <w:lang w:val="en-GB"/>
              </w:rPr>
              <w:t>*****.</w:t>
            </w:r>
          </w:p>
          <w:p w:rsidR="009C32E7" w:rsidRPr="00AD70DE" w:rsidRDefault="009C32E7" w:rsidP="00AD70DE">
            <w:pPr>
              <w:keepNext/>
              <w:keepLines/>
              <w:rPr>
                <w:sz w:val="20"/>
                <w:szCs w:val="20"/>
                <w:lang w:val="en-GB"/>
              </w:rPr>
            </w:pPr>
            <w:r w:rsidRPr="00AD70DE">
              <w:rPr>
                <w:sz w:val="20"/>
                <w:szCs w:val="20"/>
                <w:lang w:val="en-GB"/>
              </w:rPr>
              <w:t>Precaution due to findings from known chloroquine effects: drop of blood pressure.</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Gastrointestinal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Abdominal pain*, nausea*, flatulence**, diarrhoea with weight loss**, vomiting** (usually reversible after dose reduction / withdrawal of </w:t>
            </w:r>
            <w:proofErr w:type="spellStart"/>
            <w:r w:rsidRPr="00AD70DE">
              <w:rPr>
                <w:sz w:val="20"/>
                <w:szCs w:val="20"/>
                <w:lang w:val="en-GB"/>
              </w:rPr>
              <w:t>Quensyl</w:t>
            </w:r>
            <w:proofErr w:type="spellEnd"/>
            <w:r w:rsidRPr="00AD70DE">
              <w:rPr>
                <w:sz w:val="20"/>
                <w:szCs w:val="20"/>
                <w:lang w:val="en-GB"/>
              </w:rPr>
              <w:t>®).</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Hepatobiliary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Liver damage (change of transaminases and bilirubin</w:t>
            </w:r>
            <w:proofErr w:type="gramStart"/>
            <w:r w:rsidRPr="00AD70DE">
              <w:rPr>
                <w:sz w:val="20"/>
                <w:szCs w:val="20"/>
                <w:lang w:val="en-GB"/>
              </w:rPr>
              <w:t>)*</w:t>
            </w:r>
            <w:proofErr w:type="gramEnd"/>
            <w:r w:rsidRPr="00AD70DE">
              <w:rPr>
                <w:sz w:val="20"/>
                <w:szCs w:val="20"/>
                <w:lang w:val="en-GB"/>
              </w:rPr>
              <w:t>**, liver failure******.</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Skin and subcutaneous tissue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Pruritus**, rash**, disturbance of skin and hair pigmentation***, hair loss***.</w:t>
            </w:r>
          </w:p>
          <w:p w:rsidR="009C32E7" w:rsidRPr="00AD70DE" w:rsidRDefault="009C32E7" w:rsidP="00AD70DE">
            <w:pPr>
              <w:keepNext/>
              <w:keepLines/>
              <w:rPr>
                <w:sz w:val="20"/>
                <w:szCs w:val="20"/>
                <w:lang w:val="en-GB"/>
              </w:rPr>
            </w:pPr>
            <w:r w:rsidRPr="00AD70DE">
              <w:rPr>
                <w:sz w:val="20"/>
                <w:szCs w:val="20"/>
                <w:lang w:val="en-GB"/>
              </w:rPr>
              <w:t xml:space="preserve">Bullous rashes (incl. erythema </w:t>
            </w:r>
            <w:proofErr w:type="spellStart"/>
            <w:r w:rsidRPr="00AD70DE">
              <w:rPr>
                <w:sz w:val="20"/>
                <w:szCs w:val="20"/>
                <w:lang w:val="en-GB"/>
              </w:rPr>
              <w:t>multiforme</w:t>
            </w:r>
            <w:proofErr w:type="spellEnd"/>
            <w:r w:rsidRPr="00AD70DE">
              <w:rPr>
                <w:sz w:val="20"/>
                <w:szCs w:val="20"/>
                <w:lang w:val="en-GB"/>
              </w:rPr>
              <w:t xml:space="preserve">, toxic epidermal necrolysis, Stevens-Johnson syndrome, exfoliative dermatitis), DRESS, </w:t>
            </w:r>
            <w:proofErr w:type="spellStart"/>
            <w:r w:rsidRPr="00AD70DE">
              <w:rPr>
                <w:sz w:val="20"/>
                <w:szCs w:val="20"/>
                <w:lang w:val="en-GB"/>
              </w:rPr>
              <w:t>photosensibilisation</w:t>
            </w:r>
            <w:proofErr w:type="spellEnd"/>
            <w:r w:rsidRPr="00AD70DE">
              <w:rPr>
                <w:sz w:val="20"/>
                <w:szCs w:val="20"/>
                <w:lang w:val="en-GB"/>
              </w:rPr>
              <w:t xml:space="preserve">, acute generalized </w:t>
            </w:r>
            <w:proofErr w:type="spellStart"/>
            <w:r w:rsidRPr="00AD70DE">
              <w:rPr>
                <w:sz w:val="20"/>
                <w:szCs w:val="20"/>
                <w:lang w:val="en-GB"/>
              </w:rPr>
              <w:t>exanthematous</w:t>
            </w:r>
            <w:proofErr w:type="spellEnd"/>
            <w:r w:rsidRPr="00AD70DE">
              <w:rPr>
                <w:sz w:val="20"/>
                <w:szCs w:val="20"/>
                <w:lang w:val="en-GB"/>
              </w:rPr>
              <w:t xml:space="preserve"> </w:t>
            </w:r>
            <w:proofErr w:type="spellStart"/>
            <w:r w:rsidRPr="00AD70DE">
              <w:rPr>
                <w:sz w:val="20"/>
                <w:szCs w:val="20"/>
                <w:lang w:val="en-GB"/>
              </w:rPr>
              <w:t>pustulosis</w:t>
            </w:r>
            <w:proofErr w:type="spellEnd"/>
            <w:r w:rsidRPr="00AD70DE">
              <w:rPr>
                <w:sz w:val="20"/>
                <w:szCs w:val="20"/>
                <w:lang w:val="en-GB"/>
              </w:rPr>
              <w:t xml:space="preserve"> (all******).</w:t>
            </w:r>
          </w:p>
          <w:p w:rsidR="009C32E7" w:rsidRPr="00AD70DE" w:rsidRDefault="009C32E7" w:rsidP="00AD70DE">
            <w:pPr>
              <w:keepNext/>
              <w:keepLines/>
              <w:rPr>
                <w:sz w:val="20"/>
                <w:szCs w:val="20"/>
                <w:lang w:val="en-GB"/>
              </w:rPr>
            </w:pPr>
            <w:r w:rsidRPr="00AD70DE">
              <w:rPr>
                <w:sz w:val="20"/>
                <w:szCs w:val="20"/>
                <w:lang w:val="en-GB"/>
              </w:rPr>
              <w:t xml:space="preserve">Exacerbation of porphyria </w:t>
            </w:r>
            <w:proofErr w:type="spellStart"/>
            <w:r w:rsidRPr="00AD70DE">
              <w:rPr>
                <w:sz w:val="20"/>
                <w:szCs w:val="20"/>
                <w:lang w:val="en-GB"/>
              </w:rPr>
              <w:t>cutanea</w:t>
            </w:r>
            <w:proofErr w:type="spellEnd"/>
            <w:r w:rsidRPr="00AD70DE">
              <w:rPr>
                <w:sz w:val="20"/>
                <w:szCs w:val="20"/>
                <w:lang w:val="en-GB"/>
              </w:rPr>
              <w:t xml:space="preserve"> </w:t>
            </w:r>
            <w:proofErr w:type="spellStart"/>
            <w:r w:rsidRPr="00AD70DE">
              <w:rPr>
                <w:sz w:val="20"/>
                <w:szCs w:val="20"/>
                <w:lang w:val="en-GB"/>
              </w:rPr>
              <w:t>tarda</w:t>
            </w:r>
            <w:proofErr w:type="spellEnd"/>
            <w:r w:rsidRPr="00AD70DE">
              <w:rPr>
                <w:sz w:val="20"/>
                <w:szCs w:val="20"/>
                <w:lang w:val="en-GB"/>
              </w:rPr>
              <w:t xml:space="preserve"> (</w:t>
            </w:r>
            <w:proofErr w:type="spellStart"/>
            <w:r w:rsidRPr="00AD70DE">
              <w:rPr>
                <w:sz w:val="20"/>
                <w:szCs w:val="20"/>
                <w:lang w:val="en-GB"/>
              </w:rPr>
              <w:t>porphyrinuria</w:t>
            </w:r>
            <w:proofErr w:type="spellEnd"/>
            <w:r w:rsidRPr="00AD70DE">
              <w:rPr>
                <w:sz w:val="20"/>
                <w:szCs w:val="20"/>
                <w:lang w:val="en-GB"/>
              </w:rPr>
              <w:t>) or of psoriasis****.</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Musculoskeletal and connective tissue disorders</w:t>
            </w:r>
          </w:p>
        </w:tc>
        <w:tc>
          <w:tcPr>
            <w:tcW w:w="5428" w:type="dxa"/>
          </w:tcPr>
          <w:p w:rsidR="009C32E7" w:rsidRPr="00AD70DE" w:rsidRDefault="009C32E7" w:rsidP="00AD70DE">
            <w:pPr>
              <w:keepNext/>
              <w:keepLines/>
              <w:rPr>
                <w:sz w:val="20"/>
                <w:szCs w:val="20"/>
                <w:lang w:val="en-GB"/>
              </w:rPr>
            </w:pPr>
            <w:proofErr w:type="spellStart"/>
            <w:r w:rsidRPr="00AD70DE">
              <w:rPr>
                <w:sz w:val="20"/>
                <w:szCs w:val="20"/>
                <w:lang w:val="en-GB"/>
              </w:rPr>
              <w:t>Sensomotoric</w:t>
            </w:r>
            <w:proofErr w:type="spellEnd"/>
            <w:r w:rsidRPr="00AD70DE">
              <w:rPr>
                <w:sz w:val="20"/>
                <w:szCs w:val="20"/>
                <w:lang w:val="en-GB"/>
              </w:rPr>
              <w:t xml:space="preserve"> disturbances***, myopathies/</w:t>
            </w:r>
            <w:proofErr w:type="spellStart"/>
            <w:r w:rsidRPr="00AD70DE">
              <w:rPr>
                <w:sz w:val="20"/>
                <w:szCs w:val="20"/>
                <w:lang w:val="en-GB"/>
              </w:rPr>
              <w:t>neuromyopathies</w:t>
            </w:r>
            <w:proofErr w:type="spellEnd"/>
            <w:r w:rsidRPr="00AD70DE">
              <w:rPr>
                <w:sz w:val="20"/>
                <w:szCs w:val="20"/>
                <w:lang w:val="en-GB"/>
              </w:rPr>
              <w:t xml:space="preserve"> (can be reversible</w:t>
            </w:r>
            <w:proofErr w:type="gramStart"/>
            <w:r w:rsidRPr="00AD70DE">
              <w:rPr>
                <w:sz w:val="20"/>
                <w:szCs w:val="20"/>
                <w:lang w:val="en-GB"/>
              </w:rPr>
              <w:t>)*</w:t>
            </w:r>
            <w:proofErr w:type="gramEnd"/>
            <w:r w:rsidRPr="00AD70DE">
              <w:rPr>
                <w:sz w:val="20"/>
                <w:szCs w:val="20"/>
                <w:lang w:val="en-GB"/>
              </w:rPr>
              <w:t>*****.</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Renal and urinary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Precaution due to findings from known chloroquine effects: under long-term therapy </w:t>
            </w:r>
            <w:proofErr w:type="spellStart"/>
            <w:r w:rsidRPr="00AD70DE">
              <w:rPr>
                <w:sz w:val="20"/>
                <w:szCs w:val="20"/>
                <w:lang w:val="en-GB"/>
              </w:rPr>
              <w:t>phospholipidosis</w:t>
            </w:r>
            <w:proofErr w:type="spellEnd"/>
            <w:r w:rsidRPr="00AD70DE">
              <w:rPr>
                <w:sz w:val="20"/>
                <w:szCs w:val="20"/>
                <w:lang w:val="en-GB"/>
              </w:rPr>
              <w:t xml:space="preserve"> (reversible</w:t>
            </w:r>
            <w:proofErr w:type="gramStart"/>
            <w:r w:rsidRPr="00AD70DE">
              <w:rPr>
                <w:sz w:val="20"/>
                <w:szCs w:val="20"/>
                <w:lang w:val="en-GB"/>
              </w:rPr>
              <w:t>)*</w:t>
            </w:r>
            <w:proofErr w:type="gramEnd"/>
            <w:r w:rsidRPr="00AD70DE">
              <w:rPr>
                <w:sz w:val="20"/>
                <w:szCs w:val="20"/>
                <w:lang w:val="en-GB"/>
              </w:rPr>
              <w:t>****.</w:t>
            </w:r>
          </w:p>
        </w:tc>
      </w:tr>
    </w:tbl>
    <w:p w:rsidR="009C32E7" w:rsidRPr="00AD70DE" w:rsidRDefault="009C32E7" w:rsidP="00AD70DE">
      <w:pPr>
        <w:keepNext/>
        <w:keepLines/>
        <w:rPr>
          <w:sz w:val="20"/>
          <w:szCs w:val="20"/>
          <w:lang w:val="en-GB"/>
        </w:rPr>
      </w:pPr>
      <w:r w:rsidRPr="00AD70DE">
        <w:rPr>
          <w:sz w:val="20"/>
          <w:szCs w:val="20"/>
          <w:lang w:val="en-GB"/>
        </w:rPr>
        <w:t xml:space="preserve">Frequency: *very common **common </w:t>
      </w:r>
      <w:r w:rsidRPr="00AD70DE">
        <w:rPr>
          <w:rFonts w:ascii="Symbol" w:hAnsi="Symbol"/>
          <w:sz w:val="20"/>
          <w:szCs w:val="20"/>
          <w:lang w:val="en-GB"/>
        </w:rPr>
        <w:sym w:font="Symbol" w:char="F0B3"/>
      </w:r>
      <w:r w:rsidRPr="00AD70DE">
        <w:rPr>
          <w:sz w:val="20"/>
          <w:szCs w:val="20"/>
          <w:lang w:val="en-GB"/>
        </w:rPr>
        <w:t xml:space="preserve"> 1/100 to &lt; 1/10, ***uncommon </w:t>
      </w:r>
      <w:r w:rsidRPr="00AD70DE">
        <w:rPr>
          <w:rFonts w:ascii="Symbol" w:hAnsi="Symbol"/>
          <w:sz w:val="20"/>
          <w:szCs w:val="20"/>
          <w:lang w:val="en-GB"/>
        </w:rPr>
        <w:sym w:font="Symbol" w:char="F0B3"/>
      </w:r>
      <w:r w:rsidRPr="00AD70DE">
        <w:rPr>
          <w:sz w:val="20"/>
          <w:szCs w:val="20"/>
          <w:lang w:val="en-GB"/>
        </w:rPr>
        <w:t xml:space="preserve"> 1/1000 to &lt; 1/100; **** rare </w:t>
      </w:r>
      <w:r w:rsidRPr="00AD70DE">
        <w:rPr>
          <w:rFonts w:ascii="Symbol" w:hAnsi="Symbol"/>
          <w:sz w:val="20"/>
          <w:szCs w:val="20"/>
          <w:lang w:val="en-GB"/>
        </w:rPr>
        <w:sym w:font="Symbol" w:char="F0B3"/>
      </w:r>
      <w:r w:rsidRPr="00AD70DE">
        <w:rPr>
          <w:sz w:val="20"/>
          <w:szCs w:val="20"/>
          <w:lang w:val="en-GB"/>
        </w:rPr>
        <w:t xml:space="preserve"> 1/10.000 to &lt; 1/1.000; *****very rare &lt; 1/10.000; ******not known</w:t>
      </w:r>
    </w:p>
    <w:p w:rsidR="009C32E7" w:rsidRPr="00AD70DE" w:rsidRDefault="009C32E7" w:rsidP="00AD70DE">
      <w:pPr>
        <w:pStyle w:val="111Formatvorlage"/>
        <w:keepNext w:val="0"/>
        <w:numPr>
          <w:ilvl w:val="2"/>
          <w:numId w:val="3"/>
        </w:numPr>
        <w:spacing w:line="240" w:lineRule="exact"/>
        <w:ind w:left="993" w:hanging="993"/>
      </w:pPr>
      <w:bookmarkStart w:id="1635" w:name="_Toc37173060"/>
      <w:bookmarkStart w:id="1636" w:name="_Toc37243454"/>
      <w:r w:rsidRPr="00AD70DE">
        <w:t>Contraindications</w:t>
      </w:r>
      <w:bookmarkEnd w:id="1635"/>
      <w:bookmarkEnd w:id="1636"/>
    </w:p>
    <w:p w:rsidR="009C32E7" w:rsidRPr="00AD70DE" w:rsidRDefault="009C32E7" w:rsidP="00AD70DE">
      <w:pPr>
        <w:rPr>
          <w:lang w:val="en-GB"/>
        </w:rPr>
      </w:pPr>
      <w:proofErr w:type="spellStart"/>
      <w:r w:rsidRPr="00AD70DE">
        <w:rPr>
          <w:lang w:val="en-GB"/>
        </w:rPr>
        <w:t>Quensyl</w:t>
      </w:r>
      <w:proofErr w:type="spellEnd"/>
      <w:r w:rsidRPr="00AD70DE">
        <w:rPr>
          <w:lang w:val="en-GB"/>
        </w:rPr>
        <w:t xml:space="preserve">® must not be taken in case of </w:t>
      </w:r>
    </w:p>
    <w:p w:rsidR="009C32E7" w:rsidRPr="00AD70DE" w:rsidRDefault="009C32E7" w:rsidP="00AD70DE">
      <w:pPr>
        <w:pStyle w:val="Listenabsatz"/>
        <w:numPr>
          <w:ilvl w:val="0"/>
          <w:numId w:val="15"/>
        </w:numPr>
        <w:jc w:val="both"/>
        <w:rPr>
          <w:lang w:val="en-GB"/>
        </w:rPr>
      </w:pPr>
      <w:r w:rsidRPr="00AD70DE">
        <w:rPr>
          <w:lang w:val="en-GB"/>
        </w:rPr>
        <w:t>Hypersensitivity to the active substance, 4-aminoquinoline or to any of the excipients</w:t>
      </w:r>
    </w:p>
    <w:p w:rsidR="009C32E7" w:rsidRPr="00AD70DE" w:rsidRDefault="009C32E7" w:rsidP="00AD70DE">
      <w:pPr>
        <w:pStyle w:val="Listenabsatz"/>
        <w:numPr>
          <w:ilvl w:val="0"/>
          <w:numId w:val="15"/>
        </w:numPr>
        <w:jc w:val="both"/>
        <w:rPr>
          <w:lang w:val="en-GB"/>
        </w:rPr>
      </w:pPr>
      <w:r w:rsidRPr="00AD70DE">
        <w:rPr>
          <w:lang w:val="en-GB"/>
        </w:rPr>
        <w:t>Retinopathy or maculopathy</w:t>
      </w:r>
    </w:p>
    <w:p w:rsidR="009C32E7" w:rsidRPr="00AD70DE" w:rsidRDefault="009C32E7" w:rsidP="00AD70DE">
      <w:pPr>
        <w:pStyle w:val="Listenabsatz"/>
        <w:numPr>
          <w:ilvl w:val="0"/>
          <w:numId w:val="15"/>
        </w:numPr>
        <w:jc w:val="both"/>
        <w:rPr>
          <w:lang w:val="en-GB"/>
        </w:rPr>
      </w:pPr>
      <w:r w:rsidRPr="00AD70DE">
        <w:rPr>
          <w:lang w:val="en-GB"/>
        </w:rPr>
        <w:t>Glucose-6-phosphat-dehydrogenase deficiency (fauvism, haemolytic anaemia)</w:t>
      </w:r>
    </w:p>
    <w:p w:rsidR="009C32E7" w:rsidRPr="00AD70DE" w:rsidRDefault="009C32E7" w:rsidP="00AD70DE">
      <w:pPr>
        <w:pStyle w:val="Listenabsatz"/>
        <w:numPr>
          <w:ilvl w:val="0"/>
          <w:numId w:val="15"/>
        </w:numPr>
        <w:jc w:val="both"/>
        <w:rPr>
          <w:lang w:val="en-GB"/>
        </w:rPr>
      </w:pPr>
      <w:r w:rsidRPr="00AD70DE">
        <w:rPr>
          <w:lang w:val="en-GB"/>
        </w:rPr>
        <w:t>Diseases of the haematopoietic system</w:t>
      </w:r>
    </w:p>
    <w:p w:rsidR="009C32E7" w:rsidRPr="00AD70DE" w:rsidRDefault="009C32E7" w:rsidP="00AD70DE">
      <w:pPr>
        <w:pStyle w:val="Listenabsatz"/>
        <w:numPr>
          <w:ilvl w:val="0"/>
          <w:numId w:val="15"/>
        </w:numPr>
        <w:jc w:val="both"/>
        <w:rPr>
          <w:lang w:val="en-GB"/>
        </w:rPr>
      </w:pPr>
      <w:r w:rsidRPr="00AD70DE">
        <w:rPr>
          <w:lang w:val="en-GB"/>
        </w:rPr>
        <w:t>Myasthenia gravis</w:t>
      </w:r>
    </w:p>
    <w:p w:rsidR="009C32E7" w:rsidRPr="00AD70DE" w:rsidRDefault="009C32E7" w:rsidP="00AD70DE">
      <w:pPr>
        <w:pStyle w:val="Listenabsatz"/>
        <w:numPr>
          <w:ilvl w:val="0"/>
          <w:numId w:val="15"/>
        </w:numPr>
        <w:jc w:val="both"/>
        <w:rPr>
          <w:lang w:val="en-GB"/>
        </w:rPr>
      </w:pPr>
      <w:r w:rsidRPr="00AD70DE">
        <w:rPr>
          <w:lang w:val="en-GB"/>
        </w:rPr>
        <w:t>During pregnancy (except for treatment of malaria)</w:t>
      </w:r>
    </w:p>
    <w:p w:rsidR="009C32E7" w:rsidRPr="00AD70DE" w:rsidRDefault="009C32E7" w:rsidP="00AD70DE">
      <w:pPr>
        <w:pStyle w:val="Listenabsatz"/>
        <w:numPr>
          <w:ilvl w:val="0"/>
          <w:numId w:val="15"/>
        </w:numPr>
        <w:jc w:val="both"/>
        <w:rPr>
          <w:lang w:val="en-GB"/>
        </w:rPr>
      </w:pPr>
      <w:r w:rsidRPr="00AD70DE">
        <w:rPr>
          <w:lang w:val="en-GB"/>
        </w:rPr>
        <w:t>While breastfeeding</w:t>
      </w:r>
    </w:p>
    <w:p w:rsidR="009C32E7" w:rsidRPr="00AD70DE" w:rsidRDefault="009C32E7" w:rsidP="00AD70DE">
      <w:pPr>
        <w:pStyle w:val="Listenabsatz"/>
        <w:numPr>
          <w:ilvl w:val="0"/>
          <w:numId w:val="15"/>
        </w:numPr>
        <w:jc w:val="both"/>
        <w:rPr>
          <w:lang w:val="en-GB"/>
        </w:rPr>
      </w:pPr>
      <w:r w:rsidRPr="00AD70DE">
        <w:rPr>
          <w:lang w:val="en-GB"/>
        </w:rPr>
        <w:t>Children under the age of 6 y (&lt; 35 kg)</w:t>
      </w:r>
    </w:p>
    <w:p w:rsidR="009C32E7" w:rsidRPr="00AD70DE" w:rsidRDefault="009C32E7" w:rsidP="00AD70DE">
      <w:pPr>
        <w:pStyle w:val="111Formatvorlage"/>
        <w:keepNext w:val="0"/>
        <w:keepLines w:val="0"/>
        <w:numPr>
          <w:ilvl w:val="2"/>
          <w:numId w:val="3"/>
        </w:numPr>
        <w:spacing w:line="240" w:lineRule="exact"/>
        <w:ind w:left="993" w:hanging="993"/>
      </w:pPr>
      <w:r w:rsidRPr="00AD70DE">
        <w:t>Pregnancy precaution</w:t>
      </w:r>
    </w:p>
    <w:p w:rsidR="009C32E7" w:rsidRPr="00AD70DE" w:rsidRDefault="009C32E7" w:rsidP="00AD70DE">
      <w:pPr>
        <w:rPr>
          <w:lang w:val="en-US"/>
        </w:rPr>
      </w:pPr>
      <w:r w:rsidRPr="00AD70DE">
        <w:rPr>
          <w:lang w:val="en-US"/>
        </w:rPr>
        <w:t>HCQ is contraindicated during pregnancy unless given for the prophylaxis or treatment of malaria, which is an adverse disease itself for pregnant women. Epidemiological studies did not show a significantly increased risk for congenital malformation or negative course of pregnancy under HCQ. However, the structurally similar chloroquine showed an increased risk for congenital malformation, reproductive toxicity and genotoxicity. The manufacturer requests contraception during therapy and at least 3 months after end of therapy. As HCQ is the drug with the highest prenatal toxicity risk, the requirements for HCQ are the leading requirements for pregnancy prevention in this trial. Therefore volunteers must practice adequate contraception with a highly effective measure (women) and an effective measure (men) for the duration of the study and at least 3 months thereafter.</w:t>
      </w:r>
    </w:p>
    <w:p w:rsidR="009C32E7" w:rsidRPr="00AD70DE" w:rsidRDefault="009C32E7" w:rsidP="00AD70DE">
      <w:pPr>
        <w:pStyle w:val="berschrift2"/>
        <w:keepNext w:val="0"/>
        <w:keepLines w:val="0"/>
        <w:spacing w:before="240"/>
        <w:ind w:left="567" w:hanging="567"/>
        <w:rPr>
          <w:color w:val="auto"/>
        </w:rPr>
      </w:pPr>
      <w:bookmarkStart w:id="1637" w:name="_Toc37173061"/>
      <w:bookmarkStart w:id="1638" w:name="_Toc37243455"/>
      <w:r w:rsidRPr="00AD70DE">
        <w:rPr>
          <w:color w:val="auto"/>
        </w:rPr>
        <w:t>Pantoprazole</w:t>
      </w:r>
      <w:bookmarkEnd w:id="1637"/>
      <w:bookmarkEnd w:id="1638"/>
    </w:p>
    <w:p w:rsidR="009C32E7" w:rsidRPr="00AD70DE" w:rsidRDefault="009C32E7" w:rsidP="00AD70DE">
      <w:pPr>
        <w:rPr>
          <w:rFonts w:cs="Calibri"/>
          <w:lang w:val="en-GB" w:eastAsia="de-DE"/>
        </w:rPr>
      </w:pPr>
      <w:r w:rsidRPr="00AD70DE">
        <w:rPr>
          <w:rFonts w:cs="Calibri"/>
          <w:lang w:val="en-GB" w:eastAsia="de-DE"/>
        </w:rPr>
        <w:t xml:space="preserve">Pantoprazol HEXAL, 40 mg tablets, marketed drug available from </w:t>
      </w:r>
      <w:proofErr w:type="spellStart"/>
      <w:r w:rsidRPr="00AD70DE">
        <w:rPr>
          <w:rFonts w:cs="Calibri"/>
          <w:lang w:val="en-GB" w:eastAsia="de-DE"/>
        </w:rPr>
        <w:t>Hexal</w:t>
      </w:r>
      <w:proofErr w:type="spellEnd"/>
      <w:r w:rsidRPr="00AD70DE">
        <w:rPr>
          <w:rFonts w:cs="Calibri"/>
          <w:lang w:val="en-GB" w:eastAsia="de-DE"/>
        </w:rPr>
        <w:t xml:space="preserve"> AG, </w:t>
      </w:r>
      <w:proofErr w:type="spellStart"/>
      <w:r w:rsidRPr="00AD70DE">
        <w:rPr>
          <w:rFonts w:cs="Calibri"/>
          <w:lang w:val="en-GB" w:eastAsia="de-DE"/>
        </w:rPr>
        <w:t>Industriestraße</w:t>
      </w:r>
      <w:proofErr w:type="spellEnd"/>
      <w:r w:rsidRPr="00AD70DE">
        <w:rPr>
          <w:rFonts w:cs="Calibri"/>
          <w:lang w:val="en-GB" w:eastAsia="de-DE"/>
        </w:rPr>
        <w:t xml:space="preserve"> 25, </w:t>
      </w:r>
      <w:proofErr w:type="gramStart"/>
      <w:r w:rsidRPr="00AD70DE">
        <w:rPr>
          <w:rFonts w:cs="Calibri"/>
          <w:lang w:val="en-GB" w:eastAsia="de-DE"/>
        </w:rPr>
        <w:t>83607</w:t>
      </w:r>
      <w:proofErr w:type="gramEnd"/>
      <w:r w:rsidRPr="00AD70DE">
        <w:rPr>
          <w:rFonts w:cs="Calibri"/>
          <w:lang w:val="en-GB" w:eastAsia="de-DE"/>
        </w:rPr>
        <w:t xml:space="preserve"> </w:t>
      </w:r>
      <w:proofErr w:type="spellStart"/>
      <w:r w:rsidRPr="00AD70DE">
        <w:rPr>
          <w:rFonts w:cs="Calibri"/>
          <w:lang w:val="en-GB" w:eastAsia="de-DE"/>
        </w:rPr>
        <w:t>Holzkirchen</w:t>
      </w:r>
      <w:proofErr w:type="spellEnd"/>
      <w:r w:rsidRPr="00AD70DE">
        <w:rPr>
          <w:rFonts w:cs="Calibri"/>
          <w:lang w:val="en-GB" w:eastAsia="de-DE"/>
        </w:rPr>
        <w:t>.</w:t>
      </w:r>
    </w:p>
    <w:p w:rsidR="009C32E7" w:rsidRPr="00AD70DE" w:rsidRDefault="009C32E7" w:rsidP="00AD70DE">
      <w:pPr>
        <w:pStyle w:val="Beschriftung"/>
        <w:keepNext/>
        <w:keepLines/>
        <w:spacing w:after="160" w:line="259" w:lineRule="auto"/>
        <w:rPr>
          <w:rFonts w:cs="Arial"/>
          <w:color w:val="000000"/>
          <w:sz w:val="22"/>
          <w:szCs w:val="22"/>
          <w:lang w:val="en-GB"/>
        </w:rPr>
      </w:pPr>
      <w:r w:rsidRPr="00AD70DE">
        <w:rPr>
          <w:color w:val="000000"/>
          <w:sz w:val="22"/>
          <w:szCs w:val="22"/>
          <w:lang w:val="en-GB"/>
        </w:rPr>
        <w:t>Table 4:</w:t>
      </w:r>
      <w:r w:rsidRPr="00AD70DE">
        <w:rPr>
          <w:color w:val="000000"/>
          <w:lang w:val="en-GB"/>
        </w:rPr>
        <w:t xml:space="preserve"> </w:t>
      </w:r>
      <w:r w:rsidRPr="00AD70DE">
        <w:rPr>
          <w:rFonts w:cs="Arial"/>
          <w:b w:val="0"/>
          <w:color w:val="000000"/>
          <w:sz w:val="22"/>
          <w:szCs w:val="22"/>
          <w:lang w:val="en-GB"/>
        </w:rPr>
        <w:t>pantoprazole drug information</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81"/>
        <w:gridCol w:w="6449"/>
      </w:tblGrid>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Marketed name:</w:t>
            </w:r>
          </w:p>
        </w:tc>
        <w:tc>
          <w:tcPr>
            <w:tcW w:w="6449" w:type="dxa"/>
            <w:vAlign w:val="center"/>
          </w:tcPr>
          <w:p w:rsidR="009C32E7" w:rsidRPr="00AD70DE" w:rsidRDefault="009C32E7" w:rsidP="00AD70DE">
            <w:pPr>
              <w:spacing w:after="120" w:line="276" w:lineRule="auto"/>
              <w:rPr>
                <w:rFonts w:cs="Arial"/>
                <w:lang w:val="en-GB" w:eastAsia="de-DE"/>
              </w:rPr>
            </w:pPr>
            <w:r w:rsidRPr="00AD70DE">
              <w:rPr>
                <w:rFonts w:cs="Arial"/>
                <w:lang w:val="en-GB"/>
              </w:rPr>
              <w:t xml:space="preserve">Pantoprazol HEXAL® 40 mg </w:t>
            </w:r>
            <w:proofErr w:type="spellStart"/>
            <w:r w:rsidRPr="00AD70DE">
              <w:rPr>
                <w:rFonts w:cs="Arial"/>
                <w:lang w:val="en-GB"/>
              </w:rPr>
              <w:t>Tabletten</w:t>
            </w:r>
            <w:proofErr w:type="spellEnd"/>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 xml:space="preserve">INN: </w:t>
            </w:r>
          </w:p>
        </w:tc>
        <w:tc>
          <w:tcPr>
            <w:tcW w:w="6449" w:type="dxa"/>
            <w:vAlign w:val="center"/>
          </w:tcPr>
          <w:p w:rsidR="009C32E7" w:rsidRPr="00AD70DE" w:rsidRDefault="009C32E7" w:rsidP="00AD70DE">
            <w:pPr>
              <w:spacing w:after="120" w:line="276" w:lineRule="auto"/>
              <w:rPr>
                <w:rFonts w:cs="Arial"/>
                <w:lang w:val="en-GB" w:eastAsia="de-DE"/>
              </w:rPr>
            </w:pPr>
            <w:r w:rsidRPr="00AD70DE">
              <w:rPr>
                <w:rFonts w:cs="Arial"/>
                <w:lang w:val="en-GB"/>
              </w:rPr>
              <w:t>Pantoprazole</w:t>
            </w:r>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ATC code, if officially registered:</w:t>
            </w:r>
          </w:p>
        </w:tc>
        <w:tc>
          <w:tcPr>
            <w:tcW w:w="6449" w:type="dxa"/>
            <w:vAlign w:val="center"/>
          </w:tcPr>
          <w:p w:rsidR="009C32E7" w:rsidRPr="00AD70DE" w:rsidRDefault="009C32E7" w:rsidP="00AD70DE">
            <w:pPr>
              <w:spacing w:after="120" w:line="276" w:lineRule="auto"/>
              <w:rPr>
                <w:rFonts w:cs="Arial"/>
                <w:lang w:val="en-GB" w:eastAsia="de-DE"/>
              </w:rPr>
            </w:pPr>
            <w:r w:rsidRPr="00AD70DE">
              <w:rPr>
                <w:rFonts w:cs="Arial"/>
                <w:lang w:val="en-GB"/>
              </w:rPr>
              <w:t>A02BC02</w:t>
            </w:r>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Manufacturer:</w:t>
            </w:r>
          </w:p>
        </w:tc>
        <w:tc>
          <w:tcPr>
            <w:tcW w:w="6449" w:type="dxa"/>
            <w:vAlign w:val="center"/>
          </w:tcPr>
          <w:p w:rsidR="009C32E7" w:rsidRPr="00AD70DE" w:rsidRDefault="009C32E7" w:rsidP="00AD70DE">
            <w:pPr>
              <w:rPr>
                <w:rFonts w:cs="Calibri"/>
                <w:lang w:val="en-GB" w:eastAsia="de-DE"/>
              </w:rPr>
            </w:pPr>
            <w:proofErr w:type="spellStart"/>
            <w:r w:rsidRPr="00AD70DE">
              <w:rPr>
                <w:rFonts w:cs="Calibri"/>
                <w:lang w:val="en-GB" w:eastAsia="de-DE"/>
              </w:rPr>
              <w:t>Hexal</w:t>
            </w:r>
            <w:proofErr w:type="spellEnd"/>
            <w:r w:rsidRPr="00AD70DE">
              <w:rPr>
                <w:rFonts w:cs="Calibri"/>
                <w:lang w:val="en-GB" w:eastAsia="de-DE"/>
              </w:rPr>
              <w:t xml:space="preserve"> AG, </w:t>
            </w:r>
            <w:proofErr w:type="spellStart"/>
            <w:r w:rsidRPr="00AD70DE">
              <w:rPr>
                <w:rFonts w:cs="Calibri"/>
                <w:lang w:val="en-GB" w:eastAsia="de-DE"/>
              </w:rPr>
              <w:t>Industriestraße</w:t>
            </w:r>
            <w:proofErr w:type="spellEnd"/>
            <w:r w:rsidRPr="00AD70DE">
              <w:rPr>
                <w:rFonts w:cs="Calibri"/>
                <w:lang w:val="en-GB" w:eastAsia="de-DE"/>
              </w:rPr>
              <w:t xml:space="preserve"> 25, 83607 </w:t>
            </w:r>
            <w:proofErr w:type="spellStart"/>
            <w:r w:rsidRPr="00AD70DE">
              <w:rPr>
                <w:rFonts w:cs="Calibri"/>
                <w:lang w:val="en-GB" w:eastAsia="de-DE"/>
              </w:rPr>
              <w:t>Holzkirchen</w:t>
            </w:r>
            <w:proofErr w:type="spellEnd"/>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Pharmaceutical formulation:</w:t>
            </w:r>
          </w:p>
        </w:tc>
        <w:tc>
          <w:tcPr>
            <w:tcW w:w="6449" w:type="dxa"/>
            <w:vAlign w:val="center"/>
          </w:tcPr>
          <w:p w:rsidR="009C32E7" w:rsidRPr="00AD70DE" w:rsidRDefault="009C32E7" w:rsidP="00AD70DE">
            <w:pPr>
              <w:spacing w:after="120" w:line="276" w:lineRule="auto"/>
              <w:rPr>
                <w:rFonts w:cs="Arial"/>
                <w:lang w:val="en-GB" w:eastAsia="de-DE"/>
              </w:rPr>
            </w:pPr>
            <w:r w:rsidRPr="00AD70DE">
              <w:rPr>
                <w:rFonts w:cs="Arial"/>
                <w:lang w:val="en-GB"/>
              </w:rPr>
              <w:t xml:space="preserve">Tablet </w:t>
            </w:r>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rPr>
            </w:pPr>
            <w:r w:rsidRPr="00AD70DE">
              <w:rPr>
                <w:rFonts w:cs="Arial"/>
                <w:lang w:val="en-GB"/>
              </w:rPr>
              <w:t>Dosage:</w:t>
            </w:r>
          </w:p>
        </w:tc>
        <w:tc>
          <w:tcPr>
            <w:tcW w:w="6449" w:type="dxa"/>
            <w:vAlign w:val="center"/>
          </w:tcPr>
          <w:p w:rsidR="009C32E7" w:rsidRPr="00AD70DE" w:rsidRDefault="009C32E7" w:rsidP="00AD70DE">
            <w:pPr>
              <w:spacing w:after="120" w:line="276" w:lineRule="auto"/>
              <w:rPr>
                <w:rFonts w:cs="Arial"/>
                <w:lang w:val="en-GB"/>
              </w:rPr>
            </w:pPr>
            <w:r w:rsidRPr="00AD70DE">
              <w:rPr>
                <w:rFonts w:cs="Arial"/>
                <w:lang w:val="en-GB"/>
              </w:rPr>
              <w:t>40 mg</w:t>
            </w:r>
          </w:p>
          <w:p w:rsidR="009C32E7" w:rsidRPr="00AD70DE" w:rsidRDefault="009C32E7" w:rsidP="00AD70DE">
            <w:pPr>
              <w:spacing w:after="120" w:line="276" w:lineRule="auto"/>
              <w:rPr>
                <w:rFonts w:cs="Arial"/>
                <w:lang w:val="en-GB"/>
              </w:rPr>
            </w:pPr>
            <w:r w:rsidRPr="00AD70DE">
              <w:rPr>
                <w:rFonts w:cs="Arial"/>
                <w:lang w:val="en-GB" w:eastAsia="de-DE"/>
              </w:rPr>
              <w:t>No dose adjustments are planned.</w:t>
            </w:r>
          </w:p>
        </w:tc>
      </w:tr>
      <w:tr w:rsidR="009C32E7" w:rsidRPr="00AD70DE" w:rsidTr="008355A9">
        <w:trPr>
          <w:cantSplit/>
        </w:trPr>
        <w:tc>
          <w:tcPr>
            <w:tcW w:w="2481" w:type="dxa"/>
            <w:vAlign w:val="center"/>
          </w:tcPr>
          <w:p w:rsidR="009C32E7" w:rsidRPr="00AD70DE" w:rsidRDefault="009C32E7" w:rsidP="00AD70DE">
            <w:pPr>
              <w:spacing w:after="120" w:line="276" w:lineRule="auto"/>
              <w:rPr>
                <w:rFonts w:cs="Arial"/>
                <w:lang w:val="en-GB" w:eastAsia="de-DE"/>
              </w:rPr>
            </w:pPr>
            <w:r w:rsidRPr="00AD70DE">
              <w:rPr>
                <w:rFonts w:cs="Arial"/>
                <w:lang w:val="en-GB"/>
              </w:rPr>
              <w:t>Mode of administration:</w:t>
            </w:r>
          </w:p>
        </w:tc>
        <w:tc>
          <w:tcPr>
            <w:tcW w:w="6449" w:type="dxa"/>
            <w:vAlign w:val="center"/>
          </w:tcPr>
          <w:p w:rsidR="009C32E7" w:rsidRPr="00AD70DE" w:rsidRDefault="009C32E7" w:rsidP="00AD70DE">
            <w:pPr>
              <w:spacing w:after="120" w:line="276" w:lineRule="auto"/>
              <w:rPr>
                <w:rFonts w:cs="Arial"/>
                <w:lang w:val="en-GB" w:eastAsia="de-DE"/>
              </w:rPr>
            </w:pPr>
            <w:r w:rsidRPr="00AD70DE">
              <w:rPr>
                <w:rFonts w:cs="Arial"/>
                <w:lang w:val="en-GB"/>
              </w:rPr>
              <w:t>Oral before a meal.</w:t>
            </w:r>
          </w:p>
        </w:tc>
      </w:tr>
      <w:tr w:rsidR="009C32E7" w:rsidRPr="00AD70DE" w:rsidTr="008355A9">
        <w:trPr>
          <w:cantSplit/>
        </w:trPr>
        <w:tc>
          <w:tcPr>
            <w:tcW w:w="2481" w:type="dxa"/>
          </w:tcPr>
          <w:p w:rsidR="009C32E7" w:rsidRPr="00AD70DE" w:rsidRDefault="009C32E7" w:rsidP="00AD70DE">
            <w:pPr>
              <w:keepNext/>
              <w:spacing w:after="120" w:line="276" w:lineRule="auto"/>
              <w:rPr>
                <w:rFonts w:cs="Arial"/>
                <w:lang w:val="en-GB" w:eastAsia="de-DE"/>
              </w:rPr>
            </w:pPr>
            <w:r w:rsidRPr="00AD70DE">
              <w:rPr>
                <w:rFonts w:cs="Arial"/>
                <w:lang w:val="en-GB"/>
              </w:rPr>
              <w:t>Storage instructions:</w:t>
            </w:r>
          </w:p>
        </w:tc>
        <w:tc>
          <w:tcPr>
            <w:tcW w:w="6449" w:type="dxa"/>
            <w:vAlign w:val="center"/>
          </w:tcPr>
          <w:p w:rsidR="009C32E7" w:rsidRPr="00AD70DE" w:rsidRDefault="009C32E7" w:rsidP="00AD70DE">
            <w:pPr>
              <w:spacing w:after="120" w:line="276" w:lineRule="auto"/>
              <w:rPr>
                <w:rFonts w:cs="Arial"/>
                <w:lang w:val="en-GB" w:eastAsia="de-DE"/>
              </w:rPr>
            </w:pPr>
            <w:r w:rsidRPr="00AD70DE">
              <w:rPr>
                <w:rFonts w:cs="Arial"/>
                <w:lang w:val="en-GB" w:eastAsia="de-DE"/>
              </w:rPr>
              <w:t>No specific storage instructions</w:t>
            </w:r>
          </w:p>
        </w:tc>
      </w:tr>
    </w:tbl>
    <w:p w:rsidR="009C32E7" w:rsidRPr="00AD70DE" w:rsidRDefault="009C32E7" w:rsidP="00AD70DE">
      <w:pPr>
        <w:rPr>
          <w:rFonts w:cs="Calibri"/>
          <w:lang w:val="en-GB" w:eastAsia="de-DE"/>
        </w:rPr>
      </w:pPr>
    </w:p>
    <w:p w:rsidR="009C32E7" w:rsidRPr="00AD70DE" w:rsidRDefault="009C32E7" w:rsidP="00AD70DE">
      <w:pPr>
        <w:pStyle w:val="111Formatvorlage"/>
        <w:numPr>
          <w:ilvl w:val="2"/>
          <w:numId w:val="3"/>
        </w:numPr>
        <w:spacing w:line="240" w:lineRule="exact"/>
        <w:ind w:left="993" w:hanging="993"/>
      </w:pPr>
      <w:bookmarkStart w:id="1639" w:name="_Toc256002357"/>
      <w:bookmarkStart w:id="1640" w:name="_Toc256002260"/>
      <w:bookmarkStart w:id="1641" w:name="_Toc256002163"/>
      <w:bookmarkStart w:id="1642" w:name="_Toc256002066"/>
      <w:bookmarkStart w:id="1643" w:name="_Toc256001943"/>
      <w:bookmarkStart w:id="1644" w:name="_Toc256001710"/>
      <w:bookmarkStart w:id="1645" w:name="_Toc256001477"/>
      <w:bookmarkStart w:id="1646" w:name="_Toc256001240"/>
      <w:bookmarkStart w:id="1647" w:name="_Toc256001013"/>
      <w:bookmarkStart w:id="1648" w:name="_Toc256000755"/>
      <w:bookmarkStart w:id="1649" w:name="_Toc256000468"/>
      <w:bookmarkStart w:id="1650" w:name="_Toc256000185"/>
      <w:bookmarkStart w:id="1651" w:name="_Toc9613164"/>
      <w:bookmarkStart w:id="1652" w:name="_Toc37173062"/>
      <w:bookmarkStart w:id="1653" w:name="_Toc37243456"/>
      <w:r w:rsidRPr="00AD70DE">
        <w:t>Pharmacological properties</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rsidR="009C32E7" w:rsidRPr="00AD70DE" w:rsidRDefault="009C32E7" w:rsidP="00AD70DE">
      <w:pPr>
        <w:keepNext/>
        <w:keepLines/>
        <w:rPr>
          <w:sz w:val="28"/>
          <w:szCs w:val="28"/>
          <w:lang w:val="en-GB"/>
        </w:rPr>
      </w:pPr>
      <w:r w:rsidRPr="00AD70DE">
        <w:rPr>
          <w:lang w:val="en-GB"/>
        </w:rPr>
        <w:t>Pantoprazole is an inhibitor of the gastric H</w:t>
      </w:r>
      <w:r w:rsidRPr="00AD70DE">
        <w:rPr>
          <w:vertAlign w:val="superscript"/>
          <w:lang w:val="en-GB"/>
        </w:rPr>
        <w:t>+</w:t>
      </w:r>
      <w:r w:rsidRPr="00AD70DE">
        <w:rPr>
          <w:lang w:val="en-GB"/>
        </w:rPr>
        <w:t>/K</w:t>
      </w:r>
      <w:r w:rsidRPr="00AD70DE">
        <w:rPr>
          <w:vertAlign w:val="superscript"/>
          <w:lang w:val="en-GB"/>
        </w:rPr>
        <w:t>+</w:t>
      </w:r>
      <w:r w:rsidRPr="00AD70DE">
        <w:rPr>
          <w:lang w:val="en-GB"/>
        </w:rPr>
        <w:t xml:space="preserve">-ATPase. It is indicated for the treatment of reflux esophagitis, gastric ulcer, and </w:t>
      </w:r>
      <w:proofErr w:type="spellStart"/>
      <w:r w:rsidRPr="00AD70DE">
        <w:rPr>
          <w:lang w:val="en-GB"/>
        </w:rPr>
        <w:t>Zollinger</w:t>
      </w:r>
      <w:proofErr w:type="spellEnd"/>
      <w:r w:rsidRPr="00AD70DE">
        <w:rPr>
          <w:lang w:val="en-GB"/>
        </w:rPr>
        <w:t xml:space="preserve">-Ellison syndrome. </w:t>
      </w:r>
    </w:p>
    <w:p w:rsidR="009C32E7" w:rsidRPr="00AD70DE" w:rsidRDefault="009C32E7" w:rsidP="00AD70DE">
      <w:pPr>
        <w:rPr>
          <w:lang w:val="en-GB" w:eastAsia="de-DE"/>
        </w:rPr>
      </w:pPr>
      <w:r w:rsidRPr="00AD70DE">
        <w:rPr>
          <w:lang w:val="en-GB" w:eastAsia="de-DE"/>
        </w:rPr>
        <w:t xml:space="preserve">Pantoprazole is rapidly absorbed; </w:t>
      </w:r>
      <w:proofErr w:type="spellStart"/>
      <w:r w:rsidRPr="00AD70DE">
        <w:rPr>
          <w:lang w:val="en-GB" w:eastAsia="de-DE"/>
        </w:rPr>
        <w:t>C</w:t>
      </w:r>
      <w:r w:rsidRPr="00AD70DE">
        <w:rPr>
          <w:vertAlign w:val="subscript"/>
          <w:lang w:val="en-GB" w:eastAsia="de-DE"/>
        </w:rPr>
        <w:t>max</w:t>
      </w:r>
      <w:proofErr w:type="spellEnd"/>
      <w:r w:rsidRPr="00AD70DE">
        <w:rPr>
          <w:lang w:val="en-GB" w:eastAsia="de-DE"/>
        </w:rPr>
        <w:t xml:space="preserve"> is reached 2.5 h after ingestion. Absolute oral bioavailability is about 77 %. There is no influence of food intake on bioavailability. About 98 % of circulating </w:t>
      </w:r>
      <w:proofErr w:type="spellStart"/>
      <w:r w:rsidRPr="00AD70DE">
        <w:rPr>
          <w:lang w:val="en-GB" w:eastAsia="de-DE"/>
        </w:rPr>
        <w:t>pantoprazol</w:t>
      </w:r>
      <w:proofErr w:type="spellEnd"/>
      <w:r w:rsidRPr="00AD70DE">
        <w:rPr>
          <w:lang w:val="en-GB" w:eastAsia="de-DE"/>
        </w:rPr>
        <w:t xml:space="preserve"> is bound by plasma proteins. The volume of distribution is about 0.15 l/kg. Pantoprazole is primarily metabolized by CYP2C19, to a lesser extent by CYP3A4. The metabolites are excreted mainly by the kidneys (approx. 80 %). In patients with CYP2C19 deficiency (“poor metabolizers”), maximal plasma concentration is increased by about 60 %. Terminal elimination half-time is about 1 h with a clearance of about 0.1 l / h / kg. The elimination does not correlate with the duration of efficacy, which is determined by the irreversible binding of pantoprazole to the gastric parietal cells. </w:t>
      </w:r>
      <w:r w:rsidRPr="00AD70DE">
        <w:rPr>
          <w:noProof/>
          <w:lang w:val="en-GB" w:eastAsia="de-DE"/>
        </w:rPr>
        <w:t>[6]</w:t>
      </w:r>
    </w:p>
    <w:p w:rsidR="009C32E7" w:rsidRPr="00AD70DE" w:rsidRDefault="009C32E7" w:rsidP="00AD70DE">
      <w:pPr>
        <w:pStyle w:val="111Formatvorlage"/>
        <w:numPr>
          <w:ilvl w:val="2"/>
          <w:numId w:val="3"/>
        </w:numPr>
        <w:spacing w:line="240" w:lineRule="exact"/>
        <w:ind w:left="993" w:hanging="993"/>
      </w:pPr>
      <w:bookmarkStart w:id="1654" w:name="_Toc256002358"/>
      <w:bookmarkStart w:id="1655" w:name="_Toc256002261"/>
      <w:bookmarkStart w:id="1656" w:name="_Toc256002164"/>
      <w:bookmarkStart w:id="1657" w:name="_Toc256002067"/>
      <w:bookmarkStart w:id="1658" w:name="_Toc256001945"/>
      <w:bookmarkStart w:id="1659" w:name="_Toc256001715"/>
      <w:bookmarkStart w:id="1660" w:name="_Toc256001478"/>
      <w:bookmarkStart w:id="1661" w:name="_Toc256001243"/>
      <w:bookmarkStart w:id="1662" w:name="_Toc256001014"/>
      <w:bookmarkStart w:id="1663" w:name="_Toc256000762"/>
      <w:bookmarkStart w:id="1664" w:name="_Toc256000469"/>
      <w:bookmarkStart w:id="1665" w:name="_Toc256000187"/>
      <w:bookmarkStart w:id="1666" w:name="_Toc9613165"/>
      <w:bookmarkStart w:id="1667" w:name="_Toc37173063"/>
      <w:bookmarkStart w:id="1668" w:name="_Toc37243457"/>
      <w:r w:rsidRPr="00AD70DE">
        <w:t>Packaging, labelling, and supply</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rsidR="009C32E7" w:rsidRPr="00AD70DE" w:rsidRDefault="009C32E7" w:rsidP="00AD70DE">
      <w:pPr>
        <w:keepNext/>
        <w:keepLines/>
        <w:rPr>
          <w:lang w:val="en-GB" w:eastAsia="de-DE"/>
        </w:rPr>
      </w:pPr>
      <w:r w:rsidRPr="00AD70DE">
        <w:rPr>
          <w:lang w:val="en-GB" w:eastAsia="de-DE"/>
        </w:rPr>
        <w:t>The trial medication is a marketed product. There will be no trial-specific labelling for pantoprazole because this drug is approved for human use in Germany and will be used in unchanged marketed form</w:t>
      </w:r>
      <w:r w:rsidRPr="00AD70DE">
        <w:rPr>
          <w:snapToGrid w:val="0"/>
          <w:lang w:val="en-GB"/>
        </w:rPr>
        <w:t>.</w:t>
      </w:r>
      <w:r w:rsidRPr="00AD70DE">
        <w:rPr>
          <w:lang w:val="en-GB" w:eastAsia="de-DE"/>
        </w:rPr>
        <w:t xml:space="preserve"> </w:t>
      </w:r>
    </w:p>
    <w:p w:rsidR="009C32E7" w:rsidRPr="00AD70DE" w:rsidRDefault="009C32E7" w:rsidP="00AD70DE">
      <w:pPr>
        <w:rPr>
          <w:lang w:val="en-GB" w:eastAsia="de-DE"/>
        </w:rPr>
      </w:pPr>
      <w:r w:rsidRPr="00AD70DE">
        <w:rPr>
          <w:lang w:val="en-GB" w:eastAsia="de-DE"/>
        </w:rPr>
        <w:t>The investigator will confirm correct receipt of the trial medication in writing and ensure that the medication is safely and correctly stored. The investigator will document the use of the trial medication. The site monitor will periodically check the supplies of trial medication held by the investigator to ensure the correct accountability of all trial medication used. At EOT, all unused trial medication will be completely will be completely destroyed or may be transferred for research use to a research facility, both options will be documented. It will be assured that a final report of the drug accountability is prepared and maintained by the investigator.</w:t>
      </w:r>
    </w:p>
    <w:p w:rsidR="009C32E7" w:rsidRPr="00AD70DE" w:rsidRDefault="009C32E7" w:rsidP="00AD70DE">
      <w:pPr>
        <w:pStyle w:val="111Formatvorlage"/>
        <w:keepNext w:val="0"/>
        <w:keepLines w:val="0"/>
        <w:numPr>
          <w:ilvl w:val="2"/>
          <w:numId w:val="3"/>
        </w:numPr>
        <w:spacing w:line="240" w:lineRule="exact"/>
        <w:ind w:left="993" w:hanging="993"/>
      </w:pPr>
      <w:bookmarkStart w:id="1669" w:name="_Toc37173064"/>
      <w:bookmarkStart w:id="1670" w:name="_Toc37243458"/>
      <w:r w:rsidRPr="00AD70DE">
        <w:t>Administration of trial medication</w:t>
      </w:r>
      <w:bookmarkEnd w:id="1669"/>
      <w:bookmarkEnd w:id="1670"/>
    </w:p>
    <w:p w:rsidR="009C32E7" w:rsidRPr="00AD70DE" w:rsidRDefault="009C32E7" w:rsidP="00AD70DE">
      <w:pPr>
        <w:rPr>
          <w:rFonts w:cs="Arial"/>
          <w:lang w:val="en-GB"/>
        </w:rPr>
      </w:pPr>
      <w:r w:rsidRPr="00AD70DE">
        <w:rPr>
          <w:lang w:val="en-GB" w:eastAsia="de-DE"/>
        </w:rPr>
        <w:t xml:space="preserve">Participants will receive 40 mg of pantoprazole, which will be taken from day 1-9. On V1/day 1 pantoprazole will be taken after PK sampling. Pantoprazole will be taken 1 h before a meal, usually breakfast. On V2/day 6, pantoprazole will be taken 1 h before breakfast and </w:t>
      </w:r>
      <w:proofErr w:type="spellStart"/>
      <w:r w:rsidRPr="00AD70DE">
        <w:rPr>
          <w:lang w:val="en-GB" w:eastAsia="de-DE"/>
        </w:rPr>
        <w:t>HCQtogether</w:t>
      </w:r>
      <w:proofErr w:type="spellEnd"/>
      <w:r w:rsidRPr="00AD70DE">
        <w:rPr>
          <w:lang w:val="en-GB" w:eastAsia="de-DE"/>
        </w:rPr>
        <w:t xml:space="preserve"> with breakfast. On day 2-5, and 7-9 pantoprazole must be taken at home 1 h before breakfast. </w:t>
      </w:r>
      <w:r w:rsidRPr="00AD70DE">
        <w:rPr>
          <w:rFonts w:cs="Arial"/>
          <w:lang w:val="en-GB"/>
        </w:rPr>
        <w:t xml:space="preserve">No dose adjustments are planned. </w:t>
      </w:r>
    </w:p>
    <w:p w:rsidR="009C32E7" w:rsidRPr="00AD70DE" w:rsidRDefault="009C32E7" w:rsidP="00AD70DE">
      <w:pPr>
        <w:pStyle w:val="111Formatvorlage"/>
        <w:keepNext w:val="0"/>
        <w:numPr>
          <w:ilvl w:val="2"/>
          <w:numId w:val="3"/>
        </w:numPr>
        <w:spacing w:line="240" w:lineRule="exact"/>
        <w:ind w:left="993" w:hanging="993"/>
      </w:pPr>
      <w:bookmarkStart w:id="1671" w:name="_Toc256002359"/>
      <w:bookmarkStart w:id="1672" w:name="_Toc256002262"/>
      <w:bookmarkStart w:id="1673" w:name="_Toc256002165"/>
      <w:bookmarkStart w:id="1674" w:name="_Toc256002068"/>
      <w:bookmarkStart w:id="1675" w:name="_Toc256001946"/>
      <w:bookmarkStart w:id="1676" w:name="_Toc256001721"/>
      <w:bookmarkStart w:id="1677" w:name="_Toc256001479"/>
      <w:bookmarkStart w:id="1678" w:name="_Toc256001248"/>
      <w:bookmarkStart w:id="1679" w:name="_Toc256001015"/>
      <w:bookmarkStart w:id="1680" w:name="_Toc256000763"/>
      <w:bookmarkStart w:id="1681" w:name="_Toc256000470"/>
      <w:bookmarkStart w:id="1682" w:name="_Toc256000188"/>
      <w:bookmarkStart w:id="1683" w:name="_Toc9613166"/>
      <w:bookmarkStart w:id="1684" w:name="_Toc37173065"/>
      <w:bookmarkStart w:id="1685" w:name="_Toc37243459"/>
      <w:r w:rsidRPr="00AD70DE">
        <w:t>Adherence and drug accountability</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rsidR="009C32E7" w:rsidRPr="00AD70DE" w:rsidRDefault="009C32E7" w:rsidP="00AD70DE">
      <w:pPr>
        <w:rPr>
          <w:rFonts w:cs="Arial"/>
          <w:lang w:val="en-GB"/>
        </w:rPr>
      </w:pPr>
      <w:r w:rsidRPr="00AD70DE">
        <w:rPr>
          <w:rFonts w:cs="Arial"/>
          <w:lang w:val="en-GB"/>
        </w:rPr>
        <w:t>On V1 and V2, drugs will be administered by the investigator. On all other days, the participants are responsible for correct administration; intake will be documented in a diary. A drug accountability log will document the use of drug throughout the study.</w:t>
      </w:r>
    </w:p>
    <w:p w:rsidR="009C32E7" w:rsidRPr="00AD70DE" w:rsidRDefault="009C32E7" w:rsidP="00AD70DE">
      <w:pPr>
        <w:pStyle w:val="111Formatvorlage"/>
        <w:numPr>
          <w:ilvl w:val="2"/>
          <w:numId w:val="3"/>
        </w:numPr>
        <w:spacing w:line="240" w:lineRule="exact"/>
        <w:ind w:left="993" w:hanging="993"/>
      </w:pPr>
      <w:bookmarkStart w:id="1686" w:name="_Toc256002360"/>
      <w:bookmarkStart w:id="1687" w:name="_Toc256002263"/>
      <w:bookmarkStart w:id="1688" w:name="_Toc256002166"/>
      <w:bookmarkStart w:id="1689" w:name="_Toc256002069"/>
      <w:bookmarkStart w:id="1690" w:name="_Toc256001947"/>
      <w:bookmarkStart w:id="1691" w:name="_Toc256001724"/>
      <w:bookmarkStart w:id="1692" w:name="_Toc256001480"/>
      <w:bookmarkStart w:id="1693" w:name="_Toc256001249"/>
      <w:bookmarkStart w:id="1694" w:name="_Toc256001016"/>
      <w:bookmarkStart w:id="1695" w:name="_Toc256000770"/>
      <w:bookmarkStart w:id="1696" w:name="_Toc256000473"/>
      <w:bookmarkStart w:id="1697" w:name="_Toc256000189"/>
      <w:bookmarkStart w:id="1698" w:name="_Toc9613167"/>
      <w:bookmarkStart w:id="1699" w:name="_Toc37173066"/>
      <w:bookmarkStart w:id="1700" w:name="_Toc37243460"/>
      <w:r w:rsidRPr="00AD70DE">
        <w:t>Safety and tolerability</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rsidR="009C32E7" w:rsidRPr="00AD70DE" w:rsidRDefault="009C32E7" w:rsidP="00AD70DE">
      <w:pPr>
        <w:keepNext/>
        <w:keepLines/>
        <w:rPr>
          <w:lang w:val="en-GB"/>
        </w:rPr>
      </w:pPr>
      <w:r w:rsidRPr="00AD70DE">
        <w:rPr>
          <w:lang w:val="en-GB"/>
        </w:rPr>
        <w:t xml:space="preserve">After oral administration of pantoprazole, the following AEs are known </w:t>
      </w:r>
      <w:r w:rsidRPr="00AD70DE">
        <w:rPr>
          <w:noProof/>
          <w:lang w:val="en-GB"/>
        </w:rPr>
        <w:t>[6]</w:t>
      </w:r>
      <w:r w:rsidRPr="00AD70DE">
        <w:rPr>
          <w:lang w:val="en-GB"/>
        </w:rPr>
        <w:t>:</w:t>
      </w:r>
    </w:p>
    <w:p w:rsidR="009C32E7" w:rsidRPr="00AD70DE" w:rsidRDefault="009C32E7" w:rsidP="00AD70DE">
      <w:pPr>
        <w:pStyle w:val="Beschriftung"/>
        <w:keepNext/>
        <w:keepLines/>
        <w:spacing w:after="160" w:line="259" w:lineRule="auto"/>
        <w:rPr>
          <w:rFonts w:cs="Arial"/>
          <w:color w:val="000000"/>
          <w:sz w:val="22"/>
          <w:szCs w:val="22"/>
          <w:lang w:val="en-GB"/>
        </w:rPr>
      </w:pPr>
      <w:r w:rsidRPr="00AD70DE">
        <w:rPr>
          <w:color w:val="000000"/>
          <w:sz w:val="22"/>
          <w:szCs w:val="22"/>
          <w:lang w:val="en-GB"/>
        </w:rPr>
        <w:t>Table 5:</w:t>
      </w:r>
      <w:r w:rsidRPr="00AD70DE">
        <w:rPr>
          <w:color w:val="000000"/>
          <w:lang w:val="en-GB"/>
        </w:rPr>
        <w:t xml:space="preserve"> </w:t>
      </w:r>
      <w:r w:rsidRPr="00AD70DE">
        <w:rPr>
          <w:rFonts w:cs="Arial"/>
          <w:b w:val="0"/>
          <w:color w:val="000000"/>
          <w:sz w:val="22"/>
          <w:szCs w:val="22"/>
          <w:lang w:val="en-GB"/>
        </w:rPr>
        <w:t xml:space="preserve">Pantoprazole adverse drug reactions after oral administration of therapeutic doses </w:t>
      </w:r>
      <w:r w:rsidRPr="00AD70DE">
        <w:rPr>
          <w:rFonts w:cs="Arial"/>
          <w:b w:val="0"/>
          <w:noProof/>
          <w:color w:val="000000"/>
          <w:sz w:val="22"/>
          <w:szCs w:val="22"/>
          <w:lang w:val="en-GB"/>
        </w:rPr>
        <w:t>[6]</w:t>
      </w:r>
      <w:r w:rsidRPr="00AD70DE">
        <w:rPr>
          <w:rFonts w:cs="Arial"/>
          <w:b w:val="0"/>
          <w:color w:val="000000"/>
          <w:sz w:val="22"/>
          <w:szCs w:val="22"/>
          <w:lang w:val="en-GB"/>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4"/>
        <w:gridCol w:w="5428"/>
      </w:tblGrid>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Blood und lymphatic system</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Agranulocytosis****. Pancytopenia, thrombocytopenia, leukopenia (all*****). </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Immune system</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Hypersensitivity (including </w:t>
            </w:r>
            <w:proofErr w:type="spellStart"/>
            <w:r w:rsidRPr="00AD70DE">
              <w:rPr>
                <w:sz w:val="20"/>
                <w:szCs w:val="20"/>
                <w:lang w:val="en-GB"/>
              </w:rPr>
              <w:t>anaphylaxia</w:t>
            </w:r>
            <w:proofErr w:type="spellEnd"/>
            <w:r w:rsidRPr="00AD70DE">
              <w:rPr>
                <w:sz w:val="20"/>
                <w:szCs w:val="20"/>
                <w:lang w:val="en-GB"/>
              </w:rPr>
              <w:t>)****</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Endocrine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 xml:space="preserve">Hyperlipidaemia****. Hyponatremia, hypomagnesemia, </w:t>
            </w:r>
            <w:proofErr w:type="spellStart"/>
            <w:r w:rsidRPr="00AD70DE">
              <w:rPr>
                <w:sz w:val="20"/>
                <w:szCs w:val="20"/>
                <w:lang w:val="en-GB"/>
              </w:rPr>
              <w:t>hypocalcemia</w:t>
            </w:r>
            <w:proofErr w:type="spellEnd"/>
            <w:r w:rsidRPr="00AD70DE">
              <w:rPr>
                <w:sz w:val="20"/>
                <w:szCs w:val="20"/>
                <w:lang w:val="en-GB"/>
              </w:rPr>
              <w:t xml:space="preserve">, </w:t>
            </w:r>
            <w:proofErr w:type="spellStart"/>
            <w:r w:rsidRPr="00AD70DE">
              <w:rPr>
                <w:sz w:val="20"/>
                <w:szCs w:val="20"/>
                <w:lang w:val="en-GB"/>
              </w:rPr>
              <w:t>hypokalemia</w:t>
            </w:r>
            <w:proofErr w:type="spellEnd"/>
            <w:r w:rsidRPr="00AD70DE">
              <w:rPr>
                <w:sz w:val="20"/>
                <w:szCs w:val="20"/>
                <w:lang w:val="en-GB"/>
              </w:rPr>
              <w:t xml:space="preserve"> (all******).</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Psychiatric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Sleep disturbances***, depression****, disorientation*****. Hallucinations and confusion (all******).</w:t>
            </w:r>
          </w:p>
        </w:tc>
      </w:tr>
      <w:tr w:rsidR="009C32E7" w:rsidRPr="00AD70DE" w:rsidTr="008355A9">
        <w:tc>
          <w:tcPr>
            <w:tcW w:w="3644" w:type="dxa"/>
          </w:tcPr>
          <w:p w:rsidR="009C32E7" w:rsidRPr="00AD70DE" w:rsidRDefault="009C32E7" w:rsidP="00AD70DE">
            <w:pPr>
              <w:keepNext/>
              <w:keepLines/>
              <w:rPr>
                <w:sz w:val="20"/>
                <w:szCs w:val="20"/>
                <w:lang w:val="en-GB"/>
              </w:rPr>
            </w:pPr>
            <w:r w:rsidRPr="00AD70DE">
              <w:rPr>
                <w:sz w:val="20"/>
                <w:szCs w:val="20"/>
                <w:lang w:val="en-GB"/>
              </w:rPr>
              <w:t>Nervous system disorders</w:t>
            </w:r>
          </w:p>
        </w:tc>
        <w:tc>
          <w:tcPr>
            <w:tcW w:w="5428" w:type="dxa"/>
          </w:tcPr>
          <w:p w:rsidR="009C32E7" w:rsidRPr="00AD70DE" w:rsidRDefault="009C32E7" w:rsidP="00AD70DE">
            <w:pPr>
              <w:keepNext/>
              <w:keepLines/>
              <w:rPr>
                <w:sz w:val="20"/>
                <w:szCs w:val="20"/>
                <w:lang w:val="en-GB"/>
              </w:rPr>
            </w:pPr>
            <w:r w:rsidRPr="00AD70DE">
              <w:rPr>
                <w:sz w:val="20"/>
                <w:szCs w:val="20"/>
                <w:lang w:val="en-GB"/>
              </w:rPr>
              <w:t>Headache***, dizziness***, disturbance/loss of taste****, paraesthesia******.</w:t>
            </w:r>
          </w:p>
        </w:tc>
      </w:tr>
      <w:tr w:rsidR="009C32E7" w:rsidRPr="00AD70DE" w:rsidTr="008355A9">
        <w:tc>
          <w:tcPr>
            <w:tcW w:w="3644" w:type="dxa"/>
          </w:tcPr>
          <w:p w:rsidR="009C32E7" w:rsidRPr="00AD70DE" w:rsidRDefault="009C32E7" w:rsidP="00AD70DE">
            <w:pPr>
              <w:rPr>
                <w:sz w:val="20"/>
                <w:szCs w:val="20"/>
                <w:lang w:val="en-GB"/>
              </w:rPr>
            </w:pPr>
            <w:r w:rsidRPr="00AD70DE">
              <w:rPr>
                <w:sz w:val="20"/>
                <w:szCs w:val="20"/>
                <w:lang w:val="en-GB"/>
              </w:rPr>
              <w:t>Eye disorders</w:t>
            </w:r>
          </w:p>
        </w:tc>
        <w:tc>
          <w:tcPr>
            <w:tcW w:w="5428" w:type="dxa"/>
          </w:tcPr>
          <w:p w:rsidR="009C32E7" w:rsidRPr="00AD70DE" w:rsidRDefault="009C32E7" w:rsidP="00AD70DE">
            <w:pPr>
              <w:rPr>
                <w:sz w:val="20"/>
                <w:szCs w:val="20"/>
                <w:lang w:val="en-GB"/>
              </w:rPr>
            </w:pPr>
            <w:r w:rsidRPr="00AD70DE">
              <w:rPr>
                <w:sz w:val="20"/>
                <w:szCs w:val="20"/>
                <w:lang w:val="en-GB"/>
              </w:rPr>
              <w:t>Blurred vision****.</w:t>
            </w:r>
          </w:p>
        </w:tc>
      </w:tr>
      <w:tr w:rsidR="009C32E7" w:rsidRPr="00AD70DE" w:rsidTr="008355A9">
        <w:tc>
          <w:tcPr>
            <w:tcW w:w="3644" w:type="dxa"/>
          </w:tcPr>
          <w:p w:rsidR="009C32E7" w:rsidRPr="00AD70DE" w:rsidRDefault="009C32E7" w:rsidP="00AD70DE">
            <w:pPr>
              <w:rPr>
                <w:sz w:val="20"/>
                <w:szCs w:val="20"/>
                <w:lang w:val="en-GB"/>
              </w:rPr>
            </w:pPr>
            <w:r w:rsidRPr="00AD70DE">
              <w:rPr>
                <w:sz w:val="20"/>
                <w:szCs w:val="20"/>
                <w:lang w:val="en-GB"/>
              </w:rPr>
              <w:t>Gastrointestinal disorders</w:t>
            </w:r>
          </w:p>
        </w:tc>
        <w:tc>
          <w:tcPr>
            <w:tcW w:w="5428" w:type="dxa"/>
          </w:tcPr>
          <w:p w:rsidR="009C32E7" w:rsidRPr="00AD70DE" w:rsidRDefault="009C32E7" w:rsidP="00AD70DE">
            <w:pPr>
              <w:rPr>
                <w:sz w:val="20"/>
                <w:szCs w:val="20"/>
                <w:lang w:val="en-GB"/>
              </w:rPr>
            </w:pPr>
            <w:r w:rsidRPr="00AD70DE">
              <w:rPr>
                <w:sz w:val="20"/>
                <w:szCs w:val="20"/>
                <w:lang w:val="en-GB"/>
              </w:rPr>
              <w:t xml:space="preserve">Benign fundus polyps**. Diarrhoea, nausea, vomiting, flatulence, obstipation, dry mouth, abdominal pain (all***). </w:t>
            </w:r>
          </w:p>
        </w:tc>
      </w:tr>
      <w:tr w:rsidR="009C32E7" w:rsidRPr="00AD70DE" w:rsidTr="008355A9">
        <w:tc>
          <w:tcPr>
            <w:tcW w:w="3644" w:type="dxa"/>
          </w:tcPr>
          <w:p w:rsidR="009C32E7" w:rsidRPr="00AD70DE" w:rsidRDefault="009C32E7" w:rsidP="00AD70DE">
            <w:pPr>
              <w:rPr>
                <w:sz w:val="20"/>
                <w:szCs w:val="20"/>
                <w:lang w:val="en-GB"/>
              </w:rPr>
            </w:pPr>
            <w:r w:rsidRPr="00AD70DE">
              <w:rPr>
                <w:sz w:val="20"/>
                <w:szCs w:val="20"/>
                <w:lang w:val="en-GB"/>
              </w:rPr>
              <w:t>Hepatobiliary disorders</w:t>
            </w:r>
          </w:p>
        </w:tc>
        <w:tc>
          <w:tcPr>
            <w:tcW w:w="5428" w:type="dxa"/>
          </w:tcPr>
          <w:p w:rsidR="009C32E7" w:rsidRPr="00AD70DE" w:rsidRDefault="009C32E7" w:rsidP="00AD70DE">
            <w:pPr>
              <w:rPr>
                <w:sz w:val="20"/>
                <w:szCs w:val="20"/>
                <w:lang w:val="en-GB"/>
              </w:rPr>
            </w:pPr>
            <w:r w:rsidRPr="00AD70DE">
              <w:rPr>
                <w:sz w:val="20"/>
                <w:szCs w:val="20"/>
                <w:lang w:val="en-GB"/>
              </w:rPr>
              <w:t>Elevated liver enzymes***, elevated bilirubin****. Liver cell damage, jaundice, liver failure (all******).</w:t>
            </w:r>
          </w:p>
        </w:tc>
      </w:tr>
      <w:tr w:rsidR="009C32E7" w:rsidRPr="00AD70DE" w:rsidTr="008355A9">
        <w:tc>
          <w:tcPr>
            <w:tcW w:w="3644" w:type="dxa"/>
          </w:tcPr>
          <w:p w:rsidR="009C32E7" w:rsidRPr="00AD70DE" w:rsidRDefault="009C32E7" w:rsidP="00AD70DE">
            <w:pPr>
              <w:rPr>
                <w:sz w:val="20"/>
                <w:szCs w:val="20"/>
                <w:lang w:val="en-GB"/>
              </w:rPr>
            </w:pPr>
            <w:r w:rsidRPr="00AD70DE">
              <w:rPr>
                <w:sz w:val="20"/>
                <w:szCs w:val="20"/>
                <w:lang w:val="en-GB"/>
              </w:rPr>
              <w:t>Skin and subcutaneous tissue disorders</w:t>
            </w:r>
          </w:p>
        </w:tc>
        <w:tc>
          <w:tcPr>
            <w:tcW w:w="5428" w:type="dxa"/>
          </w:tcPr>
          <w:p w:rsidR="009C32E7" w:rsidRPr="00AD70DE" w:rsidRDefault="009C32E7" w:rsidP="00AD70DE">
            <w:pPr>
              <w:rPr>
                <w:sz w:val="20"/>
                <w:szCs w:val="20"/>
                <w:lang w:val="en-GB"/>
              </w:rPr>
            </w:pPr>
            <w:r w:rsidRPr="00AD70DE">
              <w:rPr>
                <w:sz w:val="20"/>
                <w:szCs w:val="20"/>
                <w:lang w:val="en-GB"/>
              </w:rPr>
              <w:t xml:space="preserve">Rash***, exanthema***, eruption***, pruritus***, </w:t>
            </w:r>
            <w:proofErr w:type="spellStart"/>
            <w:r w:rsidRPr="00AD70DE">
              <w:rPr>
                <w:sz w:val="20"/>
                <w:szCs w:val="20"/>
                <w:lang w:val="en-GB"/>
              </w:rPr>
              <w:t>urticaria</w:t>
            </w:r>
            <w:proofErr w:type="spellEnd"/>
            <w:r w:rsidRPr="00AD70DE">
              <w:rPr>
                <w:sz w:val="20"/>
                <w:szCs w:val="20"/>
                <w:lang w:val="en-GB"/>
              </w:rPr>
              <w:t xml:space="preserve">****, </w:t>
            </w:r>
            <w:proofErr w:type="spellStart"/>
            <w:r w:rsidRPr="00AD70DE">
              <w:rPr>
                <w:sz w:val="20"/>
                <w:szCs w:val="20"/>
                <w:lang w:val="en-GB"/>
              </w:rPr>
              <w:t>angiooedema</w:t>
            </w:r>
            <w:proofErr w:type="spellEnd"/>
            <w:r w:rsidRPr="00AD70DE">
              <w:rPr>
                <w:sz w:val="20"/>
                <w:szCs w:val="20"/>
                <w:lang w:val="en-GB"/>
              </w:rPr>
              <w:t xml:space="preserve">****. </w:t>
            </w:r>
          </w:p>
          <w:p w:rsidR="009C32E7" w:rsidRPr="00AD70DE" w:rsidRDefault="009C32E7" w:rsidP="00AD70DE">
            <w:pPr>
              <w:rPr>
                <w:sz w:val="20"/>
                <w:szCs w:val="20"/>
                <w:lang w:val="en-GB"/>
              </w:rPr>
            </w:pPr>
            <w:r w:rsidRPr="00AD70DE">
              <w:rPr>
                <w:sz w:val="20"/>
                <w:szCs w:val="20"/>
                <w:lang w:val="en-GB"/>
              </w:rPr>
              <w:t xml:space="preserve">Stevens-Johnson syndrome, Lyell syndrome, </w:t>
            </w:r>
            <w:proofErr w:type="spellStart"/>
            <w:r w:rsidRPr="00AD70DE">
              <w:rPr>
                <w:sz w:val="20"/>
                <w:szCs w:val="20"/>
                <w:lang w:val="en-GB"/>
              </w:rPr>
              <w:t>erythma</w:t>
            </w:r>
            <w:proofErr w:type="spellEnd"/>
            <w:r w:rsidRPr="00AD70DE">
              <w:rPr>
                <w:sz w:val="20"/>
                <w:szCs w:val="20"/>
                <w:lang w:val="en-GB"/>
              </w:rPr>
              <w:t xml:space="preserve"> </w:t>
            </w:r>
            <w:proofErr w:type="spellStart"/>
            <w:r w:rsidRPr="00AD70DE">
              <w:rPr>
                <w:sz w:val="20"/>
                <w:szCs w:val="20"/>
                <w:lang w:val="en-GB"/>
              </w:rPr>
              <w:t>multiforme</w:t>
            </w:r>
            <w:proofErr w:type="spellEnd"/>
            <w:r w:rsidRPr="00AD70DE">
              <w:rPr>
                <w:sz w:val="20"/>
                <w:szCs w:val="20"/>
                <w:lang w:val="en-GB"/>
              </w:rPr>
              <w:t xml:space="preserve">, </w:t>
            </w:r>
            <w:proofErr w:type="spellStart"/>
            <w:r w:rsidRPr="00AD70DE">
              <w:rPr>
                <w:sz w:val="20"/>
                <w:szCs w:val="20"/>
                <w:lang w:val="en-GB"/>
              </w:rPr>
              <w:t>photosensibility</w:t>
            </w:r>
            <w:proofErr w:type="spellEnd"/>
            <w:r w:rsidRPr="00AD70DE">
              <w:rPr>
                <w:sz w:val="20"/>
                <w:szCs w:val="20"/>
                <w:lang w:val="en-GB"/>
              </w:rPr>
              <w:t xml:space="preserve">, subacute cutaneous lupus </w:t>
            </w:r>
            <w:proofErr w:type="spellStart"/>
            <w:r w:rsidRPr="00AD70DE">
              <w:rPr>
                <w:sz w:val="20"/>
                <w:szCs w:val="20"/>
                <w:lang w:val="en-GB"/>
              </w:rPr>
              <w:t>erythemasus</w:t>
            </w:r>
            <w:proofErr w:type="spellEnd"/>
            <w:r w:rsidRPr="00AD70DE">
              <w:rPr>
                <w:sz w:val="20"/>
                <w:szCs w:val="20"/>
                <w:lang w:val="en-GB"/>
              </w:rPr>
              <w:t xml:space="preserve"> (all******).</w:t>
            </w:r>
          </w:p>
        </w:tc>
      </w:tr>
      <w:tr w:rsidR="009C32E7" w:rsidRPr="00AD70DE" w:rsidTr="008355A9">
        <w:tc>
          <w:tcPr>
            <w:tcW w:w="3644" w:type="dxa"/>
          </w:tcPr>
          <w:p w:rsidR="009C32E7" w:rsidRPr="00AD70DE" w:rsidRDefault="009C32E7" w:rsidP="00AD70DE">
            <w:pPr>
              <w:rPr>
                <w:sz w:val="20"/>
                <w:szCs w:val="20"/>
                <w:lang w:val="en-GB"/>
              </w:rPr>
            </w:pPr>
            <w:r w:rsidRPr="00AD70DE">
              <w:rPr>
                <w:sz w:val="20"/>
                <w:szCs w:val="20"/>
                <w:lang w:val="en-GB"/>
              </w:rPr>
              <w:t>Musculoskeletal and connective tissue disorders</w:t>
            </w:r>
          </w:p>
        </w:tc>
        <w:tc>
          <w:tcPr>
            <w:tcW w:w="5428" w:type="dxa"/>
          </w:tcPr>
          <w:p w:rsidR="009C32E7" w:rsidRPr="00AD70DE" w:rsidRDefault="009C32E7" w:rsidP="00AD70DE">
            <w:pPr>
              <w:rPr>
                <w:sz w:val="20"/>
                <w:szCs w:val="20"/>
                <w:lang w:val="en-GB"/>
              </w:rPr>
            </w:pPr>
            <w:r w:rsidRPr="00AD70DE">
              <w:rPr>
                <w:sz w:val="20"/>
                <w:szCs w:val="20"/>
                <w:lang w:val="en-GB"/>
              </w:rPr>
              <w:t>Fracture of hip bone, wrist or spine***, arthralgia****, myalgia****, muscle spasm (due to electrolyte disturbances</w:t>
            </w:r>
            <w:proofErr w:type="gramStart"/>
            <w:r w:rsidRPr="00AD70DE">
              <w:rPr>
                <w:sz w:val="20"/>
                <w:szCs w:val="20"/>
                <w:lang w:val="en-GB"/>
              </w:rPr>
              <w:t>)*</w:t>
            </w:r>
            <w:proofErr w:type="gramEnd"/>
            <w:r w:rsidRPr="00AD70DE">
              <w:rPr>
                <w:sz w:val="20"/>
                <w:szCs w:val="20"/>
                <w:lang w:val="en-GB"/>
              </w:rPr>
              <w:t>*****.</w:t>
            </w:r>
          </w:p>
        </w:tc>
      </w:tr>
      <w:tr w:rsidR="009C32E7" w:rsidRPr="00AD70DE" w:rsidTr="008355A9">
        <w:tc>
          <w:tcPr>
            <w:tcW w:w="3644" w:type="dxa"/>
          </w:tcPr>
          <w:p w:rsidR="009C32E7" w:rsidRPr="00AD70DE" w:rsidRDefault="009C32E7" w:rsidP="00AD70DE">
            <w:pPr>
              <w:rPr>
                <w:sz w:val="20"/>
                <w:szCs w:val="20"/>
                <w:lang w:val="en-GB"/>
              </w:rPr>
            </w:pPr>
            <w:r w:rsidRPr="00AD70DE">
              <w:rPr>
                <w:sz w:val="20"/>
                <w:szCs w:val="20"/>
                <w:lang w:val="en-GB"/>
              </w:rPr>
              <w:t>Renal and urinary disorders</w:t>
            </w:r>
          </w:p>
        </w:tc>
        <w:tc>
          <w:tcPr>
            <w:tcW w:w="5428" w:type="dxa"/>
          </w:tcPr>
          <w:p w:rsidR="009C32E7" w:rsidRPr="00AD70DE" w:rsidRDefault="009C32E7" w:rsidP="00AD70DE">
            <w:pPr>
              <w:rPr>
                <w:sz w:val="20"/>
                <w:szCs w:val="20"/>
                <w:lang w:val="en-GB"/>
              </w:rPr>
            </w:pPr>
            <w:r w:rsidRPr="00AD70DE">
              <w:rPr>
                <w:sz w:val="20"/>
                <w:szCs w:val="20"/>
                <w:lang w:val="en-GB"/>
              </w:rPr>
              <w:t>Interstitial nephritis******.</w:t>
            </w:r>
          </w:p>
        </w:tc>
      </w:tr>
      <w:tr w:rsidR="009C32E7" w:rsidRPr="00AD70DE" w:rsidTr="008355A9">
        <w:tc>
          <w:tcPr>
            <w:tcW w:w="3644" w:type="dxa"/>
          </w:tcPr>
          <w:p w:rsidR="009C32E7" w:rsidRPr="00AD70DE" w:rsidRDefault="009C32E7" w:rsidP="00AD70DE">
            <w:pPr>
              <w:rPr>
                <w:sz w:val="20"/>
                <w:szCs w:val="20"/>
                <w:lang w:val="en-GB"/>
              </w:rPr>
            </w:pPr>
            <w:r w:rsidRPr="00AD70DE">
              <w:rPr>
                <w:sz w:val="20"/>
                <w:szCs w:val="20"/>
                <w:lang w:val="en-GB"/>
              </w:rPr>
              <w:t>Reproductive organs</w:t>
            </w:r>
          </w:p>
        </w:tc>
        <w:tc>
          <w:tcPr>
            <w:tcW w:w="5428" w:type="dxa"/>
          </w:tcPr>
          <w:p w:rsidR="009C32E7" w:rsidRPr="00AD70DE" w:rsidRDefault="009C32E7" w:rsidP="00AD70DE">
            <w:pPr>
              <w:rPr>
                <w:sz w:val="20"/>
                <w:szCs w:val="20"/>
                <w:lang w:val="en-GB"/>
              </w:rPr>
            </w:pPr>
            <w:r w:rsidRPr="00AD70DE">
              <w:rPr>
                <w:sz w:val="20"/>
                <w:szCs w:val="20"/>
                <w:lang w:val="en-GB"/>
              </w:rPr>
              <w:t>Gynecomastia****</w:t>
            </w:r>
          </w:p>
        </w:tc>
      </w:tr>
      <w:tr w:rsidR="009C32E7" w:rsidRPr="00AD70DE" w:rsidTr="008355A9">
        <w:tc>
          <w:tcPr>
            <w:tcW w:w="3644" w:type="dxa"/>
          </w:tcPr>
          <w:p w:rsidR="009C32E7" w:rsidRPr="00AD70DE" w:rsidRDefault="009C32E7" w:rsidP="00AD70DE">
            <w:pPr>
              <w:rPr>
                <w:sz w:val="20"/>
                <w:szCs w:val="20"/>
                <w:lang w:val="en-GB"/>
              </w:rPr>
            </w:pPr>
            <w:r w:rsidRPr="00AD70DE">
              <w:rPr>
                <w:sz w:val="20"/>
                <w:szCs w:val="20"/>
                <w:lang w:val="en-GB"/>
              </w:rPr>
              <w:t>General complaints and symptoms</w:t>
            </w:r>
          </w:p>
        </w:tc>
        <w:tc>
          <w:tcPr>
            <w:tcW w:w="5428" w:type="dxa"/>
          </w:tcPr>
          <w:p w:rsidR="009C32E7" w:rsidRPr="00AD70DE" w:rsidRDefault="009C32E7" w:rsidP="00AD70DE">
            <w:pPr>
              <w:rPr>
                <w:sz w:val="20"/>
                <w:szCs w:val="20"/>
                <w:lang w:val="en-GB"/>
              </w:rPr>
            </w:pPr>
            <w:r w:rsidRPr="00AD70DE">
              <w:rPr>
                <w:sz w:val="20"/>
                <w:szCs w:val="20"/>
                <w:lang w:val="en-GB"/>
              </w:rPr>
              <w:t>Asthenia, tiredness, and discomfort (all***).</w:t>
            </w:r>
          </w:p>
          <w:p w:rsidR="009C32E7" w:rsidRPr="00AD70DE" w:rsidRDefault="009C32E7" w:rsidP="00AD70DE">
            <w:pPr>
              <w:rPr>
                <w:sz w:val="20"/>
                <w:szCs w:val="20"/>
                <w:lang w:val="en-GB"/>
              </w:rPr>
            </w:pPr>
            <w:r w:rsidRPr="00AD70DE">
              <w:rPr>
                <w:sz w:val="20"/>
                <w:szCs w:val="20"/>
                <w:lang w:val="en-GB"/>
              </w:rPr>
              <w:t>Elevated temperature****, peripheral oedema****.</w:t>
            </w:r>
          </w:p>
        </w:tc>
      </w:tr>
    </w:tbl>
    <w:p w:rsidR="009C32E7" w:rsidRPr="00AD70DE" w:rsidRDefault="009C32E7" w:rsidP="00AD70DE">
      <w:pPr>
        <w:rPr>
          <w:sz w:val="20"/>
          <w:szCs w:val="20"/>
          <w:lang w:val="en-GB"/>
        </w:rPr>
      </w:pPr>
      <w:r w:rsidRPr="00AD70DE">
        <w:rPr>
          <w:sz w:val="20"/>
          <w:szCs w:val="20"/>
          <w:lang w:val="en-GB"/>
        </w:rPr>
        <w:t xml:space="preserve">Frequency: *very common **common </w:t>
      </w:r>
      <w:r w:rsidRPr="00AD70DE">
        <w:rPr>
          <w:rFonts w:ascii="Symbol" w:hAnsi="Symbol"/>
          <w:sz w:val="20"/>
          <w:szCs w:val="20"/>
          <w:lang w:val="en-GB"/>
        </w:rPr>
        <w:sym w:font="Symbol" w:char="F0B3"/>
      </w:r>
      <w:r w:rsidRPr="00AD70DE">
        <w:rPr>
          <w:sz w:val="20"/>
          <w:szCs w:val="20"/>
          <w:lang w:val="en-GB"/>
        </w:rPr>
        <w:t xml:space="preserve"> 1/100 to &lt; 1/10, ***uncommon </w:t>
      </w:r>
      <w:r w:rsidRPr="00AD70DE">
        <w:rPr>
          <w:rFonts w:ascii="Symbol" w:hAnsi="Symbol"/>
          <w:sz w:val="20"/>
          <w:szCs w:val="20"/>
          <w:lang w:val="en-GB"/>
        </w:rPr>
        <w:sym w:font="Symbol" w:char="F0B3"/>
      </w:r>
      <w:r w:rsidRPr="00AD70DE">
        <w:rPr>
          <w:sz w:val="20"/>
          <w:szCs w:val="20"/>
          <w:lang w:val="en-GB"/>
        </w:rPr>
        <w:t xml:space="preserve"> 1/1000 to &lt; 1/100; **** rare </w:t>
      </w:r>
      <w:r w:rsidRPr="00AD70DE">
        <w:rPr>
          <w:rFonts w:ascii="Symbol" w:hAnsi="Symbol"/>
          <w:sz w:val="20"/>
          <w:szCs w:val="20"/>
          <w:lang w:val="en-GB"/>
        </w:rPr>
        <w:sym w:font="Symbol" w:char="F0B3"/>
      </w:r>
      <w:r w:rsidRPr="00AD70DE">
        <w:rPr>
          <w:sz w:val="20"/>
          <w:szCs w:val="20"/>
          <w:lang w:val="en-GB"/>
        </w:rPr>
        <w:t xml:space="preserve"> 1/10.000 to &lt; 1/1.000; *****very rare &lt; 1/10.000; ******not known</w:t>
      </w:r>
    </w:p>
    <w:p w:rsidR="009C32E7" w:rsidRPr="00AD70DE" w:rsidRDefault="009C32E7" w:rsidP="00AD70DE">
      <w:pPr>
        <w:rPr>
          <w:sz w:val="20"/>
          <w:szCs w:val="20"/>
          <w:lang w:val="en-GB"/>
        </w:rPr>
      </w:pPr>
    </w:p>
    <w:p w:rsidR="009C32E7" w:rsidRPr="00AD70DE" w:rsidRDefault="009C32E7" w:rsidP="00AD70DE">
      <w:pPr>
        <w:pStyle w:val="111Formatvorlage"/>
        <w:numPr>
          <w:ilvl w:val="2"/>
          <w:numId w:val="3"/>
        </w:numPr>
        <w:spacing w:line="240" w:lineRule="exact"/>
        <w:ind w:left="993" w:hanging="993"/>
      </w:pPr>
      <w:bookmarkStart w:id="1701" w:name="_Toc256002361"/>
      <w:bookmarkStart w:id="1702" w:name="_Toc256002264"/>
      <w:bookmarkStart w:id="1703" w:name="_Toc256002167"/>
      <w:bookmarkStart w:id="1704" w:name="_Toc256002070"/>
      <w:bookmarkStart w:id="1705" w:name="_Toc256001948"/>
      <w:bookmarkStart w:id="1706" w:name="_Toc256001725"/>
      <w:bookmarkStart w:id="1707" w:name="_Toc256001481"/>
      <w:bookmarkStart w:id="1708" w:name="_Toc256001250"/>
      <w:bookmarkStart w:id="1709" w:name="_Toc256001017"/>
      <w:bookmarkStart w:id="1710" w:name="_Toc256000779"/>
      <w:bookmarkStart w:id="1711" w:name="_Toc256000474"/>
      <w:bookmarkStart w:id="1712" w:name="_Toc256000190"/>
      <w:bookmarkStart w:id="1713" w:name="_Toc9613168"/>
      <w:bookmarkStart w:id="1714" w:name="_Toc37173067"/>
      <w:bookmarkStart w:id="1715" w:name="_Toc37243461"/>
      <w:r w:rsidRPr="00AD70DE">
        <w:t>Contraindications</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rsidR="009C32E7" w:rsidRPr="00AD70DE" w:rsidRDefault="009C32E7" w:rsidP="00AD70DE">
      <w:pPr>
        <w:keepNext/>
        <w:keepLines/>
        <w:rPr>
          <w:lang w:val="en-GB"/>
        </w:rPr>
      </w:pPr>
      <w:r w:rsidRPr="00AD70DE">
        <w:rPr>
          <w:lang w:val="en-GB"/>
        </w:rPr>
        <w:t xml:space="preserve">Pantoprazole must not be taken in case of </w:t>
      </w:r>
    </w:p>
    <w:p w:rsidR="009C32E7" w:rsidRPr="00AD70DE" w:rsidRDefault="009C32E7" w:rsidP="00AD70DE">
      <w:pPr>
        <w:pStyle w:val="Listenabsatz"/>
        <w:keepNext/>
        <w:keepLines/>
        <w:numPr>
          <w:ilvl w:val="0"/>
          <w:numId w:val="15"/>
        </w:numPr>
        <w:jc w:val="both"/>
        <w:rPr>
          <w:lang w:val="en-GB"/>
        </w:rPr>
      </w:pPr>
      <w:r w:rsidRPr="00AD70DE">
        <w:rPr>
          <w:lang w:val="en-GB"/>
        </w:rPr>
        <w:t>Hypersensitivity to the active substance or to any of the excipients.</w:t>
      </w:r>
    </w:p>
    <w:p w:rsidR="009C32E7" w:rsidRPr="00AD70DE" w:rsidRDefault="009C32E7" w:rsidP="00AD70DE">
      <w:pPr>
        <w:pStyle w:val="111Formatvorlage"/>
        <w:keepNext w:val="0"/>
        <w:keepLines w:val="0"/>
        <w:numPr>
          <w:ilvl w:val="2"/>
          <w:numId w:val="3"/>
        </w:numPr>
        <w:spacing w:line="240" w:lineRule="exact"/>
        <w:ind w:left="993" w:hanging="993"/>
      </w:pPr>
      <w:r w:rsidRPr="00AD70DE">
        <w:t>Pregnancy precaution</w:t>
      </w:r>
    </w:p>
    <w:p w:rsidR="009C32E7" w:rsidRPr="00AD70DE" w:rsidRDefault="009C32E7" w:rsidP="00AD70DE">
      <w:pPr>
        <w:rPr>
          <w:lang w:val="en-US"/>
        </w:rPr>
      </w:pPr>
      <w:r w:rsidRPr="00AD70DE">
        <w:rPr>
          <w:lang w:val="en-US"/>
        </w:rPr>
        <w:t>There are sparse data in humans, which do not show an elevated risk of fetal or neonatal toxicity for pantoprazole. However animal data showed an elevated risk for reproductive toxicity. Pantoprazole did not have any influence on fertility in animal studies. Altogether pantoprazole is not recommended to be used in pregnant women. In a clinical trial pantoprazole would therefore require adequate contraception with a highly effective measure (women) and an effective measure (men) for the duration of the study and at least 1 day afterwards. The pregnancy precaution in this trial, however, will be defined by the IMP which requires the longest pregnancy precautions, which is HCQ.</w:t>
      </w:r>
    </w:p>
    <w:p w:rsidR="009C32E7" w:rsidRPr="00AD70DE" w:rsidRDefault="009C32E7" w:rsidP="00AD70DE">
      <w:pPr>
        <w:pStyle w:val="berschrift2"/>
        <w:spacing w:before="240"/>
        <w:ind w:left="567" w:hanging="567"/>
        <w:rPr>
          <w:color w:val="auto"/>
        </w:rPr>
      </w:pPr>
      <w:bookmarkStart w:id="1716" w:name="_Toc256002362"/>
      <w:bookmarkStart w:id="1717" w:name="_Toc256002265"/>
      <w:bookmarkStart w:id="1718" w:name="_Toc256002168"/>
      <w:bookmarkStart w:id="1719" w:name="_Toc256002072"/>
      <w:bookmarkStart w:id="1720" w:name="_Toc256001949"/>
      <w:bookmarkStart w:id="1721" w:name="_Toc256001729"/>
      <w:bookmarkStart w:id="1722" w:name="_Toc256001482"/>
      <w:bookmarkStart w:id="1723" w:name="_Toc256001255"/>
      <w:bookmarkStart w:id="1724" w:name="_Toc256001018"/>
      <w:bookmarkStart w:id="1725" w:name="_Toc256000780"/>
      <w:bookmarkStart w:id="1726" w:name="_Toc256000475"/>
      <w:bookmarkStart w:id="1727" w:name="_Toc256000191"/>
      <w:bookmarkStart w:id="1728" w:name="_Toc9613169"/>
      <w:bookmarkStart w:id="1729" w:name="_Toc37173068"/>
      <w:bookmarkStart w:id="1730" w:name="_Toc37243462"/>
      <w:r w:rsidRPr="00AD70DE">
        <w:rPr>
          <w:color w:val="auto"/>
        </w:rPr>
        <w:t>Midazolam</w:t>
      </w:r>
      <w:bookmarkEnd w:id="1632"/>
      <w:bookmarkEnd w:id="1633"/>
      <w:bookmarkEnd w:id="1634"/>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rsidR="009C32E7" w:rsidRPr="00AD70DE" w:rsidRDefault="009C32E7" w:rsidP="00AD70DE">
      <w:pPr>
        <w:spacing w:after="120" w:line="240" w:lineRule="exact"/>
        <w:rPr>
          <w:snapToGrid w:val="0"/>
          <w:color w:val="000000"/>
          <w:lang w:val="en-GB"/>
        </w:rPr>
      </w:pPr>
      <w:proofErr w:type="gramStart"/>
      <w:r w:rsidRPr="00AD70DE">
        <w:rPr>
          <w:snapToGrid w:val="0"/>
          <w:color w:val="000000"/>
          <w:lang w:val="en-GB"/>
        </w:rPr>
        <w:t xml:space="preserve">Administration of 30 µg </w:t>
      </w:r>
      <w:proofErr w:type="spellStart"/>
      <w:r w:rsidRPr="00AD70DE">
        <w:rPr>
          <w:snapToGrid w:val="0"/>
          <w:color w:val="000000"/>
          <w:lang w:val="en-GB"/>
        </w:rPr>
        <w:t>p.o.</w:t>
      </w:r>
      <w:proofErr w:type="spellEnd"/>
      <w:r w:rsidRPr="00AD70DE">
        <w:rPr>
          <w:snapToGrid w:val="0"/>
          <w:color w:val="000000"/>
          <w:lang w:val="en-GB"/>
        </w:rPr>
        <w:t xml:space="preserve"> in 100 ml water on V1 and V2.</w:t>
      </w:r>
      <w:proofErr w:type="gramEnd"/>
      <w:r w:rsidRPr="00AD70DE">
        <w:rPr>
          <w:snapToGrid w:val="0"/>
          <w:color w:val="000000"/>
          <w:lang w:val="en-GB"/>
        </w:rPr>
        <w:t xml:space="preserve"> </w:t>
      </w:r>
    </w:p>
    <w:p w:rsidR="009C32E7" w:rsidRPr="00AD70DE" w:rsidRDefault="009C32E7" w:rsidP="00AD70DE">
      <w:pPr>
        <w:widowControl w:val="0"/>
        <w:autoSpaceDE w:val="0"/>
        <w:autoSpaceDN w:val="0"/>
        <w:adjustRightInd w:val="0"/>
        <w:spacing w:after="240" w:line="240" w:lineRule="auto"/>
        <w:rPr>
          <w:rFonts w:cs="Times"/>
          <w:lang w:val="en-GB" w:eastAsia="de-DE"/>
        </w:rPr>
      </w:pPr>
      <w:r w:rsidRPr="00AD70DE">
        <w:rPr>
          <w:rFonts w:cs="Calibri"/>
          <w:lang w:val="en-GB" w:eastAsia="de-DE"/>
        </w:rPr>
        <w:t xml:space="preserve">A pharmacologically inactive dose (30 µg) of </w:t>
      </w:r>
      <w:proofErr w:type="spellStart"/>
      <w:r w:rsidRPr="00AD70DE">
        <w:rPr>
          <w:rFonts w:cs="Calibri"/>
          <w:lang w:val="en-GB" w:eastAsia="de-DE"/>
        </w:rPr>
        <w:t>Dormicum</w:t>
      </w:r>
      <w:proofErr w:type="spellEnd"/>
      <w:r w:rsidRPr="00AD70DE">
        <w:rPr>
          <w:rFonts w:cs="Calibri"/>
          <w:lang w:val="en-GB" w:eastAsia="de-DE"/>
        </w:rPr>
        <w:t xml:space="preserve">® will be administered orally as a diagnostic substance to phenotype CYP3A activity using a standard procedure. This dose is &gt; 100 times lower than the regular doses used in a therapeutic setting and will </w:t>
      </w:r>
      <w:r w:rsidRPr="00AD70DE">
        <w:rPr>
          <w:rFonts w:cs="Times"/>
          <w:lang w:val="en-GB" w:eastAsia="de-DE"/>
        </w:rPr>
        <w:t xml:space="preserve">not exhibit any pharmacological activity. Therefore, in this microdose regimen, no benzodiazepine (side) effects are expected; nevertheless, allergic reactions cannot be completely ruled out. </w:t>
      </w:r>
    </w:p>
    <w:p w:rsidR="009C32E7" w:rsidRPr="00AD70DE" w:rsidRDefault="009C32E7" w:rsidP="00AD70DE">
      <w:pPr>
        <w:widowControl w:val="0"/>
        <w:autoSpaceDE w:val="0"/>
        <w:autoSpaceDN w:val="0"/>
        <w:adjustRightInd w:val="0"/>
        <w:spacing w:after="240" w:line="240" w:lineRule="auto"/>
        <w:rPr>
          <w:rFonts w:cs="Times"/>
          <w:lang w:val="en-GB" w:eastAsia="de-DE"/>
        </w:rPr>
      </w:pPr>
      <w:r w:rsidRPr="00AD70DE">
        <w:rPr>
          <w:rFonts w:cs="Times"/>
          <w:b/>
          <w:lang w:val="en-GB" w:eastAsia="de-DE"/>
        </w:rPr>
        <w:t>Table 6</w:t>
      </w:r>
      <w:r w:rsidRPr="00AD70DE">
        <w:rPr>
          <w:rFonts w:cs="Times"/>
          <w:lang w:val="en-GB" w:eastAsia="de-DE"/>
        </w:rPr>
        <w:t>: midazolam dug information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90"/>
        <w:gridCol w:w="5882"/>
      </w:tblGrid>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Marketed name:</w:t>
            </w:r>
          </w:p>
        </w:tc>
        <w:tc>
          <w:tcPr>
            <w:tcW w:w="5882" w:type="dxa"/>
          </w:tcPr>
          <w:p w:rsidR="009C32E7" w:rsidRPr="00AD70DE" w:rsidRDefault="009C32E7" w:rsidP="00AD70DE">
            <w:pPr>
              <w:spacing w:after="120" w:line="276" w:lineRule="auto"/>
              <w:rPr>
                <w:rFonts w:cs="Arial"/>
                <w:lang w:val="en-GB" w:eastAsia="de-DE"/>
              </w:rPr>
            </w:pPr>
            <w:proofErr w:type="spellStart"/>
            <w:r w:rsidRPr="00AD70DE">
              <w:rPr>
                <w:rFonts w:cs="Calibri"/>
                <w:lang w:val="en-GB" w:eastAsia="de-DE"/>
              </w:rPr>
              <w:t>Dormicum</w:t>
            </w:r>
            <w:proofErr w:type="spellEnd"/>
            <w:r w:rsidRPr="00AD70DE">
              <w:rPr>
                <w:rFonts w:cs="Calibri"/>
                <w:lang w:val="en-GB" w:eastAsia="de-DE"/>
              </w:rPr>
              <w:t>® V 5 mg / 5 ml</w:t>
            </w:r>
          </w:p>
        </w:tc>
      </w:tr>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 xml:space="preserve">INN: </w:t>
            </w:r>
          </w:p>
        </w:tc>
        <w:tc>
          <w:tcPr>
            <w:tcW w:w="5882" w:type="dxa"/>
          </w:tcPr>
          <w:p w:rsidR="009C32E7" w:rsidRPr="00AD70DE" w:rsidRDefault="009C32E7" w:rsidP="00AD70DE">
            <w:pPr>
              <w:spacing w:after="120" w:line="276" w:lineRule="auto"/>
              <w:rPr>
                <w:rFonts w:cs="Arial"/>
                <w:lang w:val="en-GB" w:eastAsia="de-DE"/>
              </w:rPr>
            </w:pPr>
            <w:r w:rsidRPr="00AD70DE">
              <w:rPr>
                <w:rFonts w:cs="Arial"/>
                <w:lang w:val="en-GB"/>
              </w:rPr>
              <w:t>Midazolam</w:t>
            </w:r>
          </w:p>
        </w:tc>
      </w:tr>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ATC code, if officially registered:</w:t>
            </w:r>
          </w:p>
        </w:tc>
        <w:tc>
          <w:tcPr>
            <w:tcW w:w="5882" w:type="dxa"/>
          </w:tcPr>
          <w:p w:rsidR="009C32E7" w:rsidRPr="00AD70DE" w:rsidRDefault="009C32E7" w:rsidP="00AD70DE">
            <w:pPr>
              <w:spacing w:after="120" w:line="276" w:lineRule="auto"/>
              <w:rPr>
                <w:rFonts w:cs="Arial"/>
                <w:lang w:val="en-GB" w:eastAsia="de-DE"/>
              </w:rPr>
            </w:pPr>
            <w:r w:rsidRPr="00AD70DE">
              <w:rPr>
                <w:rFonts w:cs="Arial"/>
                <w:lang w:val="en-GB"/>
              </w:rPr>
              <w:t>N05CD08</w:t>
            </w:r>
          </w:p>
        </w:tc>
      </w:tr>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Manufacturer:</w:t>
            </w:r>
          </w:p>
        </w:tc>
        <w:tc>
          <w:tcPr>
            <w:tcW w:w="5882" w:type="dxa"/>
          </w:tcPr>
          <w:p w:rsidR="009C32E7" w:rsidRPr="00AD70DE" w:rsidRDefault="009C32E7" w:rsidP="00AD70DE">
            <w:pPr>
              <w:spacing w:after="120" w:line="276" w:lineRule="auto"/>
              <w:rPr>
                <w:rFonts w:cs="Arial"/>
                <w:lang w:eastAsia="de-DE"/>
              </w:rPr>
            </w:pPr>
            <w:r w:rsidRPr="00AD70DE">
              <w:rPr>
                <w:rFonts w:cs="Arial"/>
              </w:rPr>
              <w:t>CHEPLAPHARM Arzneimittel GmbH, Ziegelhof 24, 17489 Greifswald</w:t>
            </w:r>
          </w:p>
        </w:tc>
      </w:tr>
      <w:tr w:rsidR="009C32E7" w:rsidRPr="00AD70DE" w:rsidTr="008355A9">
        <w:tc>
          <w:tcPr>
            <w:tcW w:w="3190" w:type="dxa"/>
          </w:tcPr>
          <w:p w:rsidR="009C32E7" w:rsidRPr="00AD70DE" w:rsidRDefault="009C32E7" w:rsidP="00AD70DE">
            <w:pPr>
              <w:spacing w:after="120" w:line="276" w:lineRule="auto"/>
              <w:rPr>
                <w:rFonts w:cs="Arial"/>
                <w:lang w:val="en-GB" w:eastAsia="de-DE"/>
              </w:rPr>
            </w:pPr>
            <w:r w:rsidRPr="00AD70DE">
              <w:rPr>
                <w:rFonts w:cs="Arial"/>
                <w:lang w:val="en-GB"/>
              </w:rPr>
              <w:t>Pharmaceutical formulation:</w:t>
            </w:r>
          </w:p>
        </w:tc>
        <w:tc>
          <w:tcPr>
            <w:tcW w:w="5882" w:type="dxa"/>
          </w:tcPr>
          <w:p w:rsidR="009C32E7" w:rsidRPr="00AD70DE" w:rsidRDefault="009C32E7" w:rsidP="00AD70DE">
            <w:pPr>
              <w:spacing w:after="120" w:line="276" w:lineRule="auto"/>
              <w:rPr>
                <w:rFonts w:cs="Arial"/>
                <w:lang w:val="en-GB" w:eastAsia="de-DE"/>
              </w:rPr>
            </w:pPr>
            <w:r w:rsidRPr="00AD70DE">
              <w:rPr>
                <w:rFonts w:cs="Arial"/>
                <w:lang w:val="en-GB"/>
              </w:rPr>
              <w:t xml:space="preserve">Solution </w:t>
            </w:r>
          </w:p>
        </w:tc>
      </w:tr>
      <w:tr w:rsidR="009C32E7" w:rsidRPr="00AD70DE" w:rsidTr="008355A9">
        <w:tc>
          <w:tcPr>
            <w:tcW w:w="3190" w:type="dxa"/>
          </w:tcPr>
          <w:p w:rsidR="009C32E7" w:rsidRPr="00AD70DE" w:rsidRDefault="009C32E7" w:rsidP="00AD70DE">
            <w:pPr>
              <w:spacing w:after="120" w:line="276" w:lineRule="auto"/>
              <w:rPr>
                <w:rFonts w:cs="Arial"/>
                <w:lang w:val="en-GB"/>
              </w:rPr>
            </w:pPr>
            <w:r w:rsidRPr="00AD70DE">
              <w:rPr>
                <w:rFonts w:cs="Arial"/>
                <w:lang w:val="en-GB"/>
              </w:rPr>
              <w:t>Dosage:</w:t>
            </w:r>
          </w:p>
        </w:tc>
        <w:tc>
          <w:tcPr>
            <w:tcW w:w="5882" w:type="dxa"/>
          </w:tcPr>
          <w:p w:rsidR="009C32E7" w:rsidRPr="00AD70DE" w:rsidRDefault="009C32E7" w:rsidP="00AD70DE">
            <w:pPr>
              <w:spacing w:after="120" w:line="276" w:lineRule="auto"/>
              <w:rPr>
                <w:rFonts w:cs="Arial"/>
                <w:lang w:val="en-GB"/>
              </w:rPr>
            </w:pPr>
            <w:r w:rsidRPr="00AD70DE">
              <w:rPr>
                <w:rFonts w:cs="Arial"/>
                <w:lang w:val="en-GB"/>
              </w:rPr>
              <w:t xml:space="preserve">30 </w:t>
            </w:r>
            <w:proofErr w:type="spellStart"/>
            <w:r w:rsidRPr="00AD70DE">
              <w:rPr>
                <w:rFonts w:cs="Arial"/>
                <w:lang w:val="en-GB"/>
              </w:rPr>
              <w:t>μg</w:t>
            </w:r>
            <w:proofErr w:type="spellEnd"/>
            <w:r w:rsidRPr="00AD70DE">
              <w:rPr>
                <w:rFonts w:cs="Arial"/>
                <w:lang w:val="en-GB"/>
              </w:rPr>
              <w:t xml:space="preserve"> </w:t>
            </w:r>
          </w:p>
        </w:tc>
      </w:tr>
      <w:tr w:rsidR="009C32E7" w:rsidRPr="00AD70DE" w:rsidTr="008355A9">
        <w:tc>
          <w:tcPr>
            <w:tcW w:w="3190" w:type="dxa"/>
          </w:tcPr>
          <w:p w:rsidR="009C32E7" w:rsidRPr="00AD70DE" w:rsidRDefault="009C32E7" w:rsidP="00AD70DE">
            <w:pPr>
              <w:spacing w:after="120" w:line="276" w:lineRule="auto"/>
              <w:rPr>
                <w:rFonts w:cs="Arial"/>
                <w:lang w:val="en-GB" w:eastAsia="de-DE"/>
              </w:rPr>
            </w:pPr>
            <w:r w:rsidRPr="00AD70DE">
              <w:rPr>
                <w:rFonts w:cs="Arial"/>
                <w:lang w:val="en-GB"/>
              </w:rPr>
              <w:t>Mode of administration:</w:t>
            </w:r>
          </w:p>
        </w:tc>
        <w:tc>
          <w:tcPr>
            <w:tcW w:w="5882" w:type="dxa"/>
          </w:tcPr>
          <w:p w:rsidR="009C32E7" w:rsidRPr="00AD70DE" w:rsidRDefault="009C32E7" w:rsidP="00AD70DE">
            <w:pPr>
              <w:spacing w:after="120" w:line="276" w:lineRule="auto"/>
              <w:rPr>
                <w:rFonts w:cs="Arial"/>
                <w:lang w:val="en-GB"/>
              </w:rPr>
            </w:pPr>
            <w:r w:rsidRPr="00AD70DE">
              <w:rPr>
                <w:rFonts w:cs="Arial"/>
                <w:lang w:val="en-GB"/>
              </w:rPr>
              <w:t>Oral</w:t>
            </w:r>
          </w:p>
          <w:p w:rsidR="009C32E7" w:rsidRPr="00AD70DE" w:rsidRDefault="009C32E7" w:rsidP="00AD70DE">
            <w:pPr>
              <w:spacing w:after="120" w:line="276" w:lineRule="auto"/>
              <w:rPr>
                <w:rFonts w:cs="Arial"/>
                <w:lang w:val="en-GB"/>
              </w:rPr>
            </w:pPr>
            <w:r w:rsidRPr="00AD70DE">
              <w:rPr>
                <w:rFonts w:cs="Arial"/>
                <w:lang w:val="en-GB"/>
              </w:rPr>
              <w:t xml:space="preserve">0.03 ml of </w:t>
            </w:r>
            <w:proofErr w:type="spellStart"/>
            <w:r w:rsidRPr="00AD70DE">
              <w:rPr>
                <w:rFonts w:cs="Arial"/>
                <w:lang w:val="en-GB"/>
              </w:rPr>
              <w:t>Dormicum</w:t>
            </w:r>
            <w:proofErr w:type="spellEnd"/>
            <w:r w:rsidRPr="00AD70DE">
              <w:rPr>
                <w:rFonts w:cs="Arial"/>
                <w:lang w:val="en-GB"/>
              </w:rPr>
              <w:t>® will be administered in 100 ml of water.</w:t>
            </w:r>
          </w:p>
        </w:tc>
      </w:tr>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Storage instructions:</w:t>
            </w:r>
          </w:p>
        </w:tc>
        <w:tc>
          <w:tcPr>
            <w:tcW w:w="5882" w:type="dxa"/>
          </w:tcPr>
          <w:p w:rsidR="009C32E7" w:rsidRPr="00AD70DE" w:rsidRDefault="009C32E7" w:rsidP="00AD70DE">
            <w:pPr>
              <w:spacing w:line="276" w:lineRule="auto"/>
              <w:rPr>
                <w:rFonts w:cs="Arial"/>
                <w:lang w:val="en-GB" w:eastAsia="de-DE"/>
              </w:rPr>
            </w:pPr>
            <w:r w:rsidRPr="00AD70DE">
              <w:rPr>
                <w:rFonts w:cs="Arial"/>
                <w:lang w:val="en-GB" w:eastAsia="de-DE"/>
              </w:rPr>
              <w:t>Must not be stored above 30 °C and must be protected from light by keeping the vials in the box until use.</w:t>
            </w:r>
          </w:p>
        </w:tc>
      </w:tr>
    </w:tbl>
    <w:p w:rsidR="009C32E7" w:rsidRPr="00AD70DE" w:rsidRDefault="009C32E7" w:rsidP="00AD70DE">
      <w:pPr>
        <w:autoSpaceDE w:val="0"/>
        <w:autoSpaceDN w:val="0"/>
        <w:adjustRightInd w:val="0"/>
        <w:rPr>
          <w:rFonts w:cs="Calibri"/>
          <w:lang w:val="en-GB" w:eastAsia="de-DE"/>
        </w:rPr>
      </w:pPr>
    </w:p>
    <w:p w:rsidR="009C32E7" w:rsidRPr="00AD70DE" w:rsidRDefault="009C32E7" w:rsidP="00AD70DE">
      <w:pPr>
        <w:pStyle w:val="111Formatvorlage"/>
        <w:keepNext w:val="0"/>
        <w:keepLines w:val="0"/>
        <w:numPr>
          <w:ilvl w:val="2"/>
          <w:numId w:val="3"/>
        </w:numPr>
        <w:spacing w:line="240" w:lineRule="exact"/>
        <w:ind w:left="993" w:hanging="993"/>
      </w:pPr>
      <w:bookmarkStart w:id="1731" w:name="_Toc37173069"/>
      <w:bookmarkStart w:id="1732" w:name="_Toc37243463"/>
      <w:bookmarkStart w:id="1733" w:name="_Toc256000285"/>
      <w:bookmarkStart w:id="1734" w:name="_Toc256000193"/>
      <w:bookmarkStart w:id="1735" w:name="_Toc455594108"/>
      <w:bookmarkStart w:id="1736" w:name="_Toc256000108"/>
      <w:bookmarkStart w:id="1737" w:name="_Toc256000029"/>
      <w:bookmarkStart w:id="1738" w:name="_Toc434223623"/>
      <w:r w:rsidRPr="00AD70DE">
        <w:t>Pharmacological properties</w:t>
      </w:r>
      <w:bookmarkEnd w:id="1731"/>
      <w:bookmarkEnd w:id="1732"/>
    </w:p>
    <w:p w:rsidR="009C32E7" w:rsidRPr="00AD70DE" w:rsidRDefault="009C32E7" w:rsidP="00AD70DE">
      <w:pPr>
        <w:widowControl w:val="0"/>
        <w:autoSpaceDE w:val="0"/>
        <w:autoSpaceDN w:val="0"/>
        <w:adjustRightInd w:val="0"/>
        <w:spacing w:after="240" w:line="240" w:lineRule="auto"/>
        <w:rPr>
          <w:lang w:val="en-GB"/>
        </w:rPr>
      </w:pPr>
      <w:r w:rsidRPr="00AD70DE">
        <w:rPr>
          <w:lang w:val="en-GB"/>
        </w:rPr>
        <w:t xml:space="preserve">Midazolam, a short-acting benzodiazepine, is a lipophilic substance belonging to the group of </w:t>
      </w:r>
      <w:proofErr w:type="spellStart"/>
      <w:r w:rsidRPr="00AD70DE">
        <w:rPr>
          <w:lang w:val="en-GB"/>
        </w:rPr>
        <w:t>imidazo</w:t>
      </w:r>
      <w:proofErr w:type="spellEnd"/>
      <w:r w:rsidRPr="00AD70DE">
        <w:rPr>
          <w:lang w:val="en-GB"/>
        </w:rPr>
        <w:t xml:space="preserve">-benzodiazepines. It is mainly used as a sedative, e.g. for premedication or intravenous induction of anaesthesia, and for the treatment of epileptic seizures because of its anxiolytic, hypnotic, anticonvulsive, and muscle relaxant effects. By binding to the GABA-A-receptor, benzodiazepines such as midazolam enhance the affinity of the ligand GABA (ϒ-amino-butyric-acid) leading to increased chloride permeability. Midazolam is selectively metabolized by CYP3A and an established marker for CYP3A activity in clinical pharmacology. In our study, midazolam will be administered </w:t>
      </w:r>
      <w:proofErr w:type="spellStart"/>
      <w:r w:rsidRPr="00AD70DE">
        <w:rPr>
          <w:lang w:val="en-GB"/>
        </w:rPr>
        <w:t>p.o.</w:t>
      </w:r>
      <w:proofErr w:type="spellEnd"/>
      <w:r w:rsidRPr="00AD70DE">
        <w:rPr>
          <w:lang w:val="en-GB"/>
        </w:rPr>
        <w:t xml:space="preserve"> </w:t>
      </w:r>
      <w:r w:rsidRPr="00AD70DE">
        <w:rPr>
          <w:noProof/>
          <w:lang w:val="en-GB"/>
        </w:rPr>
        <w:t>[7]</w:t>
      </w:r>
      <w:r w:rsidRPr="00AD70DE">
        <w:rPr>
          <w:lang w:val="en-GB"/>
        </w:rPr>
        <w:t xml:space="preserve">. Midazolam is rapidly absorbed, reaching </w:t>
      </w:r>
      <w:proofErr w:type="spellStart"/>
      <w:r w:rsidRPr="00AD70DE">
        <w:rPr>
          <w:lang w:val="en-GB"/>
        </w:rPr>
        <w:t>C</w:t>
      </w:r>
      <w:r w:rsidRPr="00AD70DE">
        <w:rPr>
          <w:vertAlign w:val="subscript"/>
          <w:lang w:val="en-GB"/>
        </w:rPr>
        <w:t>max</w:t>
      </w:r>
      <w:proofErr w:type="spellEnd"/>
      <w:r w:rsidRPr="00AD70DE">
        <w:rPr>
          <w:lang w:val="en-GB"/>
        </w:rPr>
        <w:t xml:space="preserve"> within 60 min in adults under fasting conditions 1 h before food intake, while the rate of absorption 1 h after food intake is delayed and reduced reaching </w:t>
      </w:r>
      <w:proofErr w:type="spellStart"/>
      <w:r w:rsidRPr="00AD70DE">
        <w:rPr>
          <w:lang w:val="en-GB"/>
        </w:rPr>
        <w:t>C</w:t>
      </w:r>
      <w:r w:rsidRPr="00AD70DE">
        <w:rPr>
          <w:vertAlign w:val="subscript"/>
          <w:lang w:val="en-GB"/>
        </w:rPr>
        <w:t>max</w:t>
      </w:r>
      <w:proofErr w:type="spellEnd"/>
      <w:r w:rsidRPr="00AD70DE">
        <w:rPr>
          <w:lang w:val="en-GB"/>
        </w:rPr>
        <w:t xml:space="preserve"> only after 115 min. Midazolam is highly lipophilic and distributes extensively. </w:t>
      </w:r>
    </w:p>
    <w:p w:rsidR="009C32E7" w:rsidRPr="00AD70DE" w:rsidRDefault="009C32E7" w:rsidP="00AD70DE">
      <w:pPr>
        <w:pStyle w:val="111Formatvorlage"/>
        <w:keepNext w:val="0"/>
        <w:keepLines w:val="0"/>
        <w:numPr>
          <w:ilvl w:val="2"/>
          <w:numId w:val="3"/>
        </w:numPr>
        <w:spacing w:line="240" w:lineRule="exact"/>
        <w:ind w:left="993" w:hanging="993"/>
      </w:pPr>
      <w:bookmarkStart w:id="1739" w:name="_Toc37173070"/>
      <w:bookmarkStart w:id="1740" w:name="_Toc37243464"/>
      <w:r w:rsidRPr="00AD70DE">
        <w:t>Packaging, labelling, and supply</w:t>
      </w:r>
      <w:bookmarkEnd w:id="1739"/>
      <w:bookmarkEnd w:id="1740"/>
    </w:p>
    <w:p w:rsidR="009C32E7" w:rsidRPr="00AD70DE" w:rsidRDefault="009C32E7" w:rsidP="00AD70DE">
      <w:pPr>
        <w:widowControl w:val="0"/>
        <w:autoSpaceDE w:val="0"/>
        <w:autoSpaceDN w:val="0"/>
        <w:adjustRightInd w:val="0"/>
        <w:spacing w:after="240" w:line="240" w:lineRule="auto"/>
        <w:rPr>
          <w:lang w:val="en-GB"/>
        </w:rPr>
      </w:pPr>
      <w:r w:rsidRPr="00AD70DE">
        <w:rPr>
          <w:lang w:val="en-GB"/>
        </w:rPr>
        <w:t>The trial medication is a marketed product. There will be no trial-specific labelling because this drug is approved for human use in Germany.</w:t>
      </w:r>
    </w:p>
    <w:p w:rsidR="009C32E7" w:rsidRPr="00AD70DE" w:rsidRDefault="009C32E7" w:rsidP="00AD70DE">
      <w:pPr>
        <w:widowControl w:val="0"/>
        <w:autoSpaceDE w:val="0"/>
        <w:autoSpaceDN w:val="0"/>
        <w:adjustRightInd w:val="0"/>
        <w:spacing w:after="240" w:line="240" w:lineRule="auto"/>
        <w:rPr>
          <w:lang w:val="en-GB"/>
        </w:rPr>
      </w:pPr>
      <w:r w:rsidRPr="00AD70DE">
        <w:rPr>
          <w:lang w:val="en-GB"/>
        </w:rPr>
        <w:t>The investigator will confirm correct receipt of the trial medication in writing and ensure that the medication is safely and correctly stored. The investigator will document the use of the trial medication. The site monitor will periodically check the supplies of trial medication held by the investigator to ensure the correct accountability of all trial medication used. At EOT, all unused trial medication will be completely destroyed or may be transferred for research use to a research facility, both options will be documented. It will be assured that a final report of the drug accountability is prepared and maintained by the investigator.</w:t>
      </w:r>
    </w:p>
    <w:p w:rsidR="009C32E7" w:rsidRPr="00AD70DE" w:rsidRDefault="009C32E7" w:rsidP="00AD70DE">
      <w:pPr>
        <w:pStyle w:val="111Formatvorlage"/>
        <w:keepNext w:val="0"/>
        <w:keepLines w:val="0"/>
        <w:numPr>
          <w:ilvl w:val="2"/>
          <w:numId w:val="3"/>
        </w:numPr>
        <w:spacing w:line="240" w:lineRule="exact"/>
        <w:ind w:left="993" w:hanging="993"/>
      </w:pPr>
      <w:bookmarkStart w:id="1741" w:name="_Toc37173071"/>
      <w:bookmarkStart w:id="1742" w:name="_Toc37243465"/>
      <w:r w:rsidRPr="00AD70DE">
        <w:t>Administration of trial medication</w:t>
      </w:r>
      <w:bookmarkEnd w:id="1741"/>
      <w:bookmarkEnd w:id="1742"/>
    </w:p>
    <w:p w:rsidR="009C32E7" w:rsidRPr="00AD70DE" w:rsidRDefault="009C32E7" w:rsidP="00AD70DE">
      <w:pPr>
        <w:rPr>
          <w:lang w:val="en-GB"/>
        </w:rPr>
      </w:pPr>
      <w:r w:rsidRPr="00AD70DE">
        <w:rPr>
          <w:lang w:val="en-GB" w:eastAsia="de-DE"/>
        </w:rPr>
        <w:t xml:space="preserve">Participants will receive 0.03 ml of </w:t>
      </w:r>
      <w:proofErr w:type="spellStart"/>
      <w:r w:rsidRPr="00AD70DE">
        <w:rPr>
          <w:lang w:val="en-GB" w:eastAsia="de-DE"/>
        </w:rPr>
        <w:t>Dormicum</w:t>
      </w:r>
      <w:proofErr w:type="spellEnd"/>
      <w:r w:rsidRPr="00AD70DE">
        <w:rPr>
          <w:lang w:val="en-GB" w:eastAsia="de-DE"/>
        </w:rPr>
        <w:t xml:space="preserve">® in approximately 100 ml of drinking water once at V1 and V2. </w:t>
      </w:r>
      <w:r w:rsidRPr="00AD70DE">
        <w:rPr>
          <w:rFonts w:cs="Arial"/>
          <w:lang w:val="en-GB"/>
        </w:rPr>
        <w:t xml:space="preserve">The administration of the trial drug will take place at the trial site, 3 h after a meal together with </w:t>
      </w:r>
      <w:r w:rsidRPr="00AD70DE">
        <w:rPr>
          <w:lang w:val="en-GB" w:eastAsia="de-DE"/>
        </w:rPr>
        <w:t xml:space="preserve">50 </w:t>
      </w:r>
      <w:proofErr w:type="spellStart"/>
      <w:r w:rsidRPr="00AD70DE">
        <w:rPr>
          <w:lang w:val="en-GB" w:eastAsia="de-DE"/>
        </w:rPr>
        <w:t>μg</w:t>
      </w:r>
      <w:proofErr w:type="spellEnd"/>
      <w:r w:rsidRPr="00AD70DE">
        <w:rPr>
          <w:lang w:val="en-GB" w:eastAsia="de-DE"/>
        </w:rPr>
        <w:t xml:space="preserve"> </w:t>
      </w:r>
      <w:proofErr w:type="spellStart"/>
      <w:r w:rsidRPr="00AD70DE">
        <w:rPr>
          <w:rFonts w:cs="Arial"/>
          <w:lang w:val="en-GB"/>
        </w:rPr>
        <w:t>yohimbine</w:t>
      </w:r>
      <w:proofErr w:type="spellEnd"/>
      <w:r w:rsidRPr="00AD70DE">
        <w:rPr>
          <w:rFonts w:cs="Arial"/>
          <w:lang w:val="en-GB"/>
        </w:rPr>
        <w:t xml:space="preserve">. No dose adjustments are planned. </w:t>
      </w:r>
    </w:p>
    <w:p w:rsidR="009C32E7" w:rsidRPr="00AD70DE" w:rsidRDefault="009C32E7" w:rsidP="00AD70DE">
      <w:pPr>
        <w:pStyle w:val="111Formatvorlage"/>
        <w:keepNext w:val="0"/>
        <w:keepLines w:val="0"/>
        <w:numPr>
          <w:ilvl w:val="2"/>
          <w:numId w:val="3"/>
        </w:numPr>
        <w:spacing w:line="240" w:lineRule="exact"/>
        <w:ind w:left="993" w:hanging="993"/>
      </w:pPr>
      <w:bookmarkStart w:id="1743" w:name="_Toc37173072"/>
      <w:bookmarkStart w:id="1744" w:name="_Toc37243466"/>
      <w:r w:rsidRPr="00AD70DE">
        <w:t>Adherence and drug accountability</w:t>
      </w:r>
      <w:bookmarkEnd w:id="1743"/>
      <w:bookmarkEnd w:id="1744"/>
    </w:p>
    <w:p w:rsidR="009C32E7" w:rsidRPr="00AD70DE" w:rsidRDefault="009C32E7" w:rsidP="00AD70DE">
      <w:pPr>
        <w:rPr>
          <w:rFonts w:cs="Arial"/>
          <w:lang w:val="en-GB"/>
        </w:rPr>
      </w:pPr>
      <w:r w:rsidRPr="00AD70DE">
        <w:rPr>
          <w:rFonts w:cs="Arial"/>
          <w:lang w:val="en-GB"/>
        </w:rPr>
        <w:t>Administration is carried out at the trial site; therefore, a taking and timing adherence of 100 % is expected. A drug accountability log will document the use of drug.</w:t>
      </w:r>
    </w:p>
    <w:p w:rsidR="009C32E7" w:rsidRPr="00AD70DE" w:rsidRDefault="009C32E7" w:rsidP="00AD70DE">
      <w:pPr>
        <w:pStyle w:val="111Formatvorlage"/>
        <w:keepNext w:val="0"/>
        <w:keepLines w:val="0"/>
        <w:numPr>
          <w:ilvl w:val="2"/>
          <w:numId w:val="3"/>
        </w:numPr>
        <w:spacing w:line="240" w:lineRule="exact"/>
        <w:ind w:left="993" w:hanging="993"/>
      </w:pPr>
      <w:bookmarkStart w:id="1745" w:name="_Toc986983"/>
      <w:bookmarkStart w:id="1746" w:name="_Toc535920944"/>
      <w:bookmarkStart w:id="1747" w:name="_Ref528752886"/>
      <w:bookmarkStart w:id="1748" w:name="_Toc37173073"/>
      <w:bookmarkStart w:id="1749" w:name="_Toc37243467"/>
      <w:r w:rsidRPr="00AD70DE">
        <w:t>Safety and tolerability</w:t>
      </w:r>
      <w:bookmarkEnd w:id="1745"/>
      <w:bookmarkEnd w:id="1746"/>
      <w:bookmarkEnd w:id="1747"/>
      <w:bookmarkEnd w:id="1748"/>
      <w:bookmarkEnd w:id="1749"/>
    </w:p>
    <w:p w:rsidR="009C32E7" w:rsidRPr="00AD70DE" w:rsidRDefault="009C32E7" w:rsidP="00AD70DE">
      <w:pPr>
        <w:pStyle w:val="Beschriftung"/>
        <w:rPr>
          <w:color w:val="auto"/>
          <w:sz w:val="22"/>
          <w:szCs w:val="22"/>
          <w:lang w:val="en-US"/>
        </w:rPr>
      </w:pPr>
      <w:r w:rsidRPr="00AD70DE">
        <w:rPr>
          <w:color w:val="auto"/>
          <w:sz w:val="22"/>
          <w:szCs w:val="22"/>
          <w:lang w:val="en-US"/>
        </w:rPr>
        <w:t xml:space="preserve">Table 7: </w:t>
      </w:r>
      <w:r w:rsidRPr="00AD70DE">
        <w:rPr>
          <w:b w:val="0"/>
          <w:color w:val="auto"/>
          <w:sz w:val="22"/>
          <w:szCs w:val="22"/>
          <w:lang w:val="en-US"/>
        </w:rPr>
        <w:t xml:space="preserve">Midazolam adverse events after oral administration of therapeutic doses </w:t>
      </w:r>
      <w:r w:rsidRPr="00AD70DE">
        <w:rPr>
          <w:b w:val="0"/>
          <w:noProof/>
          <w:color w:val="auto"/>
          <w:sz w:val="22"/>
          <w:szCs w:val="22"/>
          <w:lang w:val="en-US"/>
        </w:rPr>
        <w:t>[16]</w:t>
      </w:r>
    </w:p>
    <w:tbl>
      <w:tblPr>
        <w:tblStyle w:val="Tabellenraster"/>
        <w:tblW w:w="0" w:type="auto"/>
        <w:tblLook w:val="04A0" w:firstRow="1" w:lastRow="0" w:firstColumn="1" w:lastColumn="0" w:noHBand="0" w:noVBand="1"/>
      </w:tblPr>
      <w:tblGrid>
        <w:gridCol w:w="2303"/>
        <w:gridCol w:w="6909"/>
      </w:tblGrid>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pPr>
            <w:r w:rsidRPr="00AD70DE">
              <w:t>System Organ Class</w:t>
            </w:r>
          </w:p>
        </w:tc>
        <w:tc>
          <w:tcPr>
            <w:tcW w:w="6909" w:type="dxa"/>
            <w:tcBorders>
              <w:top w:val="single" w:sz="4" w:space="0" w:color="auto"/>
              <w:left w:val="single" w:sz="4" w:space="0" w:color="auto"/>
              <w:bottom w:val="single" w:sz="4" w:space="0" w:color="auto"/>
              <w:right w:val="single" w:sz="4" w:space="0" w:color="auto"/>
            </w:tcBorders>
          </w:tcPr>
          <w:p w:rsidR="009C32E7" w:rsidRPr="00AD70DE" w:rsidRDefault="009C32E7" w:rsidP="00AD70DE">
            <w:r w:rsidRPr="00AD70DE">
              <w:rPr>
                <w:lang w:val="en-US"/>
              </w:rPr>
              <w:t xml:space="preserve">Adverse events – frequencies in symbols (Ref. </w:t>
            </w:r>
            <w:r w:rsidRPr="00AD70DE">
              <w:fldChar w:fldCharType="begin"/>
            </w:r>
            <w:r w:rsidRPr="00AD70DE">
              <w:rPr>
                <w:lang w:val="en-US"/>
              </w:rPr>
              <w:instrText xml:space="preserve"> REF _Ref528741782 \h  \* MERGEFORMAT </w:instrText>
            </w:r>
            <w:r w:rsidRPr="00AD70DE">
              <w:fldChar w:fldCharType="separate"/>
            </w:r>
            <w:r w:rsidR="000B6E0A">
              <w:rPr>
                <w:b/>
                <w:bCs/>
              </w:rPr>
              <w:t>Fehler! Verweisquelle konnte nicht gefunden werden.</w:t>
            </w:r>
            <w:r w:rsidRPr="00AD70DE">
              <w:fldChar w:fldCharType="end"/>
            </w:r>
            <w:r w:rsidRPr="00AD70DE">
              <w:t>)</w:t>
            </w:r>
          </w:p>
          <w:p w:rsidR="009C32E7" w:rsidRPr="00AD70DE" w:rsidRDefault="009C32E7" w:rsidP="00AD70DE">
            <w:pPr>
              <w:spacing w:before="120"/>
            </w:pP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pPr>
            <w:r w:rsidRPr="00AD70DE">
              <w:t xml:space="preserve">Immune </w:t>
            </w:r>
            <w:proofErr w:type="spellStart"/>
            <w:r w:rsidRPr="00AD70DE">
              <w:t>system</w:t>
            </w:r>
            <w:proofErr w:type="spellEnd"/>
            <w:r w:rsidRPr="00AD70DE">
              <w:t xml:space="preserve"> </w:t>
            </w:r>
            <w:proofErr w:type="spellStart"/>
            <w:r w:rsidRPr="00AD70DE">
              <w:t>disorders</w:t>
            </w:r>
            <w:proofErr w:type="spellEnd"/>
          </w:p>
        </w:tc>
        <w:tc>
          <w:tcPr>
            <w:tcW w:w="6909" w:type="dxa"/>
            <w:tcBorders>
              <w:top w:val="single" w:sz="4" w:space="0" w:color="auto"/>
              <w:left w:val="single" w:sz="4" w:space="0" w:color="auto"/>
              <w:bottom w:val="single" w:sz="4" w:space="0" w:color="auto"/>
              <w:right w:val="single" w:sz="4" w:space="0" w:color="auto"/>
            </w:tcBorders>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 Hypersensitivity reactions, angioedema, anaphylactic reaction</w:t>
            </w:r>
          </w:p>
          <w:p w:rsidR="009C32E7" w:rsidRPr="00AD70DE" w:rsidRDefault="009C32E7" w:rsidP="00AD70DE">
            <w:pPr>
              <w:spacing w:before="120"/>
            </w:pP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pPr>
            <w:proofErr w:type="spellStart"/>
            <w:r w:rsidRPr="00AD70DE">
              <w:t>Psychiatric</w:t>
            </w:r>
            <w:proofErr w:type="spellEnd"/>
            <w:r w:rsidRPr="00AD70DE">
              <w:t xml:space="preserve"> </w:t>
            </w:r>
            <w:proofErr w:type="spellStart"/>
            <w:r w:rsidRPr="00AD70DE">
              <w:t>disorders</w:t>
            </w:r>
            <w:proofErr w:type="spellEnd"/>
          </w:p>
        </w:tc>
        <w:tc>
          <w:tcPr>
            <w:tcW w:w="6909"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 xml:space="preserve">*?: Confusion, euphoric mood, hallucinations,: </w:t>
            </w:r>
            <w:proofErr w:type="spellStart"/>
            <w:r w:rsidRPr="00AD70DE">
              <w:rPr>
                <w:rFonts w:asciiTheme="minorHAnsi" w:hAnsiTheme="minorHAnsi"/>
                <w:sz w:val="22"/>
                <w:szCs w:val="22"/>
                <w:lang w:val="en-US"/>
              </w:rPr>
              <w:t>agitation</w:t>
            </w:r>
            <w:r w:rsidRPr="00AD70DE">
              <w:rPr>
                <w:rFonts w:asciiTheme="minorHAnsi" w:hAnsiTheme="minorHAnsi"/>
                <w:sz w:val="22"/>
                <w:szCs w:val="22"/>
                <w:vertAlign w:val="superscript"/>
                <w:lang w:val="en-US"/>
              </w:rPr>
              <w:t>A</w:t>
            </w:r>
            <w:proofErr w:type="spellEnd"/>
            <w:r w:rsidRPr="00AD70DE">
              <w:rPr>
                <w:rFonts w:asciiTheme="minorHAnsi" w:hAnsiTheme="minorHAnsi"/>
                <w:sz w:val="22"/>
                <w:szCs w:val="22"/>
                <w:lang w:val="en-US"/>
              </w:rPr>
              <w:t xml:space="preserve">, </w:t>
            </w:r>
            <w:proofErr w:type="spellStart"/>
            <w:r w:rsidRPr="00AD70DE">
              <w:rPr>
                <w:rFonts w:asciiTheme="minorHAnsi" w:hAnsiTheme="minorHAnsi"/>
                <w:sz w:val="22"/>
                <w:szCs w:val="22"/>
                <w:lang w:val="en-US"/>
              </w:rPr>
              <w:t>hyperactivity</w:t>
            </w:r>
            <w:r w:rsidRPr="00AD70DE">
              <w:rPr>
                <w:rFonts w:asciiTheme="minorHAnsi" w:hAnsiTheme="minorHAnsi"/>
                <w:sz w:val="22"/>
                <w:szCs w:val="22"/>
                <w:vertAlign w:val="superscript"/>
                <w:lang w:val="en-US"/>
              </w:rPr>
              <w:t>A</w:t>
            </w:r>
            <w:proofErr w:type="spellEnd"/>
            <w:r w:rsidRPr="00AD70DE">
              <w:rPr>
                <w:rFonts w:asciiTheme="minorHAnsi" w:hAnsiTheme="minorHAnsi"/>
                <w:sz w:val="22"/>
                <w:szCs w:val="22"/>
                <w:lang w:val="en-US"/>
              </w:rPr>
              <w:t xml:space="preserve">, </w:t>
            </w:r>
            <w:proofErr w:type="spellStart"/>
            <w:r w:rsidRPr="00AD70DE">
              <w:rPr>
                <w:rFonts w:asciiTheme="minorHAnsi" w:hAnsiTheme="minorHAnsi"/>
                <w:sz w:val="22"/>
                <w:szCs w:val="22"/>
                <w:lang w:val="en-US"/>
              </w:rPr>
              <w:t>hostility</w:t>
            </w:r>
            <w:r w:rsidRPr="00AD70DE">
              <w:rPr>
                <w:rFonts w:asciiTheme="minorHAnsi" w:hAnsiTheme="minorHAnsi"/>
                <w:sz w:val="22"/>
                <w:szCs w:val="22"/>
                <w:vertAlign w:val="superscript"/>
                <w:lang w:val="en-US"/>
              </w:rPr>
              <w:t>A</w:t>
            </w:r>
            <w:proofErr w:type="spellEnd"/>
            <w:r w:rsidRPr="00AD70DE">
              <w:rPr>
                <w:rFonts w:asciiTheme="minorHAnsi" w:hAnsiTheme="minorHAnsi"/>
                <w:sz w:val="22"/>
                <w:szCs w:val="22"/>
                <w:lang w:val="en-US"/>
              </w:rPr>
              <w:t xml:space="preserve">, rage </w:t>
            </w:r>
            <w:proofErr w:type="spellStart"/>
            <w:r w:rsidRPr="00AD70DE">
              <w:rPr>
                <w:rFonts w:asciiTheme="minorHAnsi" w:hAnsiTheme="minorHAnsi"/>
                <w:sz w:val="22"/>
                <w:szCs w:val="22"/>
                <w:lang w:val="en-US"/>
              </w:rPr>
              <w:t>reaction</w:t>
            </w:r>
            <w:r w:rsidRPr="00AD70DE">
              <w:rPr>
                <w:rFonts w:asciiTheme="minorHAnsi" w:hAnsiTheme="minorHAnsi"/>
                <w:sz w:val="22"/>
                <w:szCs w:val="22"/>
                <w:vertAlign w:val="superscript"/>
                <w:lang w:val="en-US"/>
              </w:rPr>
              <w:t>A</w:t>
            </w:r>
            <w:proofErr w:type="spellEnd"/>
            <w:r w:rsidRPr="00AD70DE">
              <w:rPr>
                <w:rFonts w:asciiTheme="minorHAnsi" w:hAnsiTheme="minorHAnsi"/>
                <w:sz w:val="22"/>
                <w:szCs w:val="22"/>
                <w:lang w:val="en-US"/>
              </w:rPr>
              <w:t xml:space="preserve">, </w:t>
            </w:r>
            <w:proofErr w:type="spellStart"/>
            <w:r w:rsidRPr="00AD70DE">
              <w:rPr>
                <w:rFonts w:asciiTheme="minorHAnsi" w:hAnsiTheme="minorHAnsi"/>
                <w:sz w:val="22"/>
                <w:szCs w:val="22"/>
                <w:lang w:val="en-US"/>
              </w:rPr>
              <w:t>aggressiveness</w:t>
            </w:r>
            <w:r w:rsidRPr="00AD70DE">
              <w:rPr>
                <w:rFonts w:asciiTheme="minorHAnsi" w:hAnsiTheme="minorHAnsi"/>
                <w:sz w:val="22"/>
                <w:szCs w:val="22"/>
                <w:vertAlign w:val="superscript"/>
                <w:lang w:val="en-US"/>
              </w:rPr>
              <w:t>A</w:t>
            </w:r>
            <w:proofErr w:type="spellEnd"/>
            <w:r w:rsidRPr="00AD70DE">
              <w:rPr>
                <w:rFonts w:asciiTheme="minorHAnsi" w:hAnsiTheme="minorHAnsi"/>
                <w:sz w:val="22"/>
                <w:szCs w:val="22"/>
                <w:lang w:val="en-US"/>
              </w:rPr>
              <w:t xml:space="preserve">, paroxysmal </w:t>
            </w:r>
            <w:proofErr w:type="spellStart"/>
            <w:r w:rsidRPr="00AD70DE">
              <w:rPr>
                <w:rFonts w:asciiTheme="minorHAnsi" w:hAnsiTheme="minorHAnsi"/>
                <w:sz w:val="22"/>
                <w:szCs w:val="22"/>
                <w:lang w:val="en-US"/>
              </w:rPr>
              <w:t>excitement</w:t>
            </w:r>
            <w:r w:rsidRPr="00AD70DE">
              <w:rPr>
                <w:rFonts w:asciiTheme="minorHAnsi" w:hAnsiTheme="minorHAnsi"/>
                <w:sz w:val="22"/>
                <w:szCs w:val="22"/>
                <w:vertAlign w:val="superscript"/>
                <w:lang w:val="en-US"/>
              </w:rPr>
              <w:t>A</w:t>
            </w:r>
            <w:proofErr w:type="spellEnd"/>
            <w:r w:rsidRPr="00AD70DE">
              <w:rPr>
                <w:rFonts w:asciiTheme="minorHAnsi" w:hAnsiTheme="minorHAnsi"/>
                <w:sz w:val="22"/>
                <w:szCs w:val="22"/>
                <w:lang w:val="en-US"/>
              </w:rPr>
              <w:t xml:space="preserve">, dependency, withdrawal syndrome (incl. concomitant convulsions) </w:t>
            </w: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pPr>
            <w:proofErr w:type="spellStart"/>
            <w:r w:rsidRPr="00AD70DE">
              <w:t>Nervous</w:t>
            </w:r>
            <w:proofErr w:type="spellEnd"/>
            <w:r w:rsidRPr="00AD70DE">
              <w:t xml:space="preserve"> </w:t>
            </w:r>
            <w:proofErr w:type="spellStart"/>
            <w:r w:rsidRPr="00AD70DE">
              <w:t>system</w:t>
            </w:r>
            <w:proofErr w:type="spellEnd"/>
            <w:r w:rsidRPr="00AD70DE">
              <w:t xml:space="preserve"> </w:t>
            </w:r>
            <w:proofErr w:type="spellStart"/>
            <w:r w:rsidRPr="00AD70DE">
              <w:t>disorders</w:t>
            </w:r>
            <w:proofErr w:type="spellEnd"/>
          </w:p>
        </w:tc>
        <w:tc>
          <w:tcPr>
            <w:tcW w:w="6909"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 Prolonged sedation, involuntary movements (incl. tonic-</w:t>
            </w:r>
            <w:proofErr w:type="spellStart"/>
            <w:r w:rsidRPr="00AD70DE">
              <w:rPr>
                <w:rFonts w:asciiTheme="minorHAnsi" w:hAnsiTheme="minorHAnsi"/>
                <w:sz w:val="22"/>
                <w:szCs w:val="22"/>
                <w:lang w:val="en-US"/>
              </w:rPr>
              <w:t>clonic</w:t>
            </w:r>
            <w:proofErr w:type="spellEnd"/>
            <w:r w:rsidRPr="00AD70DE">
              <w:rPr>
                <w:rFonts w:asciiTheme="minorHAnsi" w:hAnsiTheme="minorHAnsi"/>
                <w:sz w:val="22"/>
                <w:szCs w:val="22"/>
                <w:lang w:val="en-US"/>
              </w:rPr>
              <w:t xml:space="preserve"> movements, tremor)*, decreased alertness, somnolence, headache, dizziness, ataxia, anterograde amnesia**, convulsions*, prolonged time for reaction </w:t>
            </w: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pPr>
            <w:r w:rsidRPr="00AD70DE">
              <w:t xml:space="preserve">Eye </w:t>
            </w:r>
            <w:proofErr w:type="spellStart"/>
            <w:r w:rsidRPr="00AD70DE">
              <w:t>disorders</w:t>
            </w:r>
            <w:proofErr w:type="spellEnd"/>
          </w:p>
        </w:tc>
        <w:tc>
          <w:tcPr>
            <w:tcW w:w="6909"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w:t>
            </w:r>
            <w:proofErr w:type="gramStart"/>
            <w:r w:rsidRPr="00AD70DE">
              <w:rPr>
                <w:rFonts w:asciiTheme="minorHAnsi" w:hAnsiTheme="minorHAnsi"/>
                <w:sz w:val="22"/>
                <w:szCs w:val="22"/>
                <w:lang w:val="en-US"/>
              </w:rPr>
              <w:t>?:</w:t>
            </w:r>
            <w:proofErr w:type="gramEnd"/>
            <w:r w:rsidRPr="00AD70DE">
              <w:rPr>
                <w:rFonts w:asciiTheme="minorHAnsi" w:hAnsiTheme="minorHAnsi"/>
                <w:sz w:val="22"/>
                <w:szCs w:val="22"/>
                <w:lang w:val="en-US"/>
              </w:rPr>
              <w:t xml:space="preserve"> Blurred vision, diplopia, nystagmus, focusing difficulties, cyclic movement of eyelids. </w:t>
            </w: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pPr>
            <w:proofErr w:type="spellStart"/>
            <w:r w:rsidRPr="00AD70DE">
              <w:t>Cardiac</w:t>
            </w:r>
            <w:proofErr w:type="spellEnd"/>
            <w:r w:rsidRPr="00AD70DE">
              <w:t xml:space="preserve"> </w:t>
            </w:r>
            <w:proofErr w:type="spellStart"/>
            <w:r w:rsidRPr="00AD70DE">
              <w:t>disorders</w:t>
            </w:r>
            <w:proofErr w:type="spellEnd"/>
          </w:p>
        </w:tc>
        <w:tc>
          <w:tcPr>
            <w:tcW w:w="6909"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 xml:space="preserve">*?: Bradycardia, cardiac arrest </w:t>
            </w: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pPr>
            <w:proofErr w:type="spellStart"/>
            <w:r w:rsidRPr="00AD70DE">
              <w:t>Vascular</w:t>
            </w:r>
            <w:proofErr w:type="spellEnd"/>
            <w:r w:rsidRPr="00AD70DE">
              <w:t xml:space="preserve"> </w:t>
            </w:r>
            <w:proofErr w:type="spellStart"/>
            <w:r w:rsidRPr="00AD70DE">
              <w:t>disorders</w:t>
            </w:r>
            <w:proofErr w:type="spellEnd"/>
          </w:p>
        </w:tc>
        <w:tc>
          <w:tcPr>
            <w:tcW w:w="6909"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 xml:space="preserve">*?: Hypotension, vasodilation, thrombophlebitis, thrombosis </w:t>
            </w: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rPr>
                <w:lang w:val="en-US"/>
              </w:rPr>
            </w:pPr>
            <w:r w:rsidRPr="00AD70DE">
              <w:rPr>
                <w:lang w:val="en-US"/>
              </w:rPr>
              <w:t>Respiratory, thoracic and mediastinal disorders</w:t>
            </w:r>
          </w:p>
        </w:tc>
        <w:tc>
          <w:tcPr>
            <w:tcW w:w="6909"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 xml:space="preserve">*?: Respiratory depression, apnea, breathing arrest, dyspnea, spasmodic laryngitis, hiccup </w:t>
            </w: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pPr>
            <w:proofErr w:type="spellStart"/>
            <w:r w:rsidRPr="00AD70DE">
              <w:t>Gastro</w:t>
            </w:r>
            <w:proofErr w:type="spellEnd"/>
            <w:r w:rsidRPr="00AD70DE">
              <w:t xml:space="preserve">-intestinal </w:t>
            </w:r>
            <w:proofErr w:type="spellStart"/>
            <w:r w:rsidRPr="00AD70DE">
              <w:t>disorders</w:t>
            </w:r>
            <w:proofErr w:type="spellEnd"/>
            <w:r w:rsidRPr="00AD70DE">
              <w:t xml:space="preserve"> </w:t>
            </w:r>
          </w:p>
        </w:tc>
        <w:tc>
          <w:tcPr>
            <w:tcW w:w="6909"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w:t>
            </w:r>
            <w:proofErr w:type="gramStart"/>
            <w:r w:rsidRPr="00AD70DE">
              <w:rPr>
                <w:rFonts w:asciiTheme="minorHAnsi" w:hAnsiTheme="minorHAnsi"/>
                <w:sz w:val="22"/>
                <w:szCs w:val="22"/>
                <w:lang w:val="en-US"/>
              </w:rPr>
              <w:t>?:</w:t>
            </w:r>
            <w:proofErr w:type="gramEnd"/>
            <w:r w:rsidRPr="00AD70DE">
              <w:rPr>
                <w:rFonts w:asciiTheme="minorHAnsi" w:hAnsiTheme="minorHAnsi"/>
                <w:sz w:val="22"/>
                <w:szCs w:val="22"/>
                <w:lang w:val="en-US"/>
              </w:rPr>
              <w:t xml:space="preserve"> Nausea, vomiting, constipation, dry mouth. </w:t>
            </w: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rPr>
                <w:lang w:val="en-US"/>
              </w:rPr>
            </w:pPr>
            <w:r w:rsidRPr="00AD70DE">
              <w:rPr>
                <w:lang w:val="en-US"/>
              </w:rPr>
              <w:t xml:space="preserve">Skin and subcutaneous tissue disorders: </w:t>
            </w:r>
          </w:p>
        </w:tc>
        <w:tc>
          <w:tcPr>
            <w:tcW w:w="6909"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w:t>
            </w:r>
            <w:proofErr w:type="gramStart"/>
            <w:r w:rsidRPr="00AD70DE">
              <w:rPr>
                <w:rFonts w:asciiTheme="minorHAnsi" w:hAnsiTheme="minorHAnsi"/>
                <w:sz w:val="22"/>
                <w:szCs w:val="22"/>
                <w:lang w:val="en-US"/>
              </w:rPr>
              <w:t>?:</w:t>
            </w:r>
            <w:proofErr w:type="gramEnd"/>
            <w:r w:rsidRPr="00AD70DE">
              <w:rPr>
                <w:rFonts w:asciiTheme="minorHAnsi" w:hAnsiTheme="minorHAnsi"/>
                <w:sz w:val="22"/>
                <w:szCs w:val="22"/>
                <w:lang w:val="en-US"/>
              </w:rPr>
              <w:t xml:space="preserve"> Skin rash, </w:t>
            </w:r>
            <w:proofErr w:type="spellStart"/>
            <w:r w:rsidRPr="00AD70DE">
              <w:rPr>
                <w:rFonts w:asciiTheme="minorHAnsi" w:hAnsiTheme="minorHAnsi"/>
                <w:sz w:val="22"/>
                <w:szCs w:val="22"/>
                <w:lang w:val="en-US"/>
              </w:rPr>
              <w:t>urticaria</w:t>
            </w:r>
            <w:proofErr w:type="spellEnd"/>
            <w:r w:rsidRPr="00AD70DE">
              <w:rPr>
                <w:rFonts w:asciiTheme="minorHAnsi" w:hAnsiTheme="minorHAnsi"/>
                <w:sz w:val="22"/>
                <w:szCs w:val="22"/>
                <w:lang w:val="en-US"/>
              </w:rPr>
              <w:t>, pruritus.</w:t>
            </w:r>
          </w:p>
        </w:tc>
      </w:tr>
      <w:tr w:rsidR="009C32E7" w:rsidRPr="00AD70DE" w:rsidTr="008355A9">
        <w:tc>
          <w:tcPr>
            <w:tcW w:w="2303"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before="120"/>
              <w:rPr>
                <w:lang w:val="en-US"/>
              </w:rPr>
            </w:pPr>
            <w:r w:rsidRPr="00AD70DE">
              <w:rPr>
                <w:lang w:val="en-US"/>
              </w:rPr>
              <w:t>General disorders and administration site conditions</w:t>
            </w:r>
          </w:p>
        </w:tc>
        <w:tc>
          <w:tcPr>
            <w:tcW w:w="6909" w:type="dxa"/>
            <w:tcBorders>
              <w:top w:val="single" w:sz="4" w:space="0" w:color="auto"/>
              <w:left w:val="single" w:sz="4" w:space="0" w:color="auto"/>
              <w:bottom w:val="single" w:sz="4" w:space="0" w:color="auto"/>
              <w:right w:val="single" w:sz="4" w:space="0" w:color="auto"/>
            </w:tcBorders>
          </w:tcPr>
          <w:p w:rsidR="009C32E7" w:rsidRPr="00AD70DE" w:rsidRDefault="009C32E7" w:rsidP="00AD70DE">
            <w:pPr>
              <w:pStyle w:val="Default"/>
              <w:rPr>
                <w:rFonts w:asciiTheme="minorHAnsi" w:hAnsiTheme="minorHAnsi"/>
                <w:sz w:val="22"/>
                <w:szCs w:val="22"/>
                <w:lang w:val="en-US"/>
              </w:rPr>
            </w:pPr>
            <w:r w:rsidRPr="00AD70DE">
              <w:rPr>
                <w:rFonts w:asciiTheme="minorHAnsi" w:hAnsiTheme="minorHAnsi"/>
                <w:sz w:val="22"/>
                <w:szCs w:val="22"/>
                <w:lang w:val="en-US"/>
              </w:rPr>
              <w:t xml:space="preserve">*?: Fatigue, alterations of libido, increased risk of falling in elderly, erythema and pain at the injection site </w:t>
            </w:r>
          </w:p>
          <w:p w:rsidR="009C32E7" w:rsidRPr="00AD70DE" w:rsidRDefault="009C32E7" w:rsidP="00AD70DE">
            <w:pPr>
              <w:spacing w:before="120"/>
              <w:rPr>
                <w:lang w:val="en-US"/>
              </w:rPr>
            </w:pPr>
          </w:p>
        </w:tc>
      </w:tr>
    </w:tbl>
    <w:p w:rsidR="009C32E7" w:rsidRPr="00AD70DE" w:rsidRDefault="009C32E7" w:rsidP="00AD70DE">
      <w:pPr>
        <w:rPr>
          <w:sz w:val="20"/>
          <w:szCs w:val="20"/>
          <w:lang w:val="en-US" w:eastAsia="de-DE"/>
        </w:rPr>
      </w:pPr>
      <w:r w:rsidRPr="00AD70DE">
        <w:rPr>
          <w:sz w:val="20"/>
          <w:szCs w:val="20"/>
          <w:vertAlign w:val="superscript"/>
          <w:lang w:val="en-US"/>
        </w:rPr>
        <w:t>A</w:t>
      </w:r>
      <w:r w:rsidRPr="00AD70DE">
        <w:rPr>
          <w:sz w:val="20"/>
          <w:szCs w:val="20"/>
          <w:lang w:val="en-US"/>
        </w:rPr>
        <w:t xml:space="preserve">: </w:t>
      </w:r>
      <w:r w:rsidRPr="00AD70DE">
        <w:rPr>
          <w:lang w:val="en-US"/>
        </w:rPr>
        <w:t>Paradoxical reactions were especially observed in children and/or older patients, *</w:t>
      </w:r>
      <w:proofErr w:type="gramStart"/>
      <w:r w:rsidRPr="00AD70DE">
        <w:rPr>
          <w:lang w:val="en-US"/>
        </w:rPr>
        <w:t>?:</w:t>
      </w:r>
      <w:proofErr w:type="gramEnd"/>
      <w:r w:rsidRPr="00AD70DE">
        <w:rPr>
          <w:lang w:val="en-US"/>
        </w:rPr>
        <w:t xml:space="preserve"> no AE frequencies are known for midazolam </w:t>
      </w:r>
      <w:proofErr w:type="spellStart"/>
      <w:r w:rsidRPr="00AD70DE">
        <w:rPr>
          <w:lang w:val="en-US"/>
        </w:rPr>
        <w:t>microdoses</w:t>
      </w:r>
      <w:proofErr w:type="spellEnd"/>
    </w:p>
    <w:p w:rsidR="009C32E7" w:rsidRPr="00AD70DE" w:rsidRDefault="009C32E7" w:rsidP="00AD70DE">
      <w:pPr>
        <w:rPr>
          <w:lang w:val="en-GB"/>
        </w:rPr>
      </w:pPr>
      <w:r w:rsidRPr="00AD70DE">
        <w:rPr>
          <w:lang w:val="en-GB"/>
        </w:rPr>
        <w:t>In a therapeutic dosing regimen, AEs are likely. Because this trial uses a microdose setting, administering a single dose of midazolam, which is 100 times lower than the therapeutic dose and thus judged as a biologically inactive dose, AEs are extremely unlikely.</w:t>
      </w:r>
    </w:p>
    <w:p w:rsidR="009C32E7" w:rsidRPr="00AD70DE" w:rsidRDefault="009C32E7" w:rsidP="00AD70DE">
      <w:pPr>
        <w:pStyle w:val="111Formatvorlage"/>
        <w:keepNext w:val="0"/>
        <w:keepLines w:val="0"/>
        <w:numPr>
          <w:ilvl w:val="2"/>
          <w:numId w:val="3"/>
        </w:numPr>
        <w:spacing w:line="240" w:lineRule="exact"/>
        <w:ind w:left="993" w:hanging="993"/>
      </w:pPr>
      <w:bookmarkStart w:id="1750" w:name="_Toc986984"/>
      <w:bookmarkStart w:id="1751" w:name="_Toc535920945"/>
      <w:bookmarkStart w:id="1752" w:name="_Toc37173074"/>
      <w:bookmarkStart w:id="1753" w:name="_Toc37243468"/>
      <w:r w:rsidRPr="00AD70DE">
        <w:t>Contraindications</w:t>
      </w:r>
      <w:bookmarkEnd w:id="1750"/>
      <w:bookmarkEnd w:id="1751"/>
      <w:bookmarkEnd w:id="1752"/>
      <w:bookmarkEnd w:id="1753"/>
    </w:p>
    <w:p w:rsidR="009C32E7" w:rsidRPr="00AD70DE" w:rsidRDefault="009C32E7" w:rsidP="00AD70DE">
      <w:pPr>
        <w:rPr>
          <w:lang w:val="en-US"/>
        </w:rPr>
      </w:pPr>
      <w:r w:rsidRPr="00AD70DE">
        <w:rPr>
          <w:lang w:val="en-US"/>
        </w:rPr>
        <w:t xml:space="preserve">Although it is a </w:t>
      </w:r>
      <w:r w:rsidRPr="00AD70DE">
        <w:rPr>
          <w:lang w:val="en-GB"/>
        </w:rPr>
        <w:t>biologically inactive dose</w:t>
      </w:r>
      <w:r w:rsidRPr="00AD70DE">
        <w:rPr>
          <w:lang w:val="en-US"/>
        </w:rPr>
        <w:t xml:space="preserve"> and no other contraindication applies, midazolam must not be administered to patients with known hypersensitivity to midazolam, the brand’s additives, or related substances. </w:t>
      </w:r>
    </w:p>
    <w:p w:rsidR="009C32E7" w:rsidRPr="00AD70DE" w:rsidRDefault="009C32E7" w:rsidP="00AD70DE">
      <w:pPr>
        <w:pStyle w:val="111Formatvorlage"/>
        <w:keepNext w:val="0"/>
        <w:keepLines w:val="0"/>
        <w:numPr>
          <w:ilvl w:val="2"/>
          <w:numId w:val="3"/>
        </w:numPr>
        <w:spacing w:line="240" w:lineRule="exact"/>
        <w:ind w:left="993" w:hanging="993"/>
      </w:pPr>
      <w:r w:rsidRPr="00AD70DE">
        <w:t>Pregnancy precaution</w:t>
      </w:r>
    </w:p>
    <w:p w:rsidR="009C32E7" w:rsidRPr="00AD70DE" w:rsidRDefault="009C32E7" w:rsidP="00AD70DE">
      <w:pPr>
        <w:rPr>
          <w:lang w:val="en-US"/>
        </w:rPr>
      </w:pPr>
      <w:r w:rsidRPr="00AD70DE">
        <w:rPr>
          <w:lang w:val="en-US"/>
        </w:rPr>
        <w:t xml:space="preserve">There is no published data about midazolam exposure in the first trimester. However data from diazepam suggested an increased risk for cleft lip-jaws-palates. Other clinical data did not confirm an increased risk. The manufacturer does not recommend the use of the drug in pregnancy unless there is an unequivocal need due to a maternal indication. </w:t>
      </w:r>
    </w:p>
    <w:p w:rsidR="009C32E7" w:rsidRPr="00AD70DE" w:rsidRDefault="009C32E7" w:rsidP="00AD70DE">
      <w:pPr>
        <w:rPr>
          <w:lang w:val="en-US"/>
        </w:rPr>
      </w:pPr>
      <w:r w:rsidRPr="00AD70DE">
        <w:rPr>
          <w:lang w:val="en-US"/>
        </w:rPr>
        <w:t xml:space="preserve">Because midazolam will be administered in a microdose setting, no specific pregnancy precautions will be required. The pregnancy precaution in this </w:t>
      </w:r>
      <w:proofErr w:type="gramStart"/>
      <w:r w:rsidRPr="00AD70DE">
        <w:rPr>
          <w:lang w:val="en-US"/>
        </w:rPr>
        <w:t>trial,</w:t>
      </w:r>
      <w:proofErr w:type="gramEnd"/>
      <w:r w:rsidRPr="00AD70DE">
        <w:rPr>
          <w:lang w:val="en-US"/>
        </w:rPr>
        <w:t xml:space="preserve"> will anyway be defined by the IMP which requires the highest pregnancy precautions, which is HCQ.</w:t>
      </w:r>
    </w:p>
    <w:p w:rsidR="009C32E7" w:rsidRPr="00AD70DE" w:rsidRDefault="009C32E7" w:rsidP="00AD70DE">
      <w:pPr>
        <w:pStyle w:val="berschrift2"/>
        <w:spacing w:before="240"/>
        <w:ind w:left="567" w:hanging="567"/>
        <w:rPr>
          <w:color w:val="auto"/>
        </w:rPr>
      </w:pPr>
      <w:bookmarkStart w:id="1754" w:name="_Toc37173075"/>
      <w:bookmarkStart w:id="1755" w:name="_Toc37243469"/>
      <w:proofErr w:type="spellStart"/>
      <w:r w:rsidRPr="00AD70DE">
        <w:rPr>
          <w:color w:val="auto"/>
        </w:rPr>
        <w:t>Yohimbine</w:t>
      </w:r>
      <w:bookmarkEnd w:id="1754"/>
      <w:bookmarkEnd w:id="1755"/>
      <w:proofErr w:type="spellEnd"/>
    </w:p>
    <w:p w:rsidR="009C32E7" w:rsidRPr="00AD70DE" w:rsidRDefault="009C32E7" w:rsidP="00AD70DE">
      <w:pPr>
        <w:keepNext/>
        <w:keepLines/>
        <w:spacing w:after="120" w:line="240" w:lineRule="exact"/>
        <w:rPr>
          <w:snapToGrid w:val="0"/>
          <w:color w:val="000000"/>
          <w:lang w:val="en-GB"/>
        </w:rPr>
      </w:pPr>
      <w:proofErr w:type="gramStart"/>
      <w:r w:rsidRPr="00AD70DE">
        <w:rPr>
          <w:snapToGrid w:val="0"/>
          <w:color w:val="000000"/>
          <w:lang w:val="en-GB"/>
        </w:rPr>
        <w:t xml:space="preserve">Administration of 50 µg </w:t>
      </w:r>
      <w:proofErr w:type="spellStart"/>
      <w:r w:rsidRPr="00AD70DE">
        <w:rPr>
          <w:snapToGrid w:val="0"/>
          <w:color w:val="000000"/>
          <w:lang w:val="en-GB"/>
        </w:rPr>
        <w:t>p.o.</w:t>
      </w:r>
      <w:proofErr w:type="spellEnd"/>
      <w:r w:rsidRPr="00AD70DE">
        <w:rPr>
          <w:snapToGrid w:val="0"/>
          <w:color w:val="000000"/>
          <w:lang w:val="en-GB"/>
        </w:rPr>
        <w:t xml:space="preserve"> (2 tablets) together with 100 ml water on V1 and V2.</w:t>
      </w:r>
      <w:proofErr w:type="gramEnd"/>
      <w:r w:rsidRPr="00AD70DE">
        <w:rPr>
          <w:snapToGrid w:val="0"/>
          <w:color w:val="000000"/>
          <w:lang w:val="en-GB"/>
        </w:rPr>
        <w:t xml:space="preserve"> </w:t>
      </w:r>
    </w:p>
    <w:p w:rsidR="009C32E7" w:rsidRPr="00AD70DE" w:rsidRDefault="009C32E7" w:rsidP="00AD70DE">
      <w:pPr>
        <w:keepNext/>
        <w:keepLines/>
        <w:autoSpaceDE w:val="0"/>
        <w:autoSpaceDN w:val="0"/>
        <w:adjustRightInd w:val="0"/>
        <w:spacing w:after="240" w:line="240" w:lineRule="auto"/>
        <w:rPr>
          <w:rFonts w:cs="Times"/>
          <w:lang w:val="en-GB" w:eastAsia="de-DE"/>
        </w:rPr>
      </w:pPr>
      <w:r w:rsidRPr="00AD70DE">
        <w:rPr>
          <w:rFonts w:cs="Calibri"/>
          <w:lang w:val="en-GB" w:eastAsia="de-DE"/>
        </w:rPr>
        <w:t xml:space="preserve">A pharmacologically inactive dose of </w:t>
      </w:r>
      <w:proofErr w:type="spellStart"/>
      <w:r w:rsidRPr="00AD70DE">
        <w:rPr>
          <w:rFonts w:cs="Calibri"/>
          <w:lang w:val="en-GB" w:eastAsia="de-DE"/>
        </w:rPr>
        <w:t>Yohimbinum</w:t>
      </w:r>
      <w:proofErr w:type="spellEnd"/>
      <w:r w:rsidRPr="00AD70DE">
        <w:rPr>
          <w:rFonts w:cs="Calibri"/>
          <w:lang w:val="en-GB" w:eastAsia="de-DE"/>
        </w:rPr>
        <w:t xml:space="preserve"> </w:t>
      </w:r>
      <w:proofErr w:type="spellStart"/>
      <w:r w:rsidRPr="00AD70DE">
        <w:rPr>
          <w:rFonts w:cs="Calibri"/>
          <w:lang w:val="en-GB" w:eastAsia="de-DE"/>
        </w:rPr>
        <w:t>hydrochloricum</w:t>
      </w:r>
      <w:proofErr w:type="spellEnd"/>
      <w:r w:rsidRPr="00AD70DE">
        <w:rPr>
          <w:rFonts w:cs="Calibri"/>
          <w:lang w:val="en-GB" w:eastAsia="de-DE"/>
        </w:rPr>
        <w:t xml:space="preserve"> D4® (50 µg) will be administered orally as diagnostic substance to phenotype the CYP2D6 activity. This dose is &gt; 100 times lower than the regular doses used in a therapeutic setting. </w:t>
      </w:r>
      <w:r w:rsidRPr="00AD70DE">
        <w:rPr>
          <w:rFonts w:cs="Times"/>
          <w:lang w:val="en-GB" w:eastAsia="de-DE"/>
        </w:rPr>
        <w:t xml:space="preserve">This dose does not exhibit any pharmacological activity and, therefore, no AEs are expected, nevertheless, allergic reactions cannot be completely ruled out. </w:t>
      </w:r>
    </w:p>
    <w:p w:rsidR="009C32E7" w:rsidRPr="00AD70DE" w:rsidRDefault="009C32E7" w:rsidP="00AD70DE">
      <w:pPr>
        <w:widowControl w:val="0"/>
        <w:autoSpaceDE w:val="0"/>
        <w:autoSpaceDN w:val="0"/>
        <w:adjustRightInd w:val="0"/>
        <w:spacing w:after="240" w:line="240" w:lineRule="auto"/>
        <w:rPr>
          <w:rFonts w:cs="Times"/>
          <w:lang w:val="en-GB" w:eastAsia="de-DE"/>
        </w:rPr>
      </w:pPr>
      <w:r w:rsidRPr="00AD70DE">
        <w:rPr>
          <w:rFonts w:cs="Times"/>
          <w:b/>
          <w:lang w:val="en-GB" w:eastAsia="de-DE"/>
        </w:rPr>
        <w:t>Table 8</w:t>
      </w:r>
      <w:r w:rsidRPr="00AD70DE">
        <w:rPr>
          <w:rFonts w:cs="Times"/>
          <w:lang w:val="en-GB" w:eastAsia="de-DE"/>
        </w:rPr>
        <w:t xml:space="preserve">: </w:t>
      </w:r>
      <w:proofErr w:type="spellStart"/>
      <w:r w:rsidRPr="00AD70DE">
        <w:rPr>
          <w:rFonts w:cs="Times"/>
          <w:lang w:val="en-GB" w:eastAsia="de-DE"/>
        </w:rPr>
        <w:t>Yohimbine</w:t>
      </w:r>
      <w:proofErr w:type="spellEnd"/>
      <w:r w:rsidRPr="00AD70DE">
        <w:rPr>
          <w:rFonts w:cs="Times"/>
          <w:lang w:val="en-GB" w:eastAsia="de-DE"/>
        </w:rPr>
        <w:t xml:space="preserve"> dug information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90"/>
        <w:gridCol w:w="5882"/>
      </w:tblGrid>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Marketed name:</w:t>
            </w:r>
          </w:p>
        </w:tc>
        <w:tc>
          <w:tcPr>
            <w:tcW w:w="5882" w:type="dxa"/>
          </w:tcPr>
          <w:p w:rsidR="009C32E7" w:rsidRPr="00AD70DE" w:rsidRDefault="009C32E7" w:rsidP="00AD70DE">
            <w:pPr>
              <w:spacing w:after="120" w:line="276" w:lineRule="auto"/>
              <w:rPr>
                <w:rFonts w:cs="Arial"/>
                <w:lang w:val="en-GB" w:eastAsia="de-DE"/>
              </w:rPr>
            </w:pPr>
            <w:proofErr w:type="spellStart"/>
            <w:r w:rsidRPr="00AD70DE">
              <w:rPr>
                <w:rFonts w:cs="Calibri"/>
                <w:lang w:val="en-GB" w:eastAsia="de-DE"/>
              </w:rPr>
              <w:t>Yohimbinum</w:t>
            </w:r>
            <w:proofErr w:type="spellEnd"/>
            <w:r w:rsidRPr="00AD70DE">
              <w:rPr>
                <w:rFonts w:cs="Calibri"/>
                <w:lang w:val="en-GB" w:eastAsia="de-DE"/>
              </w:rPr>
              <w:t xml:space="preserve"> </w:t>
            </w:r>
            <w:proofErr w:type="spellStart"/>
            <w:r w:rsidRPr="00AD70DE">
              <w:rPr>
                <w:rFonts w:cs="Calibri"/>
                <w:lang w:val="en-GB" w:eastAsia="de-DE"/>
              </w:rPr>
              <w:t>hydrochloricum</w:t>
            </w:r>
            <w:proofErr w:type="spellEnd"/>
            <w:r w:rsidRPr="00AD70DE">
              <w:rPr>
                <w:rFonts w:cs="Calibri"/>
                <w:lang w:val="en-GB" w:eastAsia="de-DE"/>
              </w:rPr>
              <w:t xml:space="preserve"> D4®</w:t>
            </w:r>
          </w:p>
        </w:tc>
      </w:tr>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 xml:space="preserve">INN: </w:t>
            </w:r>
          </w:p>
        </w:tc>
        <w:tc>
          <w:tcPr>
            <w:tcW w:w="5882" w:type="dxa"/>
          </w:tcPr>
          <w:p w:rsidR="009C32E7" w:rsidRPr="00AD70DE" w:rsidRDefault="009C32E7" w:rsidP="00AD70DE">
            <w:pPr>
              <w:spacing w:after="120" w:line="276" w:lineRule="auto"/>
              <w:rPr>
                <w:rFonts w:cs="Arial"/>
                <w:lang w:val="en-GB" w:eastAsia="de-DE"/>
              </w:rPr>
            </w:pPr>
            <w:proofErr w:type="spellStart"/>
            <w:r w:rsidRPr="00AD70DE">
              <w:rPr>
                <w:rFonts w:cs="Arial"/>
                <w:lang w:val="en-GB"/>
              </w:rPr>
              <w:t>Yohimbinum</w:t>
            </w:r>
            <w:proofErr w:type="spellEnd"/>
            <w:r w:rsidRPr="00AD70DE">
              <w:rPr>
                <w:rFonts w:cs="Arial"/>
                <w:lang w:val="en-GB"/>
              </w:rPr>
              <w:t xml:space="preserve"> </w:t>
            </w:r>
            <w:proofErr w:type="spellStart"/>
            <w:r w:rsidRPr="00AD70DE">
              <w:rPr>
                <w:rFonts w:cs="Arial"/>
                <w:lang w:val="en-GB"/>
              </w:rPr>
              <w:t>hydrochloricum</w:t>
            </w:r>
            <w:proofErr w:type="spellEnd"/>
          </w:p>
        </w:tc>
      </w:tr>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ATC code, if officially registered:</w:t>
            </w:r>
          </w:p>
        </w:tc>
        <w:tc>
          <w:tcPr>
            <w:tcW w:w="5882" w:type="dxa"/>
          </w:tcPr>
          <w:p w:rsidR="009C32E7" w:rsidRPr="00AD70DE" w:rsidRDefault="009C32E7" w:rsidP="00AD70DE">
            <w:pPr>
              <w:spacing w:after="120" w:line="276" w:lineRule="auto"/>
              <w:rPr>
                <w:rFonts w:cs="Arial"/>
                <w:lang w:val="en-GB" w:eastAsia="de-DE"/>
              </w:rPr>
            </w:pPr>
            <w:r w:rsidRPr="00AD70DE">
              <w:rPr>
                <w:rFonts w:cs="Arial"/>
                <w:lang w:val="en-GB" w:eastAsia="de-DE"/>
              </w:rPr>
              <w:t>V60AA</w:t>
            </w:r>
          </w:p>
        </w:tc>
      </w:tr>
      <w:tr w:rsidR="009C32E7" w:rsidRPr="00AD70DE" w:rsidTr="008355A9">
        <w:tc>
          <w:tcPr>
            <w:tcW w:w="3190" w:type="dxa"/>
          </w:tcPr>
          <w:p w:rsidR="009C32E7" w:rsidRPr="00AD70DE" w:rsidRDefault="009C32E7" w:rsidP="00AD70DE">
            <w:pPr>
              <w:keepNext/>
              <w:spacing w:after="120" w:line="276" w:lineRule="auto"/>
              <w:rPr>
                <w:rFonts w:cs="Arial"/>
                <w:lang w:val="en-GB" w:eastAsia="de-DE"/>
              </w:rPr>
            </w:pPr>
            <w:r w:rsidRPr="00AD70DE">
              <w:rPr>
                <w:rFonts w:cs="Arial"/>
                <w:lang w:val="en-GB"/>
              </w:rPr>
              <w:t>Manufacturer:</w:t>
            </w:r>
          </w:p>
        </w:tc>
        <w:tc>
          <w:tcPr>
            <w:tcW w:w="5882" w:type="dxa"/>
          </w:tcPr>
          <w:p w:rsidR="009C32E7" w:rsidRPr="00AD70DE" w:rsidRDefault="009C32E7" w:rsidP="00AD70DE">
            <w:pPr>
              <w:spacing w:after="120" w:line="276" w:lineRule="auto"/>
              <w:rPr>
                <w:rFonts w:cs="Arial"/>
                <w:lang w:val="en-GB" w:eastAsia="de-DE"/>
              </w:rPr>
            </w:pPr>
            <w:r w:rsidRPr="00AD70DE">
              <w:rPr>
                <w:rFonts w:cs="Arial"/>
              </w:rPr>
              <w:t>Deutsche Homöopathie-Union-Arzneimittel GmbH &amp; Co. KG, 76202 Karlsruhe</w:t>
            </w:r>
          </w:p>
        </w:tc>
      </w:tr>
      <w:tr w:rsidR="009C32E7" w:rsidRPr="00AD70DE" w:rsidTr="008355A9">
        <w:tc>
          <w:tcPr>
            <w:tcW w:w="3190" w:type="dxa"/>
          </w:tcPr>
          <w:p w:rsidR="009C32E7" w:rsidRPr="00AD70DE" w:rsidRDefault="009C32E7" w:rsidP="00AD70DE">
            <w:pPr>
              <w:spacing w:after="120" w:line="276" w:lineRule="auto"/>
              <w:rPr>
                <w:rFonts w:cs="Arial"/>
                <w:lang w:val="en-GB" w:eastAsia="de-DE"/>
              </w:rPr>
            </w:pPr>
            <w:r w:rsidRPr="00AD70DE">
              <w:rPr>
                <w:rFonts w:cs="Arial"/>
                <w:lang w:val="en-GB"/>
              </w:rPr>
              <w:t>Pharmaceutical formulation:</w:t>
            </w:r>
          </w:p>
        </w:tc>
        <w:tc>
          <w:tcPr>
            <w:tcW w:w="5882" w:type="dxa"/>
          </w:tcPr>
          <w:p w:rsidR="009C32E7" w:rsidRPr="00AD70DE" w:rsidRDefault="009C32E7" w:rsidP="00AD70DE">
            <w:pPr>
              <w:spacing w:after="120" w:line="276" w:lineRule="auto"/>
              <w:rPr>
                <w:rFonts w:cs="Arial"/>
                <w:lang w:val="en-GB" w:eastAsia="de-DE"/>
              </w:rPr>
            </w:pPr>
            <w:r w:rsidRPr="00AD70DE">
              <w:rPr>
                <w:rFonts w:cs="Arial"/>
                <w:lang w:val="en-GB"/>
              </w:rPr>
              <w:t>Tablet</w:t>
            </w:r>
          </w:p>
        </w:tc>
      </w:tr>
      <w:tr w:rsidR="009C32E7" w:rsidRPr="00AD70DE" w:rsidTr="008355A9">
        <w:tc>
          <w:tcPr>
            <w:tcW w:w="3190" w:type="dxa"/>
          </w:tcPr>
          <w:p w:rsidR="009C32E7" w:rsidRPr="00AD70DE" w:rsidRDefault="009C32E7" w:rsidP="00AD70DE">
            <w:pPr>
              <w:spacing w:after="120" w:line="276" w:lineRule="auto"/>
              <w:rPr>
                <w:rFonts w:cs="Arial"/>
                <w:lang w:val="en-GB"/>
              </w:rPr>
            </w:pPr>
            <w:r w:rsidRPr="00AD70DE">
              <w:rPr>
                <w:rFonts w:cs="Arial"/>
                <w:lang w:val="en-GB"/>
              </w:rPr>
              <w:t>Dosage:</w:t>
            </w:r>
          </w:p>
        </w:tc>
        <w:tc>
          <w:tcPr>
            <w:tcW w:w="5882" w:type="dxa"/>
          </w:tcPr>
          <w:p w:rsidR="009C32E7" w:rsidRPr="00AD70DE" w:rsidRDefault="009C32E7" w:rsidP="00AD70DE">
            <w:pPr>
              <w:spacing w:after="120" w:line="276" w:lineRule="auto"/>
              <w:rPr>
                <w:rFonts w:cs="Arial"/>
                <w:lang w:val="en-GB"/>
              </w:rPr>
            </w:pPr>
            <w:r w:rsidRPr="00AD70DE">
              <w:rPr>
                <w:rFonts w:cs="Arial"/>
                <w:lang w:val="en-GB"/>
              </w:rPr>
              <w:t xml:space="preserve">2 x 25 </w:t>
            </w:r>
            <w:proofErr w:type="spellStart"/>
            <w:r w:rsidRPr="00AD70DE">
              <w:rPr>
                <w:rFonts w:cs="Arial"/>
                <w:lang w:val="en-GB"/>
              </w:rPr>
              <w:t>μg</w:t>
            </w:r>
            <w:proofErr w:type="spellEnd"/>
            <w:r w:rsidRPr="00AD70DE">
              <w:rPr>
                <w:rFonts w:cs="Arial"/>
                <w:lang w:val="en-GB"/>
              </w:rPr>
              <w:t xml:space="preserve"> </w:t>
            </w:r>
          </w:p>
        </w:tc>
      </w:tr>
      <w:tr w:rsidR="009C32E7" w:rsidRPr="00AD70DE" w:rsidTr="008355A9">
        <w:tc>
          <w:tcPr>
            <w:tcW w:w="3190" w:type="dxa"/>
          </w:tcPr>
          <w:p w:rsidR="009C32E7" w:rsidRPr="00AD70DE" w:rsidRDefault="009C32E7" w:rsidP="00AD70DE">
            <w:pPr>
              <w:spacing w:after="120" w:line="276" w:lineRule="auto"/>
              <w:rPr>
                <w:rFonts w:cs="Arial"/>
                <w:lang w:val="en-GB" w:eastAsia="de-DE"/>
              </w:rPr>
            </w:pPr>
            <w:r w:rsidRPr="00AD70DE">
              <w:rPr>
                <w:rFonts w:cs="Arial"/>
                <w:lang w:val="en-GB"/>
              </w:rPr>
              <w:t>Mode of administration:</w:t>
            </w:r>
          </w:p>
        </w:tc>
        <w:tc>
          <w:tcPr>
            <w:tcW w:w="5882" w:type="dxa"/>
          </w:tcPr>
          <w:p w:rsidR="009C32E7" w:rsidRPr="00AD70DE" w:rsidRDefault="009C32E7" w:rsidP="00AD70DE">
            <w:pPr>
              <w:spacing w:after="120" w:line="276" w:lineRule="auto"/>
              <w:rPr>
                <w:rFonts w:cs="Arial"/>
                <w:lang w:val="en-GB"/>
              </w:rPr>
            </w:pPr>
            <w:r w:rsidRPr="00AD70DE">
              <w:rPr>
                <w:rFonts w:cs="Arial"/>
                <w:lang w:val="en-GB"/>
              </w:rPr>
              <w:t>Oral</w:t>
            </w:r>
          </w:p>
        </w:tc>
      </w:tr>
    </w:tbl>
    <w:p w:rsidR="009C32E7" w:rsidRPr="00AD70DE" w:rsidRDefault="009C32E7" w:rsidP="00AD70DE">
      <w:pPr>
        <w:autoSpaceDE w:val="0"/>
        <w:autoSpaceDN w:val="0"/>
        <w:adjustRightInd w:val="0"/>
        <w:rPr>
          <w:rFonts w:cs="Calibri"/>
          <w:lang w:val="en-GB" w:eastAsia="de-DE"/>
        </w:rPr>
      </w:pPr>
    </w:p>
    <w:p w:rsidR="009C32E7" w:rsidRPr="00AD70DE" w:rsidRDefault="009C32E7" w:rsidP="00AD70DE">
      <w:pPr>
        <w:pStyle w:val="111Formatvorlage"/>
        <w:keepNext w:val="0"/>
        <w:keepLines w:val="0"/>
        <w:numPr>
          <w:ilvl w:val="2"/>
          <w:numId w:val="3"/>
        </w:numPr>
        <w:spacing w:line="240" w:lineRule="exact"/>
        <w:ind w:left="993" w:hanging="993"/>
      </w:pPr>
      <w:bookmarkStart w:id="1756" w:name="_Toc37173076"/>
      <w:bookmarkStart w:id="1757" w:name="_Toc37243470"/>
      <w:r w:rsidRPr="00AD70DE">
        <w:t>Pharmacological properties</w:t>
      </w:r>
      <w:bookmarkEnd w:id="1756"/>
      <w:bookmarkEnd w:id="1757"/>
    </w:p>
    <w:p w:rsidR="009C32E7" w:rsidRPr="00AD70DE" w:rsidRDefault="009C32E7" w:rsidP="00AD70DE">
      <w:pPr>
        <w:widowControl w:val="0"/>
        <w:autoSpaceDE w:val="0"/>
        <w:autoSpaceDN w:val="0"/>
        <w:adjustRightInd w:val="0"/>
        <w:spacing w:after="240" w:line="240" w:lineRule="auto"/>
        <w:rPr>
          <w:lang w:val="en-GB"/>
        </w:rPr>
      </w:pPr>
      <w:proofErr w:type="spellStart"/>
      <w:r w:rsidRPr="00AD70DE">
        <w:rPr>
          <w:lang w:val="en-GB"/>
        </w:rPr>
        <w:t>Yohimbine</w:t>
      </w:r>
      <w:proofErr w:type="spellEnd"/>
      <w:r w:rsidRPr="00AD70DE">
        <w:rPr>
          <w:lang w:val="en-GB"/>
        </w:rPr>
        <w:t xml:space="preserve"> is a competitive α2-receptor antagonist, affecting dopaminergic, serotoninergic, and cholinergic neurotransmitters. The definite mode of action for erectile dysfunction is not identified yet. It is postulated that a central nervous pathway leads to raised sexual desire and erection caused by impact on the autonomic nervous system. Furthermore </w:t>
      </w:r>
      <w:proofErr w:type="spellStart"/>
      <w:r w:rsidRPr="00AD70DE">
        <w:rPr>
          <w:lang w:val="en-GB"/>
        </w:rPr>
        <w:t>yohimbine</w:t>
      </w:r>
      <w:proofErr w:type="spellEnd"/>
      <w:r w:rsidRPr="00AD70DE">
        <w:rPr>
          <w:lang w:val="en-GB"/>
        </w:rPr>
        <w:t xml:space="preserve"> possibly causes a dilatation of penile blood vessels. </w:t>
      </w:r>
      <w:proofErr w:type="spellStart"/>
      <w:r w:rsidRPr="00AD70DE">
        <w:rPr>
          <w:lang w:val="en-GB"/>
        </w:rPr>
        <w:t>Psychoanaleptic</w:t>
      </w:r>
      <w:proofErr w:type="spellEnd"/>
      <w:r w:rsidRPr="00AD70DE">
        <w:rPr>
          <w:lang w:val="en-GB"/>
        </w:rPr>
        <w:t xml:space="preserve"> effects have been described as anxiety. </w:t>
      </w:r>
    </w:p>
    <w:p w:rsidR="009C32E7" w:rsidRPr="00AD70DE" w:rsidRDefault="009C32E7" w:rsidP="00AD70DE">
      <w:pPr>
        <w:pStyle w:val="111Formatvorlage"/>
        <w:keepNext w:val="0"/>
        <w:keepLines w:val="0"/>
        <w:numPr>
          <w:ilvl w:val="2"/>
          <w:numId w:val="3"/>
        </w:numPr>
        <w:spacing w:line="240" w:lineRule="exact"/>
        <w:ind w:left="993" w:hanging="993"/>
      </w:pPr>
      <w:bookmarkStart w:id="1758" w:name="_Toc37173077"/>
      <w:bookmarkStart w:id="1759" w:name="_Toc37243471"/>
      <w:r w:rsidRPr="00AD70DE">
        <w:t>Packaging, labelling, and supply</w:t>
      </w:r>
      <w:bookmarkEnd w:id="1758"/>
      <w:bookmarkEnd w:id="1759"/>
    </w:p>
    <w:p w:rsidR="009C32E7" w:rsidRPr="00AD70DE" w:rsidRDefault="009C32E7" w:rsidP="00AD70DE">
      <w:pPr>
        <w:widowControl w:val="0"/>
        <w:autoSpaceDE w:val="0"/>
        <w:autoSpaceDN w:val="0"/>
        <w:adjustRightInd w:val="0"/>
        <w:spacing w:after="240" w:line="240" w:lineRule="auto"/>
        <w:rPr>
          <w:lang w:val="en-GB"/>
        </w:rPr>
      </w:pPr>
      <w:r w:rsidRPr="00AD70DE">
        <w:rPr>
          <w:lang w:val="en-GB"/>
        </w:rPr>
        <w:t>The trial medication is a marketed product. There will be no trial-specific labelling because this drug is approved for human use in Germany and will be used in unchanged marketed form.</w:t>
      </w:r>
    </w:p>
    <w:p w:rsidR="009C32E7" w:rsidRPr="00AD70DE" w:rsidRDefault="009C32E7" w:rsidP="00AD70DE">
      <w:pPr>
        <w:widowControl w:val="0"/>
        <w:autoSpaceDE w:val="0"/>
        <w:autoSpaceDN w:val="0"/>
        <w:adjustRightInd w:val="0"/>
        <w:spacing w:after="240" w:line="240" w:lineRule="auto"/>
        <w:rPr>
          <w:rFonts w:cs="Times"/>
          <w:lang w:val="en-GB" w:eastAsia="de-DE"/>
        </w:rPr>
      </w:pPr>
      <w:r w:rsidRPr="00AD70DE">
        <w:rPr>
          <w:rFonts w:cs="Times"/>
          <w:lang w:val="en-GB" w:eastAsia="de-DE"/>
        </w:rPr>
        <w:t>The investigator will confirm correct receipt of the trial medication in writing and ensure that the medication is safely and correctly stored. The investigator will document the use of the trial medication. The site monitor will periodically check the supplies of trial medication held by the investigator to ensure the correct accountability of all trial medication used. At EOT, all unused trial medication will be completely destroyed or may be transferred for research use to a research facility, both options will be documented. It will be assured that a final report of the drug accountability is prepared and maintained by the investigator.</w:t>
      </w:r>
    </w:p>
    <w:p w:rsidR="009C32E7" w:rsidRPr="00AD70DE" w:rsidRDefault="009C32E7" w:rsidP="00AD70DE">
      <w:pPr>
        <w:pStyle w:val="111Formatvorlage"/>
        <w:keepNext w:val="0"/>
        <w:keepLines w:val="0"/>
        <w:numPr>
          <w:ilvl w:val="2"/>
          <w:numId w:val="3"/>
        </w:numPr>
        <w:spacing w:line="240" w:lineRule="exact"/>
        <w:ind w:left="993" w:hanging="993"/>
      </w:pPr>
      <w:bookmarkStart w:id="1760" w:name="_Toc37173078"/>
      <w:bookmarkStart w:id="1761" w:name="_Toc37243472"/>
      <w:r w:rsidRPr="00AD70DE">
        <w:t>Administration of trial medication</w:t>
      </w:r>
      <w:bookmarkEnd w:id="1760"/>
      <w:bookmarkEnd w:id="1761"/>
    </w:p>
    <w:p w:rsidR="009C32E7" w:rsidRPr="00AD70DE" w:rsidRDefault="009C32E7" w:rsidP="00AD70DE">
      <w:pPr>
        <w:rPr>
          <w:rFonts w:cs="Arial"/>
          <w:lang w:val="en-GB"/>
        </w:rPr>
      </w:pPr>
      <w:r w:rsidRPr="00AD70DE">
        <w:rPr>
          <w:lang w:val="en-GB" w:eastAsia="de-DE"/>
        </w:rPr>
        <w:t xml:space="preserve">Participants will receive 2 tablets a 25 </w:t>
      </w:r>
      <w:proofErr w:type="spellStart"/>
      <w:r w:rsidRPr="00AD70DE">
        <w:rPr>
          <w:lang w:val="en-GB" w:eastAsia="de-DE"/>
        </w:rPr>
        <w:t>μg</w:t>
      </w:r>
      <w:proofErr w:type="spellEnd"/>
      <w:r w:rsidRPr="00AD70DE">
        <w:rPr>
          <w:lang w:val="en-GB" w:eastAsia="de-DE"/>
        </w:rPr>
        <w:t xml:space="preserve"> each as a single oral dose on visit 1 and visit 2. </w:t>
      </w:r>
      <w:r w:rsidRPr="00AD70DE">
        <w:rPr>
          <w:rFonts w:cs="Arial"/>
          <w:lang w:val="en-GB"/>
        </w:rPr>
        <w:t xml:space="preserve">The administration of the trial drug will take place at the trial site, 3 h after a meal together with </w:t>
      </w:r>
      <w:r w:rsidRPr="00AD70DE">
        <w:rPr>
          <w:lang w:val="en-GB" w:eastAsia="de-DE"/>
        </w:rPr>
        <w:t xml:space="preserve">0.03 ml of </w:t>
      </w:r>
      <w:proofErr w:type="spellStart"/>
      <w:r w:rsidRPr="00AD70DE">
        <w:rPr>
          <w:lang w:val="en-GB" w:eastAsia="de-DE"/>
        </w:rPr>
        <w:t>Dormicum</w:t>
      </w:r>
      <w:proofErr w:type="spellEnd"/>
      <w:r w:rsidRPr="00AD70DE">
        <w:rPr>
          <w:lang w:val="en-GB" w:eastAsia="de-DE"/>
        </w:rPr>
        <w:t>®</w:t>
      </w:r>
      <w:r w:rsidRPr="00AD70DE">
        <w:rPr>
          <w:rFonts w:cs="Arial"/>
          <w:lang w:val="en-GB"/>
        </w:rPr>
        <w:t>. No dose adjustments are planned.</w:t>
      </w:r>
    </w:p>
    <w:p w:rsidR="009C32E7" w:rsidRPr="00AD70DE" w:rsidRDefault="009C32E7" w:rsidP="00AD70DE">
      <w:pPr>
        <w:pStyle w:val="111Formatvorlage"/>
        <w:keepNext w:val="0"/>
        <w:keepLines w:val="0"/>
        <w:numPr>
          <w:ilvl w:val="2"/>
          <w:numId w:val="3"/>
        </w:numPr>
        <w:spacing w:line="240" w:lineRule="exact"/>
        <w:ind w:left="993" w:hanging="993"/>
      </w:pPr>
      <w:bookmarkStart w:id="1762" w:name="_Toc37173079"/>
      <w:bookmarkStart w:id="1763" w:name="_Toc37243473"/>
      <w:r w:rsidRPr="00AD70DE">
        <w:t>Adherence and drug accountability</w:t>
      </w:r>
      <w:bookmarkEnd w:id="1762"/>
      <w:bookmarkEnd w:id="1763"/>
    </w:p>
    <w:p w:rsidR="009C32E7" w:rsidRPr="00AD70DE" w:rsidRDefault="009C32E7" w:rsidP="00AD70DE">
      <w:pPr>
        <w:rPr>
          <w:rFonts w:cs="Arial"/>
          <w:lang w:val="en-GB"/>
        </w:rPr>
      </w:pPr>
      <w:r w:rsidRPr="00AD70DE">
        <w:rPr>
          <w:rFonts w:cs="Arial"/>
          <w:lang w:val="en-GB"/>
        </w:rPr>
        <w:t>On V1 and V2, drugs will be administered by the investigator; therefore, a taking and timing adherence of 100 % is expected. A drug accountability log will document the use of drug.</w:t>
      </w:r>
    </w:p>
    <w:p w:rsidR="009C32E7" w:rsidRPr="00AD70DE" w:rsidRDefault="009C32E7" w:rsidP="00AD70DE">
      <w:pPr>
        <w:pStyle w:val="111Formatvorlage"/>
        <w:keepNext w:val="0"/>
        <w:keepLines w:val="0"/>
        <w:numPr>
          <w:ilvl w:val="2"/>
          <w:numId w:val="3"/>
        </w:numPr>
        <w:spacing w:line="240" w:lineRule="exact"/>
        <w:ind w:left="993" w:hanging="993"/>
      </w:pPr>
      <w:bookmarkStart w:id="1764" w:name="_Toc37173080"/>
      <w:bookmarkStart w:id="1765" w:name="_Toc37243474"/>
      <w:r w:rsidRPr="00AD70DE">
        <w:t>Safety and tolerability</w:t>
      </w:r>
      <w:bookmarkEnd w:id="1764"/>
      <w:bookmarkEnd w:id="1765"/>
    </w:p>
    <w:p w:rsidR="009C32E7" w:rsidRPr="00AD70DE" w:rsidRDefault="009C32E7" w:rsidP="00AD70DE">
      <w:pPr>
        <w:pStyle w:val="Beschriftung"/>
        <w:rPr>
          <w:b w:val="0"/>
          <w:color w:val="auto"/>
          <w:sz w:val="22"/>
          <w:szCs w:val="22"/>
          <w:lang w:val="en-US"/>
        </w:rPr>
      </w:pPr>
      <w:proofErr w:type="gramStart"/>
      <w:r w:rsidRPr="00AD70DE">
        <w:rPr>
          <w:color w:val="auto"/>
          <w:sz w:val="22"/>
          <w:szCs w:val="22"/>
          <w:lang w:val="en-US"/>
        </w:rPr>
        <w:t xml:space="preserve">Table 9: </w:t>
      </w:r>
      <w:proofErr w:type="spellStart"/>
      <w:r w:rsidRPr="00AD70DE">
        <w:rPr>
          <w:b w:val="0"/>
          <w:color w:val="auto"/>
          <w:sz w:val="22"/>
          <w:szCs w:val="22"/>
          <w:lang w:val="en-US"/>
        </w:rPr>
        <w:t>Yohimbine</w:t>
      </w:r>
      <w:proofErr w:type="spellEnd"/>
      <w:r w:rsidRPr="00AD70DE">
        <w:rPr>
          <w:b w:val="0"/>
          <w:color w:val="auto"/>
          <w:sz w:val="22"/>
          <w:szCs w:val="22"/>
          <w:lang w:val="en-US"/>
        </w:rPr>
        <w:t xml:space="preserve"> adverse events after oral administration of therapeutic doses </w:t>
      </w:r>
      <w:r w:rsidRPr="00AD70DE">
        <w:rPr>
          <w:b w:val="0"/>
          <w:noProof/>
          <w:color w:val="auto"/>
          <w:sz w:val="22"/>
          <w:szCs w:val="22"/>
          <w:lang w:val="en-US"/>
        </w:rPr>
        <w:t>[17]</w:t>
      </w:r>
      <w:r w:rsidRPr="00AD70DE">
        <w:rPr>
          <w:b w:val="0"/>
          <w:color w:val="auto"/>
          <w:sz w:val="22"/>
          <w:szCs w:val="22"/>
          <w:lang w:val="en-US"/>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6648"/>
      </w:tblGrid>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Blood and lymphatic system</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vertAlign w:val="superscript"/>
                <w:lang w:val="en-GB" w:eastAsia="de-DE"/>
              </w:rPr>
            </w:pPr>
            <w:r w:rsidRPr="00AD70DE">
              <w:rPr>
                <w:rFonts w:asciiTheme="minorHAnsi" w:hAnsiTheme="minorHAnsi"/>
                <w:lang w:val="en-GB" w:eastAsia="de-DE"/>
              </w:rPr>
              <w:t>Agranulocytosis</w:t>
            </w:r>
            <w:r w:rsidRPr="00AD70DE">
              <w:rPr>
                <w:rFonts w:asciiTheme="minorHAnsi" w:hAnsiTheme="minorHAnsi"/>
                <w:sz w:val="18"/>
                <w:szCs w:val="18"/>
                <w:lang w:val="en-GB" w:eastAsia="de-DE"/>
              </w:rPr>
              <w:t>#</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Immune system</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Allergic reaction*</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Nervous system</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vertAlign w:val="superscript"/>
                <w:lang w:val="en-GB" w:eastAsia="de-DE"/>
              </w:rPr>
            </w:pPr>
            <w:r w:rsidRPr="00AD70DE">
              <w:rPr>
                <w:rFonts w:asciiTheme="minorHAnsi" w:hAnsiTheme="minorHAnsi"/>
                <w:lang w:val="en-GB" w:eastAsia="de-DE"/>
              </w:rPr>
              <w:t>Headache**, dizziness*, paraesthesia*</w:t>
            </w:r>
            <w:r w:rsidRPr="00AD70DE">
              <w:rPr>
                <w:rFonts w:asciiTheme="minorHAnsi" w:hAnsiTheme="minorHAnsi"/>
                <w:sz w:val="24"/>
                <w:szCs w:val="24"/>
                <w:lang w:val="en-GB" w:eastAsia="de-DE"/>
              </w:rPr>
              <w:t>,</w:t>
            </w:r>
            <w:r w:rsidRPr="00AD70DE">
              <w:rPr>
                <w:rFonts w:asciiTheme="minorHAnsi" w:hAnsiTheme="minorHAnsi"/>
                <w:lang w:val="en-GB" w:eastAsia="de-DE"/>
              </w:rPr>
              <w:t xml:space="preserve"> tremor‡</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Cardiac and vascular system</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Increase of blood pressure and heart rate*, tachycardia*, palpitation*, hypotension*</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Respiratory, thoracic and mediastinal system</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Bronchospasm‡</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Gastrointestinal system</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pt-BR" w:eastAsia="de-DE"/>
              </w:rPr>
            </w:pPr>
            <w:r w:rsidRPr="00AD70DE">
              <w:rPr>
                <w:rFonts w:asciiTheme="minorHAnsi" w:hAnsiTheme="minorHAnsi"/>
                <w:lang w:val="pt-BR" w:eastAsia="de-DE"/>
              </w:rPr>
              <w:t>Nausea**, vomiting*, inappetence*, epigastric pain*, diarrhoea*</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Dermis</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Skin flushing*, rash*, urticarial*, increased growth of hair*, exanthema</w:t>
            </w:r>
            <w:r w:rsidRPr="00AD70DE">
              <w:rPr>
                <w:rFonts w:asciiTheme="minorHAnsi" w:hAnsiTheme="minorHAnsi"/>
                <w:vertAlign w:val="superscript"/>
                <w:lang w:val="en-GB" w:eastAsia="de-DE"/>
              </w:rPr>
              <w:t xml:space="preserve">‡ </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Renal and urinary system</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Increased urinary urgency*, dysuria</w:t>
            </w:r>
            <w:r w:rsidRPr="00AD70DE">
              <w:rPr>
                <w:rFonts w:asciiTheme="minorHAnsi" w:hAnsiTheme="minorHAnsi"/>
                <w:vertAlign w:val="superscript"/>
                <w:lang w:val="en-GB" w:eastAsia="de-DE"/>
              </w:rPr>
              <w:t>‡</w:t>
            </w:r>
            <w:r w:rsidRPr="00AD70DE">
              <w:rPr>
                <w:rFonts w:asciiTheme="minorHAnsi" w:hAnsiTheme="minorHAnsi"/>
                <w:lang w:val="en-GB" w:eastAsia="de-DE"/>
              </w:rPr>
              <w:t>, decreased urinary urgency</w:t>
            </w:r>
            <w:r w:rsidRPr="00AD70DE">
              <w:rPr>
                <w:rFonts w:asciiTheme="minorHAnsi" w:hAnsiTheme="minorHAnsi"/>
                <w:vertAlign w:val="superscript"/>
                <w:lang w:val="en-GB" w:eastAsia="de-DE"/>
              </w:rPr>
              <w:t>‡</w:t>
            </w:r>
            <w:r w:rsidRPr="00AD70DE">
              <w:rPr>
                <w:rFonts w:asciiTheme="minorHAnsi" w:hAnsiTheme="minorHAnsi"/>
                <w:lang w:val="en-GB" w:eastAsia="de-DE"/>
              </w:rPr>
              <w:t>, genital pain</w:t>
            </w:r>
            <w:r w:rsidRPr="00AD70DE">
              <w:rPr>
                <w:rFonts w:asciiTheme="minorHAnsi" w:hAnsiTheme="minorHAnsi"/>
                <w:vertAlign w:val="superscript"/>
                <w:lang w:val="en-GB" w:eastAsia="de-DE"/>
              </w:rPr>
              <w:t>‡</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General</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Sweating*, chills*</w:t>
            </w:r>
          </w:p>
        </w:tc>
      </w:tr>
      <w:tr w:rsidR="009C32E7" w:rsidRPr="00AD70DE" w:rsidTr="008355A9">
        <w:tc>
          <w:tcPr>
            <w:tcW w:w="263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Psychiatric disorders</w:t>
            </w:r>
          </w:p>
        </w:tc>
        <w:tc>
          <w:tcPr>
            <w:tcW w:w="6648" w:type="dxa"/>
            <w:tcBorders>
              <w:top w:val="single" w:sz="4" w:space="0" w:color="auto"/>
              <w:left w:val="single" w:sz="4" w:space="0" w:color="auto"/>
              <w:bottom w:val="single" w:sz="4" w:space="0" w:color="auto"/>
              <w:right w:val="single" w:sz="4" w:space="0" w:color="auto"/>
            </w:tcBorders>
            <w:hideMark/>
          </w:tcPr>
          <w:p w:rsidR="009C32E7" w:rsidRPr="00AD70DE" w:rsidRDefault="009C32E7" w:rsidP="00AD70DE">
            <w:pPr>
              <w:spacing w:line="276" w:lineRule="auto"/>
              <w:rPr>
                <w:rFonts w:asciiTheme="minorHAnsi" w:hAnsiTheme="minorHAnsi"/>
                <w:lang w:val="en-GB" w:eastAsia="de-DE"/>
              </w:rPr>
            </w:pPr>
            <w:r w:rsidRPr="00AD70DE">
              <w:rPr>
                <w:rFonts w:asciiTheme="minorHAnsi" w:hAnsiTheme="minorHAnsi"/>
                <w:lang w:val="en-GB" w:eastAsia="de-DE"/>
              </w:rPr>
              <w:t>Agitation**, irritability**, sleeplessness**, nervousness*</w:t>
            </w:r>
          </w:p>
        </w:tc>
      </w:tr>
    </w:tbl>
    <w:p w:rsidR="009C32E7" w:rsidRPr="00AD70DE" w:rsidRDefault="009C32E7" w:rsidP="00AD70DE">
      <w:pPr>
        <w:spacing w:after="0" w:line="276" w:lineRule="auto"/>
        <w:jc w:val="both"/>
        <w:rPr>
          <w:rFonts w:asciiTheme="minorHAnsi" w:hAnsiTheme="minorHAnsi"/>
          <w:b/>
          <w:sz w:val="18"/>
          <w:szCs w:val="18"/>
          <w:lang w:val="en-GB"/>
        </w:rPr>
      </w:pPr>
      <w:r w:rsidRPr="00AD70DE">
        <w:rPr>
          <w:rFonts w:asciiTheme="minorHAnsi" w:hAnsiTheme="minorHAnsi"/>
          <w:sz w:val="18"/>
          <w:szCs w:val="18"/>
          <w:lang w:val="en-GB"/>
        </w:rPr>
        <w:t>Frequency: ***very common (≥ 1/10), **common (≥ 1/100 to &lt; 1/10), *uncommon (≥ 1/1,000 to &lt; 1/100), †rare (≥ 1/10,000 to &lt; 1/1,000), ‡very rare (&lt; 1/10,000), #not known (cannot be estimated from the available data)</w:t>
      </w:r>
    </w:p>
    <w:p w:rsidR="009C32E7" w:rsidRPr="00AD70DE" w:rsidRDefault="009C32E7" w:rsidP="00AD70DE">
      <w:pPr>
        <w:spacing w:after="0" w:line="276" w:lineRule="auto"/>
        <w:jc w:val="both"/>
        <w:rPr>
          <w:rFonts w:asciiTheme="minorHAnsi" w:hAnsiTheme="minorHAnsi"/>
          <w:sz w:val="18"/>
          <w:szCs w:val="18"/>
          <w:lang w:val="en-GB"/>
        </w:rPr>
      </w:pPr>
    </w:p>
    <w:p w:rsidR="009C32E7" w:rsidRPr="00AD70DE" w:rsidRDefault="009C32E7" w:rsidP="00AD70DE">
      <w:pPr>
        <w:rPr>
          <w:lang w:val="en-GB"/>
        </w:rPr>
      </w:pPr>
      <w:r w:rsidRPr="00AD70DE">
        <w:rPr>
          <w:lang w:val="en-GB"/>
        </w:rPr>
        <w:t xml:space="preserve">Because this trial uses a microdose setting, administering a single dose of 50 </w:t>
      </w:r>
      <w:r w:rsidRPr="00AD70DE">
        <w:rPr>
          <w:snapToGrid w:val="0"/>
          <w:color w:val="000000"/>
          <w:lang w:val="en-GB"/>
        </w:rPr>
        <w:t xml:space="preserve">µg </w:t>
      </w:r>
      <w:proofErr w:type="spellStart"/>
      <w:r w:rsidRPr="00AD70DE">
        <w:rPr>
          <w:snapToGrid w:val="0"/>
          <w:color w:val="000000"/>
          <w:lang w:val="en-GB"/>
        </w:rPr>
        <w:t>yohimbine</w:t>
      </w:r>
      <w:proofErr w:type="spellEnd"/>
      <w:r w:rsidRPr="00AD70DE">
        <w:rPr>
          <w:snapToGrid w:val="0"/>
          <w:color w:val="000000"/>
          <w:lang w:val="en-GB"/>
        </w:rPr>
        <w:t xml:space="preserve"> is judged a</w:t>
      </w:r>
      <w:r w:rsidRPr="00AD70DE">
        <w:rPr>
          <w:lang w:val="en-GB"/>
        </w:rPr>
        <w:t>s a biologically inactive dose, encountering AEs is extremely unlikely.</w:t>
      </w:r>
    </w:p>
    <w:p w:rsidR="009C32E7" w:rsidRPr="00AD70DE" w:rsidRDefault="009C32E7" w:rsidP="00AD70DE">
      <w:pPr>
        <w:pStyle w:val="111Formatvorlage"/>
        <w:keepNext w:val="0"/>
        <w:keepLines w:val="0"/>
        <w:numPr>
          <w:ilvl w:val="2"/>
          <w:numId w:val="3"/>
        </w:numPr>
        <w:spacing w:line="240" w:lineRule="exact"/>
        <w:ind w:left="993" w:hanging="993"/>
      </w:pPr>
      <w:bookmarkStart w:id="1766" w:name="_Toc37173081"/>
      <w:bookmarkStart w:id="1767" w:name="_Toc37243475"/>
      <w:r w:rsidRPr="00AD70DE">
        <w:t>Contraindications</w:t>
      </w:r>
      <w:bookmarkEnd w:id="1766"/>
      <w:bookmarkEnd w:id="1767"/>
    </w:p>
    <w:p w:rsidR="009C32E7" w:rsidRPr="00AD70DE" w:rsidRDefault="009C32E7" w:rsidP="00AD70DE">
      <w:pPr>
        <w:rPr>
          <w:lang w:val="en-GB"/>
        </w:rPr>
      </w:pPr>
      <w:r w:rsidRPr="00AD70DE">
        <w:rPr>
          <w:lang w:val="en-US"/>
        </w:rPr>
        <w:t xml:space="preserve">Although it is a </w:t>
      </w:r>
      <w:r w:rsidRPr="00AD70DE">
        <w:rPr>
          <w:lang w:val="en-GB"/>
        </w:rPr>
        <w:t>biologically inactive dose</w:t>
      </w:r>
      <w:r w:rsidRPr="00AD70DE">
        <w:rPr>
          <w:lang w:val="en-US"/>
        </w:rPr>
        <w:t xml:space="preserve"> and other contraindications do not apply, </w:t>
      </w:r>
      <w:proofErr w:type="spellStart"/>
      <w:r w:rsidRPr="00AD70DE">
        <w:rPr>
          <w:lang w:val="en-US"/>
        </w:rPr>
        <w:t>yohimbine</w:t>
      </w:r>
      <w:proofErr w:type="spellEnd"/>
      <w:r w:rsidRPr="00AD70DE">
        <w:rPr>
          <w:lang w:val="en-US"/>
        </w:rPr>
        <w:t xml:space="preserve"> must not be administered to patients with known hypersensitivity to </w:t>
      </w:r>
      <w:proofErr w:type="spellStart"/>
      <w:r w:rsidRPr="00AD70DE">
        <w:rPr>
          <w:lang w:val="en-US"/>
        </w:rPr>
        <w:t>yohimbine</w:t>
      </w:r>
      <w:proofErr w:type="spellEnd"/>
      <w:r w:rsidRPr="00AD70DE">
        <w:rPr>
          <w:lang w:val="en-GB"/>
        </w:rPr>
        <w:t xml:space="preserve"> or to any of the excipients.</w:t>
      </w:r>
      <w:r w:rsidRPr="00AD70DE">
        <w:rPr>
          <w:lang w:val="en-US"/>
        </w:rPr>
        <w:t xml:space="preserve"> </w:t>
      </w:r>
      <w:proofErr w:type="spellStart"/>
      <w:r w:rsidRPr="00AD70DE">
        <w:rPr>
          <w:lang w:val="en-GB"/>
        </w:rPr>
        <w:t>Yohimbinum</w:t>
      </w:r>
      <w:proofErr w:type="spellEnd"/>
      <w:r w:rsidRPr="00AD70DE">
        <w:rPr>
          <w:lang w:val="en-GB"/>
        </w:rPr>
        <w:t xml:space="preserve"> </w:t>
      </w:r>
      <w:proofErr w:type="spellStart"/>
      <w:r w:rsidRPr="00AD70DE">
        <w:rPr>
          <w:lang w:val="en-GB"/>
        </w:rPr>
        <w:t>hydrochloriucm</w:t>
      </w:r>
      <w:proofErr w:type="spellEnd"/>
      <w:r w:rsidRPr="00AD70DE">
        <w:rPr>
          <w:lang w:val="en-GB"/>
        </w:rPr>
        <w:t xml:space="preserve"> D 4® also contains wheat starch, lactose, and magnesium stearate.</w:t>
      </w:r>
    </w:p>
    <w:p w:rsidR="009C32E7" w:rsidRPr="00AD70DE" w:rsidRDefault="009C32E7" w:rsidP="00AD70DE">
      <w:pPr>
        <w:pStyle w:val="111Formatvorlage"/>
        <w:keepNext w:val="0"/>
        <w:keepLines w:val="0"/>
        <w:numPr>
          <w:ilvl w:val="2"/>
          <w:numId w:val="3"/>
        </w:numPr>
        <w:spacing w:line="240" w:lineRule="exact"/>
        <w:ind w:left="993" w:hanging="993"/>
      </w:pPr>
      <w:r w:rsidRPr="00AD70DE">
        <w:t>Pregnancy precaution</w:t>
      </w:r>
    </w:p>
    <w:p w:rsidR="009C32E7" w:rsidRPr="00AD70DE" w:rsidRDefault="009C32E7" w:rsidP="00AD70DE">
      <w:pPr>
        <w:rPr>
          <w:lang w:val="en-US"/>
        </w:rPr>
      </w:pPr>
      <w:r w:rsidRPr="00AD70DE">
        <w:rPr>
          <w:lang w:val="en-US"/>
        </w:rPr>
        <w:t xml:space="preserve">In animal studies to evaluate genotoxicity and effects on fertility in male rats there were no pathologic findings. There are no preclinical data on prenatal toxicity available for </w:t>
      </w:r>
      <w:proofErr w:type="spellStart"/>
      <w:r w:rsidRPr="00AD70DE">
        <w:rPr>
          <w:lang w:val="en-US"/>
        </w:rPr>
        <w:t>yohimbine</w:t>
      </w:r>
      <w:proofErr w:type="spellEnd"/>
      <w:r w:rsidRPr="00AD70DE">
        <w:rPr>
          <w:lang w:val="en-US"/>
        </w:rPr>
        <w:t xml:space="preserve"> </w:t>
      </w:r>
      <w:r w:rsidRPr="00AD70DE">
        <w:rPr>
          <w:noProof/>
          <w:lang w:val="en-US"/>
        </w:rPr>
        <w:t>[18]</w:t>
      </w:r>
      <w:r w:rsidRPr="00AD70DE">
        <w:rPr>
          <w:lang w:val="en-US"/>
        </w:rPr>
        <w:t>.</w:t>
      </w:r>
    </w:p>
    <w:p w:rsidR="009C32E7" w:rsidRPr="00AD70DE" w:rsidRDefault="009C32E7" w:rsidP="00AD70DE">
      <w:pPr>
        <w:rPr>
          <w:rFonts w:cs="Times"/>
          <w:lang w:val="en-US" w:eastAsia="de-DE"/>
        </w:rPr>
      </w:pPr>
      <w:r w:rsidRPr="00AD70DE">
        <w:rPr>
          <w:lang w:val="en-US"/>
        </w:rPr>
        <w:t xml:space="preserve">Because </w:t>
      </w:r>
      <w:proofErr w:type="spellStart"/>
      <w:r w:rsidRPr="00AD70DE">
        <w:rPr>
          <w:lang w:val="en-US"/>
        </w:rPr>
        <w:t>yohimbine</w:t>
      </w:r>
      <w:proofErr w:type="spellEnd"/>
      <w:r w:rsidRPr="00AD70DE">
        <w:rPr>
          <w:lang w:val="en-US"/>
        </w:rPr>
        <w:t xml:space="preserve"> will be administered in a homeopathic microdose setting, no specific pregnancy precautions will be required. The pregnancy precaution in this </w:t>
      </w:r>
      <w:proofErr w:type="gramStart"/>
      <w:r w:rsidRPr="00AD70DE">
        <w:rPr>
          <w:lang w:val="en-US"/>
        </w:rPr>
        <w:t>trial,</w:t>
      </w:r>
      <w:proofErr w:type="gramEnd"/>
      <w:r w:rsidRPr="00AD70DE">
        <w:rPr>
          <w:lang w:val="en-US"/>
        </w:rPr>
        <w:t xml:space="preserve"> will anyway be defined by the IMP which requires the highest pregnancy precautions, which is HCQ. </w:t>
      </w:r>
    </w:p>
    <w:p w:rsidR="009C32E7" w:rsidRPr="00AD70DE" w:rsidRDefault="009C32E7" w:rsidP="00AD70DE">
      <w:pPr>
        <w:pStyle w:val="berschrift1"/>
        <w:spacing w:before="360" w:after="160"/>
      </w:pPr>
      <w:bookmarkStart w:id="1768" w:name="_Toc256002363"/>
      <w:bookmarkStart w:id="1769" w:name="_Toc256002266"/>
      <w:bookmarkStart w:id="1770" w:name="_Toc256002169"/>
      <w:bookmarkStart w:id="1771" w:name="_Toc256002073"/>
      <w:bookmarkStart w:id="1772" w:name="_Toc256001951"/>
      <w:bookmarkStart w:id="1773" w:name="_Toc256001731"/>
      <w:bookmarkStart w:id="1774" w:name="_Toc256001483"/>
      <w:bookmarkStart w:id="1775" w:name="_Toc256001261"/>
      <w:bookmarkStart w:id="1776" w:name="_Toc256001019"/>
      <w:bookmarkStart w:id="1777" w:name="_Toc256000783"/>
      <w:bookmarkStart w:id="1778" w:name="_Toc256000476"/>
      <w:bookmarkStart w:id="1779" w:name="_Toc256000192"/>
      <w:bookmarkStart w:id="1780" w:name="_Toc9613170"/>
      <w:bookmarkStart w:id="1781" w:name="_Toc37173082"/>
      <w:bookmarkStart w:id="1782" w:name="_Toc37243476"/>
      <w:bookmarkStart w:id="1783" w:name="_Toc256000286"/>
      <w:bookmarkStart w:id="1784" w:name="_Toc256000194"/>
      <w:bookmarkStart w:id="1785" w:name="_Toc455594109"/>
      <w:bookmarkEnd w:id="1733"/>
      <w:bookmarkEnd w:id="1734"/>
      <w:bookmarkEnd w:id="1735"/>
      <w:r w:rsidRPr="00AD70DE">
        <w:t>Assignment of participant codes</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p>
    <w:p w:rsidR="009C32E7" w:rsidRPr="00AD70DE" w:rsidRDefault="009C32E7" w:rsidP="00AD70DE">
      <w:pPr>
        <w:rPr>
          <w:lang w:val="en-GB" w:eastAsia="de-DE"/>
        </w:rPr>
      </w:pPr>
      <w:r w:rsidRPr="00AD70DE">
        <w:rPr>
          <w:lang w:val="en-GB" w:eastAsia="de-DE"/>
        </w:rPr>
        <w:t>After signing the informed consent form, every potential volunteer receives a screening number at the SCR visit. When the participant is randomized to the trial, he/she will be given a consecutive subject number. Participants withdrawn from the trial retain their subject number. New participants must always be allocated a new screening and subject number.</w:t>
      </w:r>
    </w:p>
    <w:p w:rsidR="009C32E7" w:rsidRPr="00AD70DE" w:rsidRDefault="009C32E7" w:rsidP="00AD70DE">
      <w:pPr>
        <w:pStyle w:val="berschrift2"/>
        <w:spacing w:before="240"/>
        <w:ind w:left="567" w:hanging="567"/>
        <w:rPr>
          <w:color w:val="auto"/>
        </w:rPr>
      </w:pPr>
      <w:bookmarkStart w:id="1786" w:name="_Toc256000288"/>
      <w:bookmarkStart w:id="1787" w:name="_Toc256000196"/>
      <w:bookmarkStart w:id="1788" w:name="_Toc455594111"/>
      <w:bookmarkStart w:id="1789" w:name="_Toc256002364"/>
      <w:bookmarkStart w:id="1790" w:name="_Toc256002267"/>
      <w:bookmarkStart w:id="1791" w:name="_Toc256002170"/>
      <w:bookmarkStart w:id="1792" w:name="_Toc256002074"/>
      <w:bookmarkStart w:id="1793" w:name="_Toc256001956"/>
      <w:bookmarkStart w:id="1794" w:name="_Toc256001739"/>
      <w:bookmarkStart w:id="1795" w:name="_Toc256001485"/>
      <w:bookmarkStart w:id="1796" w:name="_Toc256001264"/>
      <w:bookmarkStart w:id="1797" w:name="_Toc256001020"/>
      <w:bookmarkStart w:id="1798" w:name="_Toc256000788"/>
      <w:bookmarkStart w:id="1799" w:name="_Toc256000477"/>
      <w:bookmarkStart w:id="1800" w:name="_Toc256000198"/>
      <w:bookmarkStart w:id="1801" w:name="_Toc256000533"/>
      <w:bookmarkStart w:id="1802" w:name="_Toc256001944"/>
      <w:bookmarkStart w:id="1803" w:name="_Toc256001852"/>
      <w:bookmarkStart w:id="1804" w:name="_Toc256001760"/>
      <w:bookmarkStart w:id="1805" w:name="_Toc256001668"/>
      <w:bookmarkStart w:id="1806" w:name="_Toc256001576"/>
      <w:bookmarkStart w:id="1807" w:name="_Toc256001484"/>
      <w:bookmarkStart w:id="1808" w:name="_Toc256001392"/>
      <w:bookmarkStart w:id="1809" w:name="_Toc256001300"/>
      <w:bookmarkStart w:id="1810" w:name="_Toc256001208"/>
      <w:bookmarkStart w:id="1811" w:name="_Toc256001116"/>
      <w:bookmarkStart w:id="1812" w:name="_Toc256001024"/>
      <w:bookmarkStart w:id="1813" w:name="_Toc256000932"/>
      <w:bookmarkStart w:id="1814" w:name="_Toc256000840"/>
      <w:bookmarkStart w:id="1815" w:name="_Toc256000748"/>
      <w:bookmarkStart w:id="1816" w:name="_Toc256000656"/>
      <w:bookmarkStart w:id="1817" w:name="_Toc256000564"/>
      <w:bookmarkStart w:id="1818" w:name="_Toc256000472"/>
      <w:bookmarkStart w:id="1819" w:name="_Toc256000380"/>
      <w:bookmarkStart w:id="1820" w:name="_Toc461443301"/>
      <w:bookmarkStart w:id="1821" w:name="_Toc469498938"/>
      <w:bookmarkStart w:id="1822" w:name="_Toc491340368"/>
      <w:bookmarkStart w:id="1823" w:name="_Toc9613171"/>
      <w:bookmarkStart w:id="1824" w:name="_Toc37173083"/>
      <w:bookmarkStart w:id="1825" w:name="_Toc37243477"/>
      <w:bookmarkStart w:id="1826" w:name="_Toc256000111"/>
      <w:bookmarkStart w:id="1827" w:name="_Toc256000032"/>
      <w:bookmarkStart w:id="1828" w:name="_Toc434223626"/>
      <w:bookmarkEnd w:id="1736"/>
      <w:bookmarkEnd w:id="1737"/>
      <w:bookmarkEnd w:id="1738"/>
      <w:bookmarkEnd w:id="1783"/>
      <w:bookmarkEnd w:id="1784"/>
      <w:bookmarkEnd w:id="1785"/>
      <w:r w:rsidRPr="00AD70DE">
        <w:rPr>
          <w:color w:val="auto"/>
        </w:rPr>
        <w:t>Blinding and unblindin</w:t>
      </w:r>
      <w:bookmarkStart w:id="1829" w:name="_Toc256000289"/>
      <w:bookmarkStart w:id="1830" w:name="_Toc256000197"/>
      <w:bookmarkStart w:id="1831" w:name="_Toc455594112"/>
      <w:bookmarkEnd w:id="1786"/>
      <w:bookmarkEnd w:id="1787"/>
      <w:bookmarkEnd w:id="1788"/>
      <w:r w:rsidRPr="00AD70DE">
        <w:rPr>
          <w:color w:val="auto"/>
        </w:rPr>
        <w:t>g</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p w:rsidR="009C32E7" w:rsidRPr="00AD70DE" w:rsidRDefault="009C32E7" w:rsidP="00AD70DE">
      <w:pPr>
        <w:rPr>
          <w:lang w:val="en-GB"/>
        </w:rPr>
      </w:pPr>
      <w:r w:rsidRPr="00AD70DE">
        <w:rPr>
          <w:lang w:val="en-GB"/>
        </w:rPr>
        <w:t xml:space="preserve">This is an open </w:t>
      </w:r>
      <w:bookmarkStart w:id="1832" w:name="_Toc508613954"/>
      <w:bookmarkStart w:id="1833" w:name="_Toc508614306"/>
      <w:bookmarkStart w:id="1834" w:name="_Toc508650585"/>
      <w:bookmarkStart w:id="1835" w:name="_Toc508650956"/>
      <w:bookmarkStart w:id="1836" w:name="_Toc508613955"/>
      <w:bookmarkStart w:id="1837" w:name="_Toc508614307"/>
      <w:bookmarkStart w:id="1838" w:name="_Toc508650586"/>
      <w:bookmarkStart w:id="1839" w:name="_Toc508650957"/>
      <w:bookmarkStart w:id="1840" w:name="_Toc508613956"/>
      <w:bookmarkStart w:id="1841" w:name="_Toc508614308"/>
      <w:bookmarkStart w:id="1842" w:name="_Toc508650587"/>
      <w:bookmarkStart w:id="1843" w:name="_Toc508650958"/>
      <w:bookmarkStart w:id="1844" w:name="_Toc508613957"/>
      <w:bookmarkStart w:id="1845" w:name="_Toc508614309"/>
      <w:bookmarkStart w:id="1846" w:name="_Toc508650588"/>
      <w:bookmarkStart w:id="1847" w:name="_Toc508650959"/>
      <w:bookmarkStart w:id="1848" w:name="_Toc256000563"/>
      <w:bookmarkStart w:id="1849" w:name="_Toc256001950"/>
      <w:bookmarkStart w:id="1850" w:name="_Toc256001858"/>
      <w:bookmarkStart w:id="1851" w:name="_Toc256001766"/>
      <w:bookmarkStart w:id="1852" w:name="_Toc256001674"/>
      <w:bookmarkStart w:id="1853" w:name="_Toc256001582"/>
      <w:bookmarkStart w:id="1854" w:name="_Toc256001490"/>
      <w:bookmarkStart w:id="1855" w:name="_Toc256001398"/>
      <w:bookmarkStart w:id="1856" w:name="_Toc256001306"/>
      <w:bookmarkStart w:id="1857" w:name="_Toc256001214"/>
      <w:bookmarkStart w:id="1858" w:name="_Toc256001122"/>
      <w:bookmarkStart w:id="1859" w:name="_Toc256001030"/>
      <w:bookmarkStart w:id="1860" w:name="_Toc256000938"/>
      <w:bookmarkStart w:id="1861" w:name="_Toc256000846"/>
      <w:bookmarkStart w:id="1862" w:name="_Toc256000754"/>
      <w:bookmarkStart w:id="1863" w:name="_Toc256000662"/>
      <w:bookmarkStart w:id="1864" w:name="_Toc256000570"/>
      <w:bookmarkStart w:id="1865" w:name="_Toc256000478"/>
      <w:bookmarkStart w:id="1866" w:name="_Toc256000386"/>
      <w:bookmarkStart w:id="1867" w:name="_Toc256000294"/>
      <w:bookmarkStart w:id="1868" w:name="_Toc256000202"/>
      <w:bookmarkStart w:id="1869" w:name="_Toc256000124"/>
      <w:bookmarkStart w:id="1870" w:name="_Toc256000045"/>
      <w:bookmarkStart w:id="1871" w:name="_Toc434223639"/>
      <w:bookmarkStart w:id="1872" w:name="_Toc455594117"/>
      <w:bookmarkStart w:id="1873" w:name="_Toc461443307"/>
      <w:bookmarkStart w:id="1874" w:name="_Toc469498941"/>
      <w:bookmarkStart w:id="1875" w:name="_Toc491340371"/>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r w:rsidRPr="00AD70DE">
        <w:rPr>
          <w:lang w:val="en-GB"/>
        </w:rPr>
        <w:t>trial; there will be no blinding.</w:t>
      </w:r>
    </w:p>
    <w:p w:rsidR="009C32E7" w:rsidRPr="00AD70DE" w:rsidRDefault="009C32E7" w:rsidP="00AD70DE">
      <w:pPr>
        <w:pStyle w:val="berschrift2"/>
        <w:spacing w:before="240"/>
        <w:ind w:left="567" w:hanging="567"/>
        <w:rPr>
          <w:color w:val="auto"/>
        </w:rPr>
      </w:pPr>
      <w:bookmarkStart w:id="1876" w:name="_Toc37173084"/>
      <w:bookmarkStart w:id="1877" w:name="_Toc37243478"/>
      <w:r w:rsidRPr="00AD70DE">
        <w:rPr>
          <w:color w:val="auto"/>
        </w:rPr>
        <w:t>Randomization</w:t>
      </w:r>
      <w:bookmarkEnd w:id="1876"/>
      <w:bookmarkEnd w:id="1877"/>
    </w:p>
    <w:p w:rsidR="009C32E7" w:rsidRPr="00AD70DE" w:rsidRDefault="009C32E7" w:rsidP="00AD70DE">
      <w:pPr>
        <w:rPr>
          <w:lang w:val="en-GB"/>
        </w:rPr>
      </w:pPr>
      <w:r w:rsidRPr="00AD70DE">
        <w:rPr>
          <w:lang w:val="en-GB"/>
        </w:rPr>
        <w:t>A randomization list will be created. Participants will be assigned random numbers based on consecutive enrolment.</w:t>
      </w:r>
    </w:p>
    <w:p w:rsidR="009C32E7" w:rsidRPr="00AD70DE" w:rsidRDefault="009C32E7" w:rsidP="00AD70DE">
      <w:pPr>
        <w:pStyle w:val="berschrift1"/>
        <w:spacing w:before="360" w:after="160"/>
      </w:pPr>
      <w:bookmarkStart w:id="1878" w:name="_Toc256002365"/>
      <w:bookmarkStart w:id="1879" w:name="_Toc256002268"/>
      <w:bookmarkStart w:id="1880" w:name="_Toc256002171"/>
      <w:bookmarkStart w:id="1881" w:name="_Toc256002075"/>
      <w:bookmarkStart w:id="1882" w:name="_Toc256001958"/>
      <w:bookmarkStart w:id="1883" w:name="_Toc256001740"/>
      <w:bookmarkStart w:id="1884" w:name="_Toc256001486"/>
      <w:bookmarkStart w:id="1885" w:name="_Toc256001265"/>
      <w:bookmarkStart w:id="1886" w:name="_Toc256001021"/>
      <w:bookmarkStart w:id="1887" w:name="_Toc256000789"/>
      <w:bookmarkStart w:id="1888" w:name="_Toc256000479"/>
      <w:bookmarkStart w:id="1889" w:name="_Toc256000199"/>
      <w:bookmarkStart w:id="1890" w:name="_Toc9613172"/>
      <w:bookmarkStart w:id="1891" w:name="_Toc37173085"/>
      <w:bookmarkStart w:id="1892" w:name="_Toc37243479"/>
      <w:r w:rsidRPr="00AD70DE">
        <w:t>Monitoring</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rsidR="009C32E7" w:rsidRPr="00AD70DE" w:rsidRDefault="009C32E7" w:rsidP="00AD70DE">
      <w:pPr>
        <w:spacing w:beforeLines="40" w:before="96"/>
        <w:rPr>
          <w:lang w:val="en-GB"/>
        </w:rPr>
      </w:pPr>
      <w:r w:rsidRPr="00AD70DE">
        <w:rPr>
          <w:lang w:val="en-GB"/>
        </w:rPr>
        <w:t>Qualified personnel from the Department of Clinical Pharmacology and Pharmacoepidemiology will carry out the clinical monitoring. The monitor is responsible for checking the quality of data and adherence to the trial protocol and to legal and ethical requirements according to local laws and the principles of GCP. Source data verification is an essential part of the monitoring process and the investigator must grant direct access to all data.</w:t>
      </w:r>
    </w:p>
    <w:p w:rsidR="009C32E7" w:rsidRPr="00AD70DE" w:rsidRDefault="009C32E7" w:rsidP="00AD70DE">
      <w:pPr>
        <w:spacing w:beforeLines="40" w:before="96"/>
        <w:rPr>
          <w:lang w:val="en-GB"/>
        </w:rPr>
      </w:pPr>
      <w:r w:rsidRPr="00AD70DE">
        <w:rPr>
          <w:lang w:val="en-GB"/>
        </w:rPr>
        <w:t>The monitor will work according to the pertinent versions of the monitoring SOPs of the Department of Clinical Pharmacology and Pharmacoepidemiology.</w:t>
      </w:r>
    </w:p>
    <w:p w:rsidR="009C32E7" w:rsidRPr="00AD70DE" w:rsidRDefault="009C32E7" w:rsidP="00AD70DE">
      <w:pPr>
        <w:spacing w:beforeLines="40" w:before="96"/>
        <w:rPr>
          <w:lang w:val="en-GB"/>
        </w:rPr>
      </w:pPr>
      <w:r w:rsidRPr="00AD70DE">
        <w:rPr>
          <w:lang w:val="en-GB"/>
        </w:rPr>
        <w:t xml:space="preserve">The following variables will be verified to an extent that will be defined in a monitoring plan prior to trial start: </w:t>
      </w:r>
    </w:p>
    <w:p w:rsidR="009C32E7" w:rsidRPr="00AD70DE" w:rsidRDefault="009C32E7" w:rsidP="00AD70DE">
      <w:pPr>
        <w:pStyle w:val="Listenabsatz"/>
        <w:numPr>
          <w:ilvl w:val="0"/>
          <w:numId w:val="8"/>
        </w:numPr>
        <w:spacing w:beforeLines="40" w:before="96"/>
        <w:jc w:val="both"/>
        <w:rPr>
          <w:lang w:val="en-GB"/>
        </w:rPr>
      </w:pPr>
      <w:r w:rsidRPr="00AD70DE">
        <w:rPr>
          <w:lang w:val="en-GB"/>
        </w:rPr>
        <w:t>Informed consent,</w:t>
      </w:r>
    </w:p>
    <w:p w:rsidR="009C32E7" w:rsidRPr="00AD70DE" w:rsidRDefault="009C32E7" w:rsidP="00AD70DE">
      <w:pPr>
        <w:pStyle w:val="Listenabsatz"/>
        <w:numPr>
          <w:ilvl w:val="0"/>
          <w:numId w:val="8"/>
        </w:numPr>
        <w:spacing w:beforeLines="40" w:before="96"/>
        <w:jc w:val="both"/>
        <w:rPr>
          <w:lang w:val="en-GB"/>
        </w:rPr>
      </w:pPr>
      <w:r w:rsidRPr="00AD70DE">
        <w:rPr>
          <w:lang w:val="en-GB"/>
        </w:rPr>
        <w:t>Inclusion/exclusion criteria,</w:t>
      </w:r>
    </w:p>
    <w:p w:rsidR="009C32E7" w:rsidRPr="00AD70DE" w:rsidRDefault="009C32E7" w:rsidP="00AD70DE">
      <w:pPr>
        <w:pStyle w:val="Listenabsatz"/>
        <w:numPr>
          <w:ilvl w:val="0"/>
          <w:numId w:val="8"/>
        </w:numPr>
        <w:spacing w:beforeLines="40" w:before="96"/>
        <w:jc w:val="both"/>
        <w:rPr>
          <w:lang w:val="en-GB"/>
        </w:rPr>
      </w:pPr>
      <w:r w:rsidRPr="00AD70DE">
        <w:rPr>
          <w:lang w:val="en-GB"/>
        </w:rPr>
        <w:t>Demographic data (identity number, age, and sex),</w:t>
      </w:r>
    </w:p>
    <w:p w:rsidR="009C32E7" w:rsidRPr="00AD70DE" w:rsidRDefault="009C32E7" w:rsidP="00AD70DE">
      <w:pPr>
        <w:pStyle w:val="Listenabsatz"/>
        <w:numPr>
          <w:ilvl w:val="0"/>
          <w:numId w:val="8"/>
        </w:numPr>
        <w:spacing w:beforeLines="40" w:before="96"/>
        <w:jc w:val="both"/>
        <w:rPr>
          <w:lang w:val="en-GB"/>
        </w:rPr>
      </w:pPr>
      <w:r w:rsidRPr="00AD70DE">
        <w:rPr>
          <w:lang w:val="en-GB"/>
        </w:rPr>
        <w:t>Drug accountability, handling, and storage,</w:t>
      </w:r>
    </w:p>
    <w:p w:rsidR="009C32E7" w:rsidRPr="00AD70DE" w:rsidRDefault="009C32E7" w:rsidP="00AD70DE">
      <w:pPr>
        <w:pStyle w:val="Listenabsatz"/>
        <w:numPr>
          <w:ilvl w:val="0"/>
          <w:numId w:val="8"/>
        </w:numPr>
        <w:spacing w:beforeLines="40" w:before="96"/>
        <w:jc w:val="both"/>
        <w:rPr>
          <w:lang w:val="en-GB"/>
        </w:rPr>
      </w:pPr>
      <w:r w:rsidRPr="00AD70DE">
        <w:rPr>
          <w:lang w:val="en-GB"/>
        </w:rPr>
        <w:t>AEs and especially SAEs,</w:t>
      </w:r>
    </w:p>
    <w:p w:rsidR="009C32E7" w:rsidRPr="00AD70DE" w:rsidRDefault="009C32E7" w:rsidP="00AD70DE">
      <w:pPr>
        <w:pStyle w:val="Listenabsatz"/>
        <w:numPr>
          <w:ilvl w:val="0"/>
          <w:numId w:val="8"/>
        </w:numPr>
        <w:spacing w:beforeLines="40" w:before="96"/>
        <w:jc w:val="both"/>
        <w:rPr>
          <w:lang w:val="en-GB"/>
        </w:rPr>
      </w:pPr>
      <w:r w:rsidRPr="00AD70DE">
        <w:rPr>
          <w:lang w:val="en-GB"/>
        </w:rPr>
        <w:t>Premature trial termination for individual participants (dropouts and withdrawals), and</w:t>
      </w:r>
    </w:p>
    <w:p w:rsidR="009C32E7" w:rsidRPr="00AD70DE" w:rsidRDefault="009C32E7" w:rsidP="00AD70DE">
      <w:pPr>
        <w:pStyle w:val="Listenabsatz"/>
        <w:numPr>
          <w:ilvl w:val="0"/>
          <w:numId w:val="8"/>
        </w:numPr>
        <w:spacing w:beforeLines="40" w:before="96"/>
        <w:jc w:val="both"/>
        <w:rPr>
          <w:lang w:val="en-GB"/>
        </w:rPr>
      </w:pPr>
      <w:r w:rsidRPr="00AD70DE">
        <w:rPr>
          <w:lang w:val="en-GB"/>
        </w:rPr>
        <w:t>Adherence to the protocol and to GCP standards.</w:t>
      </w:r>
    </w:p>
    <w:p w:rsidR="009C32E7" w:rsidRPr="00AD70DE" w:rsidRDefault="009C32E7" w:rsidP="00AD70DE">
      <w:pPr>
        <w:pStyle w:val="berschrift1"/>
        <w:spacing w:before="360" w:after="160"/>
      </w:pPr>
      <w:bookmarkStart w:id="1893" w:name="_Toc256002366"/>
      <w:bookmarkStart w:id="1894" w:name="_Toc256002269"/>
      <w:bookmarkStart w:id="1895" w:name="_Toc256002172"/>
      <w:bookmarkStart w:id="1896" w:name="_Toc256002076"/>
      <w:bookmarkStart w:id="1897" w:name="_Toc256001959"/>
      <w:bookmarkStart w:id="1898" w:name="_Toc256001745"/>
      <w:bookmarkStart w:id="1899" w:name="_Toc256001487"/>
      <w:bookmarkStart w:id="1900" w:name="_Toc256001269"/>
      <w:bookmarkStart w:id="1901" w:name="_Toc256001022"/>
      <w:bookmarkStart w:id="1902" w:name="_Toc256000790"/>
      <w:bookmarkStart w:id="1903" w:name="_Toc256000484"/>
      <w:bookmarkStart w:id="1904" w:name="_Toc256000203"/>
      <w:bookmarkStart w:id="1905" w:name="_Toc9613173"/>
      <w:bookmarkStart w:id="1906" w:name="_Toc37173086"/>
      <w:bookmarkStart w:id="1907" w:name="_Toc37243480"/>
      <w:r w:rsidRPr="00AD70DE">
        <w:lastRenderedPageBreak/>
        <w:t>End of trial</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p>
    <w:p w:rsidR="009C32E7" w:rsidRPr="00AD70DE" w:rsidRDefault="009C32E7" w:rsidP="00AD70DE">
      <w:pPr>
        <w:pStyle w:val="berschrift2"/>
        <w:spacing w:before="240"/>
        <w:ind w:left="567" w:hanging="567"/>
        <w:rPr>
          <w:color w:val="auto"/>
        </w:rPr>
      </w:pPr>
      <w:bookmarkStart w:id="1908" w:name="_Toc256002367"/>
      <w:bookmarkStart w:id="1909" w:name="_Toc256002270"/>
      <w:bookmarkStart w:id="1910" w:name="_Toc256002173"/>
      <w:bookmarkStart w:id="1911" w:name="_Toc256002077"/>
      <w:bookmarkStart w:id="1912" w:name="_Toc256001966"/>
      <w:bookmarkStart w:id="1913" w:name="_Toc256001746"/>
      <w:bookmarkStart w:id="1914" w:name="_Toc256001488"/>
      <w:bookmarkStart w:id="1915" w:name="_Toc256001271"/>
      <w:bookmarkStart w:id="1916" w:name="_Toc256001023"/>
      <w:bookmarkStart w:id="1917" w:name="_Toc256000795"/>
      <w:bookmarkStart w:id="1918" w:name="_Toc256000486"/>
      <w:bookmarkStart w:id="1919" w:name="_Toc256000218"/>
      <w:bookmarkStart w:id="1920" w:name="_Toc9613174"/>
      <w:bookmarkStart w:id="1921" w:name="_Toc37173087"/>
      <w:bookmarkStart w:id="1922" w:name="_Toc37243481"/>
      <w:r w:rsidRPr="00AD70DE">
        <w:rPr>
          <w:color w:val="auto"/>
        </w:rPr>
        <w:t>Regular trial end</w: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p>
    <w:p w:rsidR="009C32E7" w:rsidRPr="00AD70DE" w:rsidRDefault="009C32E7" w:rsidP="00AD70DE">
      <w:pPr>
        <w:keepNext/>
        <w:keepLines/>
        <w:rPr>
          <w:lang w:val="en-GB"/>
        </w:rPr>
      </w:pPr>
      <w:r w:rsidRPr="00AD70DE">
        <w:rPr>
          <w:lang w:val="en-GB"/>
        </w:rPr>
        <w:t>The end of trial is defined as the date of database closure.</w:t>
      </w:r>
    </w:p>
    <w:p w:rsidR="009C32E7" w:rsidRPr="00AD70DE" w:rsidRDefault="009C32E7" w:rsidP="00AD70DE">
      <w:pPr>
        <w:pStyle w:val="berschrift2"/>
        <w:spacing w:before="240"/>
        <w:ind w:left="567" w:hanging="567"/>
        <w:rPr>
          <w:color w:val="auto"/>
        </w:rPr>
      </w:pPr>
      <w:bookmarkStart w:id="1923" w:name="_Toc256002368"/>
      <w:bookmarkStart w:id="1924" w:name="_Toc256002271"/>
      <w:bookmarkStart w:id="1925" w:name="_Toc256002174"/>
      <w:bookmarkStart w:id="1926" w:name="_Toc256002078"/>
      <w:bookmarkStart w:id="1927" w:name="_Toc256001975"/>
      <w:bookmarkStart w:id="1928" w:name="_Toc256001747"/>
      <w:bookmarkStart w:id="1929" w:name="_Toc256001489"/>
      <w:bookmarkStart w:id="1930" w:name="_Toc256001279"/>
      <w:bookmarkStart w:id="1931" w:name="_Toc256001025"/>
      <w:bookmarkStart w:id="1932" w:name="_Toc256000801"/>
      <w:bookmarkStart w:id="1933" w:name="_Toc256000487"/>
      <w:bookmarkStart w:id="1934" w:name="_Toc256000227"/>
      <w:bookmarkStart w:id="1935" w:name="_Toc9613175"/>
      <w:bookmarkStart w:id="1936" w:name="_Toc37173088"/>
      <w:bookmarkStart w:id="1937" w:name="_Toc37243482"/>
      <w:bookmarkStart w:id="1938" w:name="_Toc256000758"/>
      <w:bookmarkStart w:id="1939" w:name="_Toc256000666"/>
      <w:bookmarkStart w:id="1940" w:name="_Toc256000574"/>
      <w:bookmarkStart w:id="1941" w:name="_Toc256000482"/>
      <w:bookmarkStart w:id="1942" w:name="_Toc256000390"/>
      <w:bookmarkStart w:id="1943" w:name="_Toc256000298"/>
      <w:bookmarkStart w:id="1944" w:name="_Toc256000206"/>
      <w:bookmarkStart w:id="1945" w:name="_Toc256000129"/>
      <w:bookmarkStart w:id="1946" w:name="_Toc256000050"/>
      <w:bookmarkStart w:id="1947" w:name="_Toc434223643"/>
      <w:bookmarkStart w:id="1948" w:name="_Toc455594121"/>
      <w:bookmarkStart w:id="1949" w:name="_Toc256000576"/>
      <w:bookmarkStart w:id="1950" w:name="_Toc256001954"/>
      <w:bookmarkStart w:id="1951" w:name="_Toc256001862"/>
      <w:bookmarkStart w:id="1952" w:name="_Toc256001770"/>
      <w:bookmarkStart w:id="1953" w:name="_Toc256001678"/>
      <w:bookmarkStart w:id="1954" w:name="_Toc256001586"/>
      <w:bookmarkStart w:id="1955" w:name="_Toc256001494"/>
      <w:bookmarkStart w:id="1956" w:name="_Toc256001402"/>
      <w:bookmarkStart w:id="1957" w:name="_Toc256001310"/>
      <w:bookmarkStart w:id="1958" w:name="_Toc256001218"/>
      <w:bookmarkStart w:id="1959" w:name="_Toc256001126"/>
      <w:bookmarkStart w:id="1960" w:name="_Toc256001034"/>
      <w:bookmarkStart w:id="1961" w:name="_Toc256000942"/>
      <w:bookmarkStart w:id="1962" w:name="_Toc256000850"/>
      <w:bookmarkStart w:id="1963" w:name="_Toc461443311"/>
      <w:bookmarkStart w:id="1964" w:name="_Toc469498945"/>
      <w:bookmarkStart w:id="1965" w:name="_Toc491340375"/>
      <w:r w:rsidRPr="00AD70DE">
        <w:rPr>
          <w:color w:val="auto"/>
        </w:rPr>
        <w:t>Premature end of trial</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r w:rsidRPr="00AD70DE">
        <w:rPr>
          <w:color w:val="auto"/>
        </w:rPr>
        <w:t xml:space="preserve"> </w:t>
      </w:r>
    </w:p>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rsidR="009C32E7" w:rsidRPr="00AD70DE" w:rsidRDefault="009C32E7" w:rsidP="00AD70DE">
      <w:pPr>
        <w:rPr>
          <w:lang w:val="en-GB"/>
        </w:rPr>
      </w:pPr>
      <w:r w:rsidRPr="00AD70DE">
        <w:rPr>
          <w:lang w:val="en-GB"/>
        </w:rPr>
        <w:t>The responsible EC and the competent authorities must be informed about any premature closure of the trial. Furthermore, the EC of the Medical Faculty of Heidelberg University and the competent authority themselves may decide to stop or suspend the trial.</w:t>
      </w:r>
    </w:p>
    <w:p w:rsidR="009C32E7" w:rsidRPr="00AD70DE" w:rsidRDefault="009C32E7" w:rsidP="00AD70DE">
      <w:pPr>
        <w:rPr>
          <w:lang w:val="en-GB"/>
        </w:rPr>
      </w:pPr>
      <w:r w:rsidRPr="00AD70DE">
        <w:rPr>
          <w:lang w:val="en-GB"/>
        </w:rPr>
        <w:t>All involved investigators have to be informed immediately about the cessation/suspension of the trial. The decision is binding to all investigators.</w:t>
      </w:r>
    </w:p>
    <w:p w:rsidR="009C32E7" w:rsidRPr="00AD70DE" w:rsidRDefault="009C32E7" w:rsidP="00AD70DE">
      <w:pPr>
        <w:pStyle w:val="111Formatvorlage"/>
        <w:keepNext w:val="0"/>
        <w:numPr>
          <w:ilvl w:val="2"/>
          <w:numId w:val="3"/>
        </w:numPr>
        <w:spacing w:line="240" w:lineRule="exact"/>
        <w:ind w:left="993" w:hanging="993"/>
      </w:pPr>
      <w:bookmarkStart w:id="1966" w:name="_Toc256002369"/>
      <w:bookmarkStart w:id="1967" w:name="_Toc256002272"/>
      <w:bookmarkStart w:id="1968" w:name="_Toc256002175"/>
      <w:bookmarkStart w:id="1969" w:name="_Toc256002079"/>
      <w:bookmarkStart w:id="1970" w:name="_Toc256001976"/>
      <w:bookmarkStart w:id="1971" w:name="_Toc256001749"/>
      <w:bookmarkStart w:id="1972" w:name="_Toc256001491"/>
      <w:bookmarkStart w:id="1973" w:name="_Toc256001280"/>
      <w:bookmarkStart w:id="1974" w:name="_Toc256001026"/>
      <w:bookmarkStart w:id="1975" w:name="_Toc256000804"/>
      <w:bookmarkStart w:id="1976" w:name="_Toc256000494"/>
      <w:bookmarkStart w:id="1977" w:name="_Toc256000228"/>
      <w:bookmarkStart w:id="1978" w:name="_Toc9613176"/>
      <w:bookmarkStart w:id="1979" w:name="_Toc37173089"/>
      <w:bookmarkStart w:id="1980" w:name="_Toc37243483"/>
      <w:r w:rsidRPr="00AD70DE">
        <w:t>Early termination of the trial</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p>
    <w:p w:rsidR="009C32E7" w:rsidRPr="00AD70DE" w:rsidRDefault="009C32E7" w:rsidP="00AD70DE">
      <w:pPr>
        <w:rPr>
          <w:lang w:val="en-GB"/>
        </w:rPr>
      </w:pPr>
      <w:r w:rsidRPr="00AD70DE">
        <w:rPr>
          <w:lang w:val="en-GB"/>
        </w:rPr>
        <w:t>If new information on the risk-to-benefit ratio of the drug or on the treatment methods used in the trial is coming to light and safety concerns arise, the sponsor reserves the right to interrupt or terminate the project. In addition the principal investigator (PI) may decide at any time to terminate the trial due to a situation where an unexpected high frequency of AEs will occur or due to financial reasons.</w:t>
      </w:r>
    </w:p>
    <w:p w:rsidR="009C32E7" w:rsidRPr="00AD70DE" w:rsidRDefault="009C32E7" w:rsidP="00AD70DE">
      <w:pPr>
        <w:pStyle w:val="111Formatvorlage"/>
        <w:keepNext w:val="0"/>
        <w:numPr>
          <w:ilvl w:val="2"/>
          <w:numId w:val="3"/>
        </w:numPr>
        <w:spacing w:line="240" w:lineRule="exact"/>
        <w:ind w:left="993" w:hanging="993"/>
      </w:pPr>
      <w:bookmarkStart w:id="1981" w:name="_Toc256002370"/>
      <w:bookmarkStart w:id="1982" w:name="_Toc256002273"/>
      <w:bookmarkStart w:id="1983" w:name="_Toc256002176"/>
      <w:bookmarkStart w:id="1984" w:name="_Toc256002080"/>
      <w:bookmarkStart w:id="1985" w:name="_Toc256001979"/>
      <w:bookmarkStart w:id="1986" w:name="_Toc256001750"/>
      <w:bookmarkStart w:id="1987" w:name="_Toc256001496"/>
      <w:bookmarkStart w:id="1988" w:name="_Toc256001285"/>
      <w:bookmarkStart w:id="1989" w:name="_Toc256001027"/>
      <w:bookmarkStart w:id="1990" w:name="_Toc256000805"/>
      <w:bookmarkStart w:id="1991" w:name="_Toc256000503"/>
      <w:bookmarkStart w:id="1992" w:name="_Toc256000231"/>
      <w:bookmarkStart w:id="1993" w:name="_Toc9613177"/>
      <w:bookmarkStart w:id="1994" w:name="_Toc37173090"/>
      <w:bookmarkStart w:id="1995" w:name="_Toc37243484"/>
      <w:r w:rsidRPr="00AD70DE">
        <w:t>Stopping criteria for the trial</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p>
    <w:p w:rsidR="009C32E7" w:rsidRPr="00AD70DE" w:rsidRDefault="009C32E7" w:rsidP="00AD70DE">
      <w:pPr>
        <w:rPr>
          <w:lang w:val="en-GB"/>
        </w:rPr>
      </w:pPr>
      <w:r w:rsidRPr="00AD70DE">
        <w:rPr>
          <w:lang w:val="en-GB"/>
        </w:rPr>
        <w:t xml:space="preserve">The study must be stopped if more than one serious or grade IV related AE will have occurred. SAEs definitely caused by accidental injuries will not be counted towards the stopping criteria. Laboratory abnormalities without any clinical symptoms will not count as stopping criteria. </w:t>
      </w:r>
    </w:p>
    <w:p w:rsidR="009C32E7" w:rsidRPr="00AD70DE" w:rsidRDefault="009C32E7" w:rsidP="00AD70DE">
      <w:pPr>
        <w:pStyle w:val="berschrift2"/>
        <w:spacing w:before="240"/>
        <w:ind w:left="567" w:hanging="567"/>
        <w:rPr>
          <w:color w:val="auto"/>
        </w:rPr>
      </w:pPr>
      <w:bookmarkStart w:id="1996" w:name="_Toc256002371"/>
      <w:bookmarkStart w:id="1997" w:name="_Toc256002274"/>
      <w:bookmarkStart w:id="1998" w:name="_Toc256002178"/>
      <w:bookmarkStart w:id="1999" w:name="_Toc256002081"/>
      <w:bookmarkStart w:id="2000" w:name="_Toc256001984"/>
      <w:bookmarkStart w:id="2001" w:name="_Toc256001751"/>
      <w:bookmarkStart w:id="2002" w:name="_Toc256001498"/>
      <w:bookmarkStart w:id="2003" w:name="_Toc256001286"/>
      <w:bookmarkStart w:id="2004" w:name="_Toc256001028"/>
      <w:bookmarkStart w:id="2005" w:name="_Toc256000809"/>
      <w:bookmarkStart w:id="2006" w:name="_Toc256000504"/>
      <w:bookmarkStart w:id="2007" w:name="_Toc256000236"/>
      <w:bookmarkStart w:id="2008" w:name="_Toc256000568"/>
      <w:bookmarkStart w:id="2009" w:name="_Toc256001952"/>
      <w:bookmarkStart w:id="2010" w:name="_Toc256001860"/>
      <w:bookmarkStart w:id="2011" w:name="_Toc256001768"/>
      <w:bookmarkStart w:id="2012" w:name="_Toc256001676"/>
      <w:bookmarkStart w:id="2013" w:name="_Toc256001584"/>
      <w:bookmarkStart w:id="2014" w:name="_Toc256001492"/>
      <w:bookmarkStart w:id="2015" w:name="_Toc256001400"/>
      <w:bookmarkStart w:id="2016" w:name="_Toc256001308"/>
      <w:bookmarkStart w:id="2017" w:name="_Toc256001216"/>
      <w:bookmarkStart w:id="2018" w:name="_Toc256001124"/>
      <w:bookmarkStart w:id="2019" w:name="_Toc256001032"/>
      <w:bookmarkStart w:id="2020" w:name="_Toc256000940"/>
      <w:bookmarkStart w:id="2021" w:name="_Toc256000848"/>
      <w:bookmarkStart w:id="2022" w:name="_Toc256000756"/>
      <w:bookmarkStart w:id="2023" w:name="_Toc256000664"/>
      <w:bookmarkStart w:id="2024" w:name="_Toc256000572"/>
      <w:bookmarkStart w:id="2025" w:name="_Toc256000480"/>
      <w:bookmarkStart w:id="2026" w:name="_Toc256000388"/>
      <w:bookmarkStart w:id="2027" w:name="_Toc256000296"/>
      <w:bookmarkStart w:id="2028" w:name="_Toc256000204"/>
      <w:bookmarkStart w:id="2029" w:name="_Toc256000127"/>
      <w:bookmarkStart w:id="2030" w:name="_Toc256000048"/>
      <w:bookmarkStart w:id="2031" w:name="_Toc434223641"/>
      <w:bookmarkStart w:id="2032" w:name="_Toc455594119"/>
      <w:bookmarkStart w:id="2033" w:name="_Toc461443309"/>
      <w:bookmarkStart w:id="2034" w:name="_Toc469498943"/>
      <w:bookmarkStart w:id="2035" w:name="_Toc491340373"/>
      <w:bookmarkStart w:id="2036" w:name="_Toc9613178"/>
      <w:bookmarkStart w:id="2037" w:name="_Toc37173091"/>
      <w:bookmarkStart w:id="2038" w:name="_Toc37243485"/>
      <w:r w:rsidRPr="00AD70DE">
        <w:rPr>
          <w:color w:val="auto"/>
        </w:rPr>
        <w:t>Withdrawal of participants</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rsidR="009C32E7" w:rsidRPr="00AD70DE" w:rsidRDefault="009C32E7" w:rsidP="00AD70DE">
      <w:pPr>
        <w:rPr>
          <w:lang w:val="en-GB"/>
        </w:rPr>
      </w:pPr>
      <w:r w:rsidRPr="00AD70DE">
        <w:rPr>
          <w:lang w:val="en-GB"/>
        </w:rPr>
        <w:t>At any time, a participant may withdraw his/her consent for further participation. In this case, the investigator will have to exclude the participant from the trial. The participant is not required to state a reason for withdrawal.</w:t>
      </w:r>
    </w:p>
    <w:p w:rsidR="009C32E7" w:rsidRPr="00AD70DE" w:rsidRDefault="009C32E7" w:rsidP="00AD70DE">
      <w:pPr>
        <w:rPr>
          <w:lang w:val="en-GB"/>
        </w:rPr>
      </w:pPr>
      <w:r w:rsidRPr="00AD70DE">
        <w:rPr>
          <w:lang w:val="en-GB"/>
        </w:rPr>
        <w:t>The investigator may decide to withdraw a participant, if the participant suffers from a SAE regardless of whether it is drug-related or not, in case of a major protocol violation by the participant, or if another event occurs whose interference with the investigation of the target criteria is suspected or considered critical.</w:t>
      </w:r>
    </w:p>
    <w:p w:rsidR="009C32E7" w:rsidRPr="00AD70DE" w:rsidRDefault="009C32E7" w:rsidP="00AD70DE">
      <w:pPr>
        <w:pStyle w:val="berschrift2"/>
        <w:spacing w:before="240"/>
        <w:ind w:left="567" w:hanging="567"/>
        <w:rPr>
          <w:color w:val="auto"/>
        </w:rPr>
      </w:pPr>
      <w:bookmarkStart w:id="2039" w:name="_Toc256002372"/>
      <w:bookmarkStart w:id="2040" w:name="_Toc256002275"/>
      <w:bookmarkStart w:id="2041" w:name="_Toc256002179"/>
      <w:bookmarkStart w:id="2042" w:name="_Toc256002082"/>
      <w:bookmarkStart w:id="2043" w:name="_Toc256001985"/>
      <w:bookmarkStart w:id="2044" w:name="_Toc256001752"/>
      <w:bookmarkStart w:id="2045" w:name="_Toc256001499"/>
      <w:bookmarkStart w:id="2046" w:name="_Toc256001287"/>
      <w:bookmarkStart w:id="2047" w:name="_Toc256001029"/>
      <w:bookmarkStart w:id="2048" w:name="_Toc256000811"/>
      <w:bookmarkStart w:id="2049" w:name="_Toc256000507"/>
      <w:bookmarkStart w:id="2050" w:name="_Toc256000237"/>
      <w:bookmarkStart w:id="2051" w:name="_Toc256000569"/>
      <w:bookmarkStart w:id="2052" w:name="_Toc256001953"/>
      <w:bookmarkStart w:id="2053" w:name="_Toc256001861"/>
      <w:bookmarkStart w:id="2054" w:name="_Toc256001769"/>
      <w:bookmarkStart w:id="2055" w:name="_Toc256001677"/>
      <w:bookmarkStart w:id="2056" w:name="_Toc256001585"/>
      <w:bookmarkStart w:id="2057" w:name="_Toc256001493"/>
      <w:bookmarkStart w:id="2058" w:name="_Toc256001401"/>
      <w:bookmarkStart w:id="2059" w:name="_Toc256001309"/>
      <w:bookmarkStart w:id="2060" w:name="_Toc256001217"/>
      <w:bookmarkStart w:id="2061" w:name="_Toc256001125"/>
      <w:bookmarkStart w:id="2062" w:name="_Toc256001033"/>
      <w:bookmarkStart w:id="2063" w:name="_Toc256000941"/>
      <w:bookmarkStart w:id="2064" w:name="_Toc256000849"/>
      <w:bookmarkStart w:id="2065" w:name="_Toc256000757"/>
      <w:bookmarkStart w:id="2066" w:name="_Toc256000665"/>
      <w:bookmarkStart w:id="2067" w:name="_Toc256000573"/>
      <w:bookmarkStart w:id="2068" w:name="_Toc256000481"/>
      <w:bookmarkStart w:id="2069" w:name="_Toc256000389"/>
      <w:bookmarkStart w:id="2070" w:name="_Toc256000297"/>
      <w:bookmarkStart w:id="2071" w:name="_Toc256000205"/>
      <w:bookmarkStart w:id="2072" w:name="_Toc256000128"/>
      <w:bookmarkStart w:id="2073" w:name="_Toc256000049"/>
      <w:bookmarkStart w:id="2074" w:name="_Toc434223642"/>
      <w:bookmarkStart w:id="2075" w:name="_Toc455594120"/>
      <w:bookmarkStart w:id="2076" w:name="_Toc461443310"/>
      <w:bookmarkStart w:id="2077" w:name="_Toc469498944"/>
      <w:bookmarkStart w:id="2078" w:name="_Toc491340374"/>
      <w:bookmarkStart w:id="2079" w:name="_Toc9613179"/>
      <w:bookmarkStart w:id="2080" w:name="_Toc37173092"/>
      <w:bookmarkStart w:id="2081" w:name="_Toc37243486"/>
      <w:r w:rsidRPr="00AD70DE">
        <w:rPr>
          <w:color w:val="auto"/>
        </w:rPr>
        <w:t>Dropouts</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rsidR="009C32E7" w:rsidRPr="00AD70DE" w:rsidRDefault="009C32E7" w:rsidP="00AD70DE">
      <w:pPr>
        <w:rPr>
          <w:lang w:val="en-GB"/>
        </w:rPr>
      </w:pPr>
      <w:r w:rsidRPr="00AD70DE">
        <w:rPr>
          <w:lang w:val="en-GB"/>
        </w:rPr>
        <w:t xml:space="preserve">Dropouts in the SCR period will be replaced by rescreening, participants may be rescreened more than once if the dropout was for administrative reasons or </w:t>
      </w:r>
      <w:proofErr w:type="spellStart"/>
      <w:r w:rsidRPr="00AD70DE">
        <w:rPr>
          <w:lang w:val="en-GB"/>
        </w:rPr>
        <w:t>intercurrent</w:t>
      </w:r>
      <w:proofErr w:type="spellEnd"/>
      <w:r w:rsidRPr="00AD70DE">
        <w:rPr>
          <w:lang w:val="en-GB"/>
        </w:rPr>
        <w:t xml:space="preserve"> disease. Dropouts after trial medication intake cannot be rescreened.</w:t>
      </w:r>
    </w:p>
    <w:p w:rsidR="009C32E7" w:rsidRPr="00AD70DE" w:rsidRDefault="009C32E7" w:rsidP="00AD70DE">
      <w:pPr>
        <w:pStyle w:val="berschrift1"/>
        <w:spacing w:before="360" w:after="160"/>
      </w:pPr>
      <w:bookmarkStart w:id="2082" w:name="_Toc256002373"/>
      <w:bookmarkStart w:id="2083" w:name="_Toc256002276"/>
      <w:bookmarkStart w:id="2084" w:name="_Toc256002180"/>
      <w:bookmarkStart w:id="2085" w:name="_Toc256002083"/>
      <w:bookmarkStart w:id="2086" w:name="_Toc256001986"/>
      <w:bookmarkStart w:id="2087" w:name="_Toc256001754"/>
      <w:bookmarkStart w:id="2088" w:name="_Toc256001506"/>
      <w:bookmarkStart w:id="2089" w:name="_Toc256001289"/>
      <w:bookmarkStart w:id="2090" w:name="_Toc256001031"/>
      <w:bookmarkStart w:id="2091" w:name="_Toc256000819"/>
      <w:bookmarkStart w:id="2092" w:name="_Toc256000512"/>
      <w:bookmarkStart w:id="2093" w:name="_Toc256000238"/>
      <w:bookmarkStart w:id="2094" w:name="_Toc256000578"/>
      <w:bookmarkStart w:id="2095" w:name="_Toc256001955"/>
      <w:bookmarkStart w:id="2096" w:name="_Toc256001863"/>
      <w:bookmarkStart w:id="2097" w:name="_Toc256001771"/>
      <w:bookmarkStart w:id="2098" w:name="_Toc256001679"/>
      <w:bookmarkStart w:id="2099" w:name="_Toc256001587"/>
      <w:bookmarkStart w:id="2100" w:name="_Toc256001495"/>
      <w:bookmarkStart w:id="2101" w:name="_Toc256001403"/>
      <w:bookmarkStart w:id="2102" w:name="_Toc256001311"/>
      <w:bookmarkStart w:id="2103" w:name="_Toc256001219"/>
      <w:bookmarkStart w:id="2104" w:name="_Toc256001127"/>
      <w:bookmarkStart w:id="2105" w:name="_Toc256001035"/>
      <w:bookmarkStart w:id="2106" w:name="_Toc256000943"/>
      <w:bookmarkStart w:id="2107" w:name="_Toc256000851"/>
      <w:bookmarkStart w:id="2108" w:name="_Toc256000759"/>
      <w:bookmarkStart w:id="2109" w:name="_Toc256000667"/>
      <w:bookmarkStart w:id="2110" w:name="_Toc256000575"/>
      <w:bookmarkStart w:id="2111" w:name="_Toc256000483"/>
      <w:bookmarkStart w:id="2112" w:name="_Toc256000391"/>
      <w:bookmarkStart w:id="2113" w:name="_Toc256000299"/>
      <w:bookmarkStart w:id="2114" w:name="_Toc256000207"/>
      <w:bookmarkStart w:id="2115" w:name="_Toc256000130"/>
      <w:bookmarkStart w:id="2116" w:name="_Toc256000051"/>
      <w:bookmarkStart w:id="2117" w:name="_Toc434223644"/>
      <w:bookmarkStart w:id="2118" w:name="_Toc455594122"/>
      <w:bookmarkStart w:id="2119" w:name="_Toc461443312"/>
      <w:bookmarkStart w:id="2120" w:name="_Toc469498946"/>
      <w:bookmarkStart w:id="2121" w:name="_Toc491340376"/>
      <w:bookmarkStart w:id="2122" w:name="_Toc9613180"/>
      <w:bookmarkStart w:id="2123" w:name="_Toc37173093"/>
      <w:bookmarkStart w:id="2124" w:name="_Toc37243487"/>
      <w:r w:rsidRPr="00AD70DE">
        <w:lastRenderedPageBreak/>
        <w:t>Data analysis</w:t>
      </w:r>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p>
    <w:p w:rsidR="009C32E7" w:rsidRPr="00AD70DE" w:rsidRDefault="009C32E7" w:rsidP="00AD70DE">
      <w:pPr>
        <w:pStyle w:val="berschrift2"/>
        <w:spacing w:before="240"/>
        <w:ind w:left="567" w:hanging="567"/>
        <w:rPr>
          <w:color w:val="auto"/>
        </w:rPr>
      </w:pPr>
      <w:bookmarkStart w:id="2125" w:name="_Toc256000134"/>
      <w:bookmarkStart w:id="2126" w:name="_Toc256000055"/>
      <w:bookmarkStart w:id="2127" w:name="_Toc434223648"/>
      <w:bookmarkStart w:id="2128" w:name="_Toc256000611"/>
      <w:bookmarkStart w:id="2129" w:name="_Toc256001960"/>
      <w:bookmarkStart w:id="2130" w:name="_Toc256001868"/>
      <w:bookmarkStart w:id="2131" w:name="_Toc256001776"/>
      <w:bookmarkStart w:id="2132" w:name="_Toc256001684"/>
      <w:bookmarkStart w:id="2133" w:name="_Toc256001592"/>
      <w:bookmarkStart w:id="2134" w:name="_Toc256001500"/>
      <w:bookmarkStart w:id="2135" w:name="_Toc256001408"/>
      <w:bookmarkStart w:id="2136" w:name="_Toc256001316"/>
      <w:bookmarkStart w:id="2137" w:name="_Toc256001224"/>
      <w:bookmarkStart w:id="2138" w:name="_Toc256001132"/>
      <w:bookmarkStart w:id="2139" w:name="_Toc256001040"/>
      <w:bookmarkStart w:id="2140" w:name="_Toc256000948"/>
      <w:bookmarkStart w:id="2141" w:name="_Toc256000856"/>
      <w:bookmarkStart w:id="2142" w:name="_Toc256000764"/>
      <w:bookmarkStart w:id="2143" w:name="_Toc256000672"/>
      <w:bookmarkStart w:id="2144" w:name="_Toc256000580"/>
      <w:bookmarkStart w:id="2145" w:name="_Toc256000488"/>
      <w:bookmarkStart w:id="2146" w:name="_Toc256000396"/>
      <w:bookmarkStart w:id="2147" w:name="_Toc256000304"/>
      <w:bookmarkStart w:id="2148" w:name="_Toc256000212"/>
      <w:bookmarkStart w:id="2149" w:name="_Toc455594127"/>
      <w:bookmarkStart w:id="2150" w:name="_Toc461443317"/>
      <w:bookmarkStart w:id="2151" w:name="_Toc469498948"/>
      <w:bookmarkStart w:id="2152" w:name="_Toc491340378"/>
      <w:bookmarkStart w:id="2153" w:name="_Toc256002374"/>
      <w:bookmarkStart w:id="2154" w:name="_Toc256002277"/>
      <w:bookmarkStart w:id="2155" w:name="_Toc256002181"/>
      <w:bookmarkStart w:id="2156" w:name="_Toc256002084"/>
      <w:bookmarkStart w:id="2157" w:name="_Toc256001987"/>
      <w:bookmarkStart w:id="2158" w:name="_Toc256001755"/>
      <w:bookmarkStart w:id="2159" w:name="_Toc256001515"/>
      <w:bookmarkStart w:id="2160" w:name="_Toc256001290"/>
      <w:bookmarkStart w:id="2161" w:name="_Toc256001036"/>
      <w:bookmarkStart w:id="2162" w:name="_Toc256000820"/>
      <w:bookmarkStart w:id="2163" w:name="_Toc256000513"/>
      <w:bookmarkStart w:id="2164" w:name="_Toc256000249"/>
      <w:bookmarkStart w:id="2165" w:name="_Toc9613181"/>
      <w:bookmarkStart w:id="2166" w:name="_Toc37173094"/>
      <w:bookmarkStart w:id="2167" w:name="_Toc37243488"/>
      <w:bookmarkStart w:id="2168" w:name="_Toc256000579"/>
      <w:bookmarkStart w:id="2169" w:name="_Toc256001957"/>
      <w:bookmarkStart w:id="2170" w:name="_Toc256001865"/>
      <w:bookmarkStart w:id="2171" w:name="_Toc256001773"/>
      <w:bookmarkStart w:id="2172" w:name="_Toc256001681"/>
      <w:bookmarkStart w:id="2173" w:name="_Toc256001589"/>
      <w:bookmarkStart w:id="2174" w:name="_Toc256001497"/>
      <w:bookmarkStart w:id="2175" w:name="_Toc256001405"/>
      <w:bookmarkStart w:id="2176" w:name="_Toc256001313"/>
      <w:bookmarkStart w:id="2177" w:name="_Toc256001221"/>
      <w:bookmarkStart w:id="2178" w:name="_Toc256001129"/>
      <w:bookmarkStart w:id="2179" w:name="_Toc256001037"/>
      <w:bookmarkStart w:id="2180" w:name="_Toc256000945"/>
      <w:bookmarkStart w:id="2181" w:name="_Toc256000853"/>
      <w:bookmarkStart w:id="2182" w:name="_Toc256000761"/>
      <w:bookmarkStart w:id="2183" w:name="_Toc256000669"/>
      <w:bookmarkStart w:id="2184" w:name="_Toc256000577"/>
      <w:bookmarkStart w:id="2185" w:name="_Toc256000485"/>
      <w:bookmarkStart w:id="2186" w:name="_Toc256000393"/>
      <w:bookmarkStart w:id="2187" w:name="_Toc256000301"/>
      <w:bookmarkStart w:id="2188" w:name="_Toc256000209"/>
      <w:bookmarkStart w:id="2189" w:name="_Toc256000132"/>
      <w:bookmarkStart w:id="2190" w:name="_Toc256000053"/>
      <w:bookmarkStart w:id="2191" w:name="_Toc434223646"/>
      <w:bookmarkStart w:id="2192" w:name="_Toc455594124"/>
      <w:bookmarkStart w:id="2193" w:name="_Toc461443314"/>
      <w:bookmarkStart w:id="2194" w:name="_Toc469498947"/>
      <w:bookmarkStart w:id="2195" w:name="_Toc491340377"/>
      <w:r w:rsidRPr="00AD70DE">
        <w:rPr>
          <w:color w:val="auto"/>
        </w:rPr>
        <w:t xml:space="preserve">Sample size </w:t>
      </w:r>
      <w:bookmarkEnd w:id="2125"/>
      <w:bookmarkEnd w:id="2126"/>
      <w:bookmarkEnd w:id="2127"/>
      <w:r w:rsidRPr="00AD70DE">
        <w:rPr>
          <w:color w:val="auto"/>
        </w:rPr>
        <w:t>and power</w:t>
      </w:r>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r w:rsidRPr="00AD70DE">
        <w:rPr>
          <w:color w:val="auto"/>
        </w:rPr>
        <w:t xml:space="preserve"> calculation</w:t>
      </w:r>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rsidR="009C32E7" w:rsidRPr="00AD70DE" w:rsidRDefault="009C32E7" w:rsidP="00AD70DE">
      <w:pPr>
        <w:rPr>
          <w:snapToGrid w:val="0"/>
          <w:lang w:val="en-GB"/>
        </w:rPr>
      </w:pPr>
      <w:r w:rsidRPr="00AD70DE">
        <w:rPr>
          <w:snapToGrid w:val="0"/>
          <w:lang w:val="en-GB"/>
        </w:rPr>
        <w:t>The planned sample size is 24 healthy volunteers, 12 in each arm.</w:t>
      </w:r>
    </w:p>
    <w:p w:rsidR="009C32E7" w:rsidRPr="00AD70DE" w:rsidRDefault="009C32E7" w:rsidP="00AD70DE">
      <w:pPr>
        <w:rPr>
          <w:snapToGrid w:val="0"/>
          <w:lang w:val="en-GB"/>
        </w:rPr>
      </w:pPr>
      <w:r w:rsidRPr="00AD70DE">
        <w:rPr>
          <w:snapToGrid w:val="0"/>
          <w:lang w:val="en-GB"/>
        </w:rPr>
        <w:t>The sample size calculation is based on previous data after single doses of HCQ [1]. An online calculator was used for the sample size calculation (http://hedwig.mgh.harvard.edu/sample_size/js/js_parallel_quant.html). With the AUC</w:t>
      </w:r>
      <w:r w:rsidRPr="00AD70DE">
        <w:rPr>
          <w:snapToGrid w:val="0"/>
          <w:vertAlign w:val="subscript"/>
          <w:lang w:val="en-GB"/>
        </w:rPr>
        <w:t xml:space="preserve">0-72 h </w:t>
      </w:r>
      <w:r w:rsidRPr="00AD70DE">
        <w:rPr>
          <w:snapToGrid w:val="0"/>
          <w:lang w:val="en-GB"/>
        </w:rPr>
        <w:t>data available, a sample size of 14 (7 in each group) is needed to detect a 30 % difference in AUC</w:t>
      </w:r>
      <w:r w:rsidRPr="00AD70DE">
        <w:rPr>
          <w:snapToGrid w:val="0"/>
          <w:vertAlign w:val="subscript"/>
          <w:lang w:val="en-GB"/>
        </w:rPr>
        <w:t xml:space="preserve">0-72 h </w:t>
      </w:r>
      <w:r w:rsidRPr="00AD70DE">
        <w:rPr>
          <w:snapToGrid w:val="0"/>
          <w:lang w:val="en-GB"/>
        </w:rPr>
        <w:t xml:space="preserve">with a power of 0.8 and </w:t>
      </w:r>
      <w:proofErr w:type="gramStart"/>
      <w:r w:rsidRPr="00AD70DE">
        <w:rPr>
          <w:snapToGrid w:val="0"/>
          <w:lang w:val="en-GB"/>
        </w:rPr>
        <w:t>an</w:t>
      </w:r>
      <w:proofErr w:type="gramEnd"/>
      <w:r w:rsidRPr="00AD70DE">
        <w:rPr>
          <w:snapToGrid w:val="0"/>
          <w:lang w:val="en-GB"/>
        </w:rPr>
        <w:t xml:space="preserve"> α-error of 5 %. Therefore, a sample size of 12 per group is regarded as sufficient to detect a PPI-induced difference on HCQ AUC</w:t>
      </w:r>
      <w:r w:rsidRPr="00AD70DE">
        <w:rPr>
          <w:snapToGrid w:val="0"/>
          <w:vertAlign w:val="subscript"/>
          <w:lang w:val="en-GB"/>
        </w:rPr>
        <w:t>0-72 h</w:t>
      </w:r>
      <w:r w:rsidRPr="00AD70DE">
        <w:rPr>
          <w:snapToGrid w:val="0"/>
          <w:lang w:val="en-GB"/>
        </w:rPr>
        <w:t xml:space="preserve"> exceeding the bioequivalence range (80-125 %).</w:t>
      </w:r>
    </w:p>
    <w:p w:rsidR="009C32E7" w:rsidRPr="00AD70DE" w:rsidRDefault="009C32E7" w:rsidP="00AD70DE">
      <w:pPr>
        <w:rPr>
          <w:snapToGrid w:val="0"/>
          <w:lang w:val="en-GB"/>
        </w:rPr>
      </w:pPr>
      <w:r w:rsidRPr="00AD70DE">
        <w:rPr>
          <w:snapToGrid w:val="0"/>
          <w:lang w:val="en-GB"/>
        </w:rPr>
        <w:t xml:space="preserve">Up to 12 volunteers may be replaced if enrolled volunteers drop out prior to exposure with HCQ </w:t>
      </w:r>
      <w:r w:rsidRPr="00AD70DE">
        <w:rPr>
          <w:lang w:val="en-GB"/>
        </w:rPr>
        <w:t>or prior to completing the 72 h PK sampling period</w:t>
      </w:r>
      <w:r w:rsidRPr="00AD70DE">
        <w:rPr>
          <w:snapToGrid w:val="0"/>
          <w:lang w:val="en-GB"/>
        </w:rPr>
        <w:t>.</w:t>
      </w:r>
    </w:p>
    <w:p w:rsidR="009C32E7" w:rsidRPr="00AD70DE" w:rsidRDefault="009C32E7" w:rsidP="00AD70DE">
      <w:pPr>
        <w:pStyle w:val="berschrift2"/>
        <w:spacing w:before="240"/>
        <w:ind w:left="567" w:hanging="567"/>
        <w:rPr>
          <w:color w:val="auto"/>
        </w:rPr>
      </w:pPr>
      <w:bookmarkStart w:id="2196" w:name="_Toc256000135"/>
      <w:bookmarkStart w:id="2197" w:name="_Toc256000056"/>
      <w:bookmarkStart w:id="2198" w:name="_Toc434223649"/>
      <w:bookmarkStart w:id="2199" w:name="_Toc256000621"/>
      <w:bookmarkStart w:id="2200" w:name="_Toc256001962"/>
      <w:bookmarkStart w:id="2201" w:name="_Toc256001870"/>
      <w:bookmarkStart w:id="2202" w:name="_Toc256001778"/>
      <w:bookmarkStart w:id="2203" w:name="_Toc256001686"/>
      <w:bookmarkStart w:id="2204" w:name="_Toc256001594"/>
      <w:bookmarkStart w:id="2205" w:name="_Toc256001502"/>
      <w:bookmarkStart w:id="2206" w:name="_Toc256001410"/>
      <w:bookmarkStart w:id="2207" w:name="_Toc256001318"/>
      <w:bookmarkStart w:id="2208" w:name="_Toc256001226"/>
      <w:bookmarkStart w:id="2209" w:name="_Toc256001134"/>
      <w:bookmarkStart w:id="2210" w:name="_Toc256001042"/>
      <w:bookmarkStart w:id="2211" w:name="_Toc256000950"/>
      <w:bookmarkStart w:id="2212" w:name="_Toc256000858"/>
      <w:bookmarkStart w:id="2213" w:name="_Toc256000766"/>
      <w:bookmarkStart w:id="2214" w:name="_Toc256000674"/>
      <w:bookmarkStart w:id="2215" w:name="_Toc256000582"/>
      <w:bookmarkStart w:id="2216" w:name="_Toc256000490"/>
      <w:bookmarkStart w:id="2217" w:name="_Toc256000398"/>
      <w:bookmarkStart w:id="2218" w:name="_Toc256000306"/>
      <w:bookmarkStart w:id="2219" w:name="_Toc256000214"/>
      <w:bookmarkStart w:id="2220" w:name="_Toc455594129"/>
      <w:bookmarkStart w:id="2221" w:name="_Toc461443319"/>
      <w:bookmarkStart w:id="2222" w:name="_Toc469498950"/>
      <w:bookmarkStart w:id="2223" w:name="_Toc491340380"/>
      <w:bookmarkStart w:id="2224" w:name="_Toc256002375"/>
      <w:bookmarkStart w:id="2225" w:name="_Toc256002278"/>
      <w:bookmarkStart w:id="2226" w:name="_Toc256002182"/>
      <w:bookmarkStart w:id="2227" w:name="_Toc256002085"/>
      <w:bookmarkStart w:id="2228" w:name="_Toc256001988"/>
      <w:bookmarkStart w:id="2229" w:name="_Toc256001756"/>
      <w:bookmarkStart w:id="2230" w:name="_Toc256001516"/>
      <w:bookmarkStart w:id="2231" w:name="_Toc256001291"/>
      <w:bookmarkStart w:id="2232" w:name="_Toc256001038"/>
      <w:bookmarkStart w:id="2233" w:name="_Toc256000825"/>
      <w:bookmarkStart w:id="2234" w:name="_Toc256000514"/>
      <w:bookmarkStart w:id="2235" w:name="_Toc256000252"/>
      <w:bookmarkStart w:id="2236" w:name="_Toc9613182"/>
      <w:bookmarkStart w:id="2237" w:name="_Toc37173095"/>
      <w:bookmarkStart w:id="2238" w:name="_Toc37243489"/>
      <w:r w:rsidRPr="00AD70DE">
        <w:rPr>
          <w:color w:val="auto"/>
        </w:rPr>
        <w:t>Statistical analysis</w:t>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r w:rsidRPr="00AD70DE">
        <w:rPr>
          <w:color w:val="auto"/>
        </w:rPr>
        <w:t xml:space="preserve"> plan</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p>
    <w:p w:rsidR="009C32E7" w:rsidRPr="00AD70DE" w:rsidRDefault="009C32E7" w:rsidP="00AD70DE">
      <w:pPr>
        <w:pStyle w:val="111Formatvorlage"/>
        <w:numPr>
          <w:ilvl w:val="2"/>
          <w:numId w:val="3"/>
        </w:numPr>
        <w:spacing w:line="240" w:lineRule="exact"/>
        <w:ind w:left="993" w:hanging="993"/>
      </w:pPr>
      <w:bookmarkStart w:id="2239" w:name="_Toc256002376"/>
      <w:bookmarkStart w:id="2240" w:name="_Toc256002279"/>
      <w:bookmarkStart w:id="2241" w:name="_Toc256002183"/>
      <w:bookmarkStart w:id="2242" w:name="_Toc256002086"/>
      <w:bookmarkStart w:id="2243" w:name="_Toc256001989"/>
      <w:bookmarkStart w:id="2244" w:name="_Toc256001757"/>
      <w:bookmarkStart w:id="2245" w:name="_Toc256001519"/>
      <w:bookmarkStart w:id="2246" w:name="_Toc256001292"/>
      <w:bookmarkStart w:id="2247" w:name="_Toc256001039"/>
      <w:bookmarkStart w:id="2248" w:name="_Toc256000826"/>
      <w:bookmarkStart w:id="2249" w:name="_Toc256000519"/>
      <w:bookmarkStart w:id="2250" w:name="_Toc256000253"/>
      <w:bookmarkStart w:id="2251" w:name="_Toc256000620"/>
      <w:bookmarkStart w:id="2252" w:name="_Toc256001961"/>
      <w:bookmarkStart w:id="2253" w:name="_Toc256001869"/>
      <w:bookmarkStart w:id="2254" w:name="_Toc256001777"/>
      <w:bookmarkStart w:id="2255" w:name="_Toc256001685"/>
      <w:bookmarkStart w:id="2256" w:name="_Toc256001593"/>
      <w:bookmarkStart w:id="2257" w:name="_Toc256001501"/>
      <w:bookmarkStart w:id="2258" w:name="_Toc256001409"/>
      <w:bookmarkStart w:id="2259" w:name="_Toc256001317"/>
      <w:bookmarkStart w:id="2260" w:name="_Toc256001225"/>
      <w:bookmarkStart w:id="2261" w:name="_Toc256001133"/>
      <w:bookmarkStart w:id="2262" w:name="_Toc256001041"/>
      <w:bookmarkStart w:id="2263" w:name="_Toc256000949"/>
      <w:bookmarkStart w:id="2264" w:name="_Toc256000857"/>
      <w:bookmarkStart w:id="2265" w:name="_Toc256000765"/>
      <w:bookmarkStart w:id="2266" w:name="_Toc256000673"/>
      <w:bookmarkStart w:id="2267" w:name="_Toc256000581"/>
      <w:bookmarkStart w:id="2268" w:name="_Toc256000489"/>
      <w:bookmarkStart w:id="2269" w:name="_Toc256000397"/>
      <w:bookmarkStart w:id="2270" w:name="_Toc256000305"/>
      <w:bookmarkStart w:id="2271" w:name="_Toc256000213"/>
      <w:bookmarkStart w:id="2272" w:name="_Toc455594128"/>
      <w:bookmarkStart w:id="2273" w:name="_Toc461443318"/>
      <w:bookmarkStart w:id="2274" w:name="_Toc469498949"/>
      <w:bookmarkStart w:id="2275" w:name="_Toc491340379"/>
      <w:bookmarkStart w:id="2276" w:name="_Toc9613183"/>
      <w:bookmarkStart w:id="2277" w:name="_Toc37173096"/>
      <w:bookmarkStart w:id="2278" w:name="_Toc37243490"/>
      <w:r w:rsidRPr="00AD70DE">
        <w:t>Analysis sets</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p w:rsidR="009C32E7" w:rsidRPr="00AD70DE" w:rsidRDefault="009C32E7" w:rsidP="00AD70DE">
      <w:pPr>
        <w:keepNext/>
        <w:keepLines/>
        <w:rPr>
          <w:lang w:val="en-GB"/>
        </w:rPr>
      </w:pPr>
      <w:r w:rsidRPr="00AD70DE">
        <w:rPr>
          <w:lang w:val="en-GB"/>
        </w:rPr>
        <w:t>All volunteers who received trial treatment will be analysed. Analysis of the primary endpoint will be done in the complete case set. Safety analyses will be done with all volunteers who received trial medication.</w:t>
      </w:r>
    </w:p>
    <w:p w:rsidR="009C32E7" w:rsidRPr="00AD70DE" w:rsidRDefault="009C32E7" w:rsidP="00AD70DE">
      <w:pPr>
        <w:pStyle w:val="111Formatvorlage"/>
        <w:keepNext w:val="0"/>
        <w:numPr>
          <w:ilvl w:val="2"/>
          <w:numId w:val="3"/>
        </w:numPr>
        <w:spacing w:line="240" w:lineRule="exact"/>
        <w:ind w:left="993" w:hanging="993"/>
      </w:pPr>
      <w:bookmarkStart w:id="2279" w:name="_Toc256002377"/>
      <w:bookmarkStart w:id="2280" w:name="_Toc256002280"/>
      <w:bookmarkStart w:id="2281" w:name="_Toc256002184"/>
      <w:bookmarkStart w:id="2282" w:name="_Toc256002087"/>
      <w:bookmarkStart w:id="2283" w:name="_Toc256001990"/>
      <w:bookmarkStart w:id="2284" w:name="_Toc256001758"/>
      <w:bookmarkStart w:id="2285" w:name="_Toc256001524"/>
      <w:bookmarkStart w:id="2286" w:name="_Toc256001293"/>
      <w:bookmarkStart w:id="2287" w:name="_Toc256001046"/>
      <w:bookmarkStart w:id="2288" w:name="_Toc256000827"/>
      <w:bookmarkStart w:id="2289" w:name="_Toc256000525"/>
      <w:bookmarkStart w:id="2290" w:name="_Toc256000259"/>
      <w:bookmarkStart w:id="2291" w:name="_Toc9613184"/>
      <w:bookmarkStart w:id="2292" w:name="_Toc37173097"/>
      <w:bookmarkStart w:id="2293" w:name="_Toc37243491"/>
      <w:r w:rsidRPr="00AD70DE">
        <w:t>PK parameters</w:t>
      </w:r>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p>
    <w:p w:rsidR="009C32E7" w:rsidRPr="00AD70DE" w:rsidRDefault="009C32E7" w:rsidP="00AD70DE">
      <w:pPr>
        <w:rPr>
          <w:lang w:val="en-GB"/>
        </w:rPr>
      </w:pPr>
      <w:r w:rsidRPr="00AD70DE">
        <w:rPr>
          <w:lang w:val="en-GB"/>
        </w:rPr>
        <w:t xml:space="preserve">Standard PK parameters will be calculated using the pertinent version of </w:t>
      </w:r>
      <w:proofErr w:type="spellStart"/>
      <w:r w:rsidRPr="00AD70DE">
        <w:rPr>
          <w:lang w:val="en-GB"/>
        </w:rPr>
        <w:t>Kinetica</w:t>
      </w:r>
      <w:proofErr w:type="spellEnd"/>
      <w:r w:rsidRPr="00AD70DE">
        <w:rPr>
          <w:lang w:val="en-GB"/>
        </w:rPr>
        <w:t xml:space="preserve"> </w:t>
      </w:r>
      <w:r w:rsidRPr="00AD70DE">
        <w:rPr>
          <w:rFonts w:cs="AdvGulliv-R"/>
          <w:lang w:val="en-GB"/>
        </w:rPr>
        <w:t>(</w:t>
      </w:r>
      <w:proofErr w:type="spellStart"/>
      <w:r w:rsidRPr="00AD70DE">
        <w:rPr>
          <w:rFonts w:cs="AdvGulliv-R"/>
          <w:lang w:val="en-GB"/>
        </w:rPr>
        <w:t>Thermo</w:t>
      </w:r>
      <w:proofErr w:type="spellEnd"/>
      <w:r w:rsidRPr="00AD70DE">
        <w:rPr>
          <w:rFonts w:cs="AdvGulliv-R"/>
          <w:lang w:val="en-GB"/>
        </w:rPr>
        <w:t xml:space="preserve"> Fisher Scientific, Waltham, USA)</w:t>
      </w:r>
      <w:r w:rsidRPr="00AD70DE">
        <w:rPr>
          <w:lang w:val="en-GB"/>
        </w:rPr>
        <w:t>. Graphical analyses will be done using the pertinent version of Prism (</w:t>
      </w:r>
      <w:proofErr w:type="spellStart"/>
      <w:r w:rsidRPr="00AD70DE">
        <w:rPr>
          <w:lang w:val="en-GB"/>
        </w:rPr>
        <w:t>GraphPad</w:t>
      </w:r>
      <w:proofErr w:type="spellEnd"/>
      <w:r w:rsidRPr="00AD70DE">
        <w:rPr>
          <w:lang w:val="en-GB"/>
        </w:rPr>
        <w:t xml:space="preserve"> Software Inc., La Jolla, USA).</w:t>
      </w:r>
      <w:r w:rsidRPr="00AD70DE">
        <w:rPr>
          <w:lang w:val="en-US"/>
        </w:rPr>
        <w:t xml:space="preserve"> </w:t>
      </w:r>
      <w:r w:rsidRPr="00AD70DE">
        <w:rPr>
          <w:lang w:val="en-GB"/>
        </w:rPr>
        <w:t>Equivalent software for the dedicated use of PK analysis or graphical and statistical analysis may be used if the SOP of the trial unit may specify this at a later point.</w:t>
      </w:r>
    </w:p>
    <w:p w:rsidR="009C32E7" w:rsidRPr="00AD70DE" w:rsidRDefault="009C32E7" w:rsidP="00AD70DE">
      <w:pPr>
        <w:pStyle w:val="111Formatvorlage"/>
        <w:numPr>
          <w:ilvl w:val="2"/>
          <w:numId w:val="3"/>
        </w:numPr>
        <w:spacing w:line="240" w:lineRule="exact"/>
        <w:ind w:left="993" w:hanging="993"/>
      </w:pPr>
      <w:bookmarkStart w:id="2294" w:name="_Toc256002378"/>
      <w:bookmarkStart w:id="2295" w:name="_Toc256002281"/>
      <w:bookmarkStart w:id="2296" w:name="_Toc256002185"/>
      <w:bookmarkStart w:id="2297" w:name="_Toc256002088"/>
      <w:bookmarkStart w:id="2298" w:name="_Toc256001991"/>
      <w:bookmarkStart w:id="2299" w:name="_Toc256001759"/>
      <w:bookmarkStart w:id="2300" w:name="_Toc256001525"/>
      <w:bookmarkStart w:id="2301" w:name="_Toc256001294"/>
      <w:bookmarkStart w:id="2302" w:name="_Toc256001055"/>
      <w:bookmarkStart w:id="2303" w:name="_Toc256000829"/>
      <w:bookmarkStart w:id="2304" w:name="_Toc256000528"/>
      <w:bookmarkStart w:id="2305" w:name="_Toc256000267"/>
      <w:bookmarkStart w:id="2306" w:name="_Toc9613185"/>
      <w:bookmarkStart w:id="2307" w:name="_Toc37173098"/>
      <w:bookmarkStart w:id="2308" w:name="_Toc37243492"/>
      <w:r w:rsidRPr="00AD70DE">
        <w:t>Statistical analysis</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p>
    <w:p w:rsidR="009C32E7" w:rsidRPr="00AD70DE" w:rsidRDefault="009C32E7" w:rsidP="00AD70DE">
      <w:pPr>
        <w:rPr>
          <w:lang w:val="en-GB"/>
        </w:rPr>
      </w:pPr>
      <w:r w:rsidRPr="00AD70DE">
        <w:rPr>
          <w:lang w:val="en-GB"/>
        </w:rPr>
        <w:t xml:space="preserve">The primary outcome measures are the difference in </w:t>
      </w:r>
      <w:r w:rsidRPr="00AD70DE">
        <w:rPr>
          <w:rFonts w:eastAsia="MS Mincho"/>
          <w:lang w:val="en-GB"/>
        </w:rPr>
        <w:t>AUC</w:t>
      </w:r>
      <w:r w:rsidRPr="00AD70DE">
        <w:rPr>
          <w:rFonts w:eastAsia="MS Mincho"/>
          <w:vertAlign w:val="subscript"/>
          <w:lang w:val="en-GB"/>
        </w:rPr>
        <w:t>0-72 h</w:t>
      </w:r>
      <w:r w:rsidRPr="00AD70DE">
        <w:rPr>
          <w:rFonts w:eastAsia="MS Mincho"/>
          <w:lang w:val="en-GB"/>
        </w:rPr>
        <w:t xml:space="preserve"> and </w:t>
      </w:r>
      <w:proofErr w:type="spellStart"/>
      <w:r w:rsidRPr="00AD70DE">
        <w:rPr>
          <w:rFonts w:eastAsia="MS Mincho"/>
          <w:lang w:val="en-GB"/>
        </w:rPr>
        <w:t>C</w:t>
      </w:r>
      <w:r w:rsidRPr="00AD70DE">
        <w:rPr>
          <w:rFonts w:eastAsia="MS Mincho"/>
          <w:vertAlign w:val="subscript"/>
          <w:lang w:val="en-GB"/>
        </w:rPr>
        <w:t>max</w:t>
      </w:r>
      <w:proofErr w:type="spellEnd"/>
      <w:r w:rsidRPr="00AD70DE">
        <w:rPr>
          <w:rFonts w:eastAsia="MS Mincho"/>
          <w:lang w:val="en-GB"/>
        </w:rPr>
        <w:t xml:space="preserve"> of a single dose of 400 mg oral HCQ with or without </w:t>
      </w:r>
      <w:r w:rsidRPr="00AD70DE">
        <w:rPr>
          <w:lang w:val="en-GB"/>
        </w:rPr>
        <w:t xml:space="preserve">concomitant pantoprazole therapy. </w:t>
      </w:r>
    </w:p>
    <w:p w:rsidR="009C32E7" w:rsidRPr="00AD70DE" w:rsidRDefault="009C32E7" w:rsidP="00AD70DE">
      <w:pPr>
        <w:spacing w:line="276" w:lineRule="auto"/>
        <w:rPr>
          <w:rFonts w:cs="Calibri"/>
          <w:lang w:val="en-GB"/>
        </w:rPr>
      </w:pPr>
      <w:r w:rsidRPr="00AD70DE">
        <w:rPr>
          <w:lang w:val="en-GB"/>
        </w:rPr>
        <w:t xml:space="preserve">The following parameters will be reported through detailed descriptive statistics and graphics and, if applicable, changes will be analysed using ANOVA or paired t-tests at </w:t>
      </w:r>
      <w:proofErr w:type="gramStart"/>
      <w:r w:rsidRPr="00AD70DE">
        <w:rPr>
          <w:lang w:val="en-GB"/>
        </w:rPr>
        <w:t>an α</w:t>
      </w:r>
      <w:proofErr w:type="gramEnd"/>
      <w:r w:rsidRPr="00AD70DE">
        <w:rPr>
          <w:lang w:val="en-GB"/>
        </w:rPr>
        <w:t xml:space="preserve"> = 5 % level</w:t>
      </w:r>
      <w:r w:rsidRPr="00AD70DE">
        <w:rPr>
          <w:rFonts w:cs="Calibri"/>
          <w:lang w:val="en-GB"/>
        </w:rPr>
        <w:t>:</w:t>
      </w:r>
    </w:p>
    <w:p w:rsidR="009C32E7" w:rsidRPr="00AD70DE" w:rsidRDefault="009C32E7" w:rsidP="00AD70DE">
      <w:pPr>
        <w:pStyle w:val="Listenabsatz"/>
        <w:numPr>
          <w:ilvl w:val="0"/>
          <w:numId w:val="34"/>
        </w:numPr>
        <w:spacing w:line="276" w:lineRule="auto"/>
        <w:rPr>
          <w:rFonts w:cs="Calibri"/>
          <w:lang w:val="en-GB"/>
        </w:rPr>
      </w:pPr>
      <w:r w:rsidRPr="00AD70DE">
        <w:rPr>
          <w:rFonts w:cs="Calibri"/>
          <w:lang w:val="en-GB"/>
        </w:rPr>
        <w:t>AUC</w:t>
      </w:r>
      <w:r w:rsidRPr="00AD70DE">
        <w:rPr>
          <w:rFonts w:cs="Calibri"/>
          <w:vertAlign w:val="subscript"/>
          <w:lang w:val="en-GB"/>
        </w:rPr>
        <w:t>2-4 h</w:t>
      </w:r>
      <w:r w:rsidRPr="00AD70DE">
        <w:rPr>
          <w:rFonts w:cs="Calibri"/>
          <w:lang w:val="en-GB"/>
        </w:rPr>
        <w:t>, AUC</w:t>
      </w:r>
      <w:r w:rsidRPr="00AD70DE">
        <w:rPr>
          <w:rFonts w:cs="Calibri"/>
          <w:vertAlign w:val="subscript"/>
          <w:lang w:val="en-GB"/>
        </w:rPr>
        <w:t xml:space="preserve">0-6 h </w:t>
      </w:r>
      <w:r w:rsidRPr="00AD70DE">
        <w:rPr>
          <w:rFonts w:cs="Calibri"/>
          <w:lang w:val="en-GB"/>
        </w:rPr>
        <w:t xml:space="preserve">and </w:t>
      </w:r>
      <w:proofErr w:type="spellStart"/>
      <w:r w:rsidRPr="00AD70DE">
        <w:rPr>
          <w:rFonts w:cs="Calibri"/>
          <w:lang w:val="en-GB"/>
        </w:rPr>
        <w:t>C</w:t>
      </w:r>
      <w:r w:rsidRPr="00AD70DE">
        <w:rPr>
          <w:rFonts w:cs="Calibri"/>
          <w:vertAlign w:val="subscript"/>
          <w:lang w:val="en-GB"/>
        </w:rPr>
        <w:t>max</w:t>
      </w:r>
      <w:proofErr w:type="spellEnd"/>
      <w:r w:rsidRPr="00AD70DE">
        <w:rPr>
          <w:rFonts w:cs="Calibri"/>
          <w:lang w:val="en-GB"/>
        </w:rPr>
        <w:t xml:space="preserve"> of </w:t>
      </w:r>
      <w:proofErr w:type="spellStart"/>
      <w:r w:rsidRPr="00AD70DE">
        <w:rPr>
          <w:rFonts w:cs="Calibri"/>
          <w:lang w:val="en-GB"/>
        </w:rPr>
        <w:t>microdosed</w:t>
      </w:r>
      <w:proofErr w:type="spellEnd"/>
      <w:r w:rsidRPr="00AD70DE">
        <w:rPr>
          <w:rFonts w:cs="Calibri"/>
          <w:lang w:val="en-GB"/>
        </w:rPr>
        <w:t xml:space="preserve"> midazolam and </w:t>
      </w:r>
      <w:proofErr w:type="spellStart"/>
      <w:r w:rsidRPr="00AD70DE">
        <w:rPr>
          <w:rFonts w:cs="Calibri"/>
          <w:lang w:val="en-GB"/>
        </w:rPr>
        <w:t>microdosed</w:t>
      </w:r>
      <w:proofErr w:type="spellEnd"/>
      <w:r w:rsidRPr="00AD70DE">
        <w:rPr>
          <w:rFonts w:cs="Calibri"/>
          <w:lang w:val="en-GB"/>
        </w:rPr>
        <w:t xml:space="preserve"> </w:t>
      </w:r>
      <w:proofErr w:type="spellStart"/>
      <w:r w:rsidRPr="00AD70DE">
        <w:rPr>
          <w:rFonts w:cs="Calibri"/>
          <w:lang w:val="en-GB"/>
        </w:rPr>
        <w:t>yohimbine</w:t>
      </w:r>
      <w:proofErr w:type="spellEnd"/>
      <w:r w:rsidRPr="00AD70DE">
        <w:rPr>
          <w:rFonts w:cs="Calibri"/>
          <w:lang w:val="en-GB"/>
        </w:rPr>
        <w:t>,</w:t>
      </w:r>
    </w:p>
    <w:p w:rsidR="009C32E7" w:rsidRPr="00AD70DE" w:rsidRDefault="009C32E7" w:rsidP="00AD70DE">
      <w:pPr>
        <w:pStyle w:val="Listenabsatz"/>
        <w:numPr>
          <w:ilvl w:val="0"/>
          <w:numId w:val="34"/>
        </w:numPr>
        <w:spacing w:line="276" w:lineRule="auto"/>
        <w:rPr>
          <w:rFonts w:cs="Calibri"/>
          <w:lang w:val="en-GB"/>
        </w:rPr>
      </w:pPr>
      <w:r w:rsidRPr="00AD70DE">
        <w:rPr>
          <w:rFonts w:cs="Calibri"/>
          <w:lang w:val="en-GB"/>
        </w:rPr>
        <w:t>Correlation of concentrations of HCQ in whole blood as compared to concentrations in plasma and PBMCs.</w:t>
      </w:r>
    </w:p>
    <w:p w:rsidR="009C32E7" w:rsidRPr="00AD70DE" w:rsidRDefault="009C32E7" w:rsidP="00AD70DE">
      <w:pPr>
        <w:pStyle w:val="Listenabsatz"/>
        <w:numPr>
          <w:ilvl w:val="0"/>
          <w:numId w:val="34"/>
        </w:numPr>
        <w:spacing w:line="276" w:lineRule="auto"/>
        <w:rPr>
          <w:rFonts w:cs="Calibri"/>
          <w:lang w:val="en-GB"/>
        </w:rPr>
      </w:pPr>
      <w:r w:rsidRPr="00AD70DE">
        <w:rPr>
          <w:rFonts w:cs="Calibri"/>
          <w:lang w:val="en-GB"/>
        </w:rPr>
        <w:t>AUC</w:t>
      </w:r>
      <w:r w:rsidRPr="00AD70DE">
        <w:rPr>
          <w:rFonts w:cs="Calibri"/>
          <w:vertAlign w:val="subscript"/>
          <w:lang w:val="en-GB"/>
        </w:rPr>
        <w:t xml:space="preserve">0-72 h </w:t>
      </w:r>
      <w:r w:rsidRPr="00AD70DE">
        <w:rPr>
          <w:rFonts w:cs="Calibri"/>
          <w:lang w:val="en-GB"/>
        </w:rPr>
        <w:t xml:space="preserve">and </w:t>
      </w:r>
      <w:proofErr w:type="spellStart"/>
      <w:r w:rsidRPr="00AD70DE">
        <w:rPr>
          <w:rFonts w:cs="Calibri"/>
          <w:lang w:val="en-GB"/>
        </w:rPr>
        <w:t>C</w:t>
      </w:r>
      <w:r w:rsidRPr="00AD70DE">
        <w:rPr>
          <w:rFonts w:cs="Calibri"/>
          <w:vertAlign w:val="subscript"/>
          <w:lang w:val="en-GB"/>
        </w:rPr>
        <w:t>max</w:t>
      </w:r>
      <w:proofErr w:type="spellEnd"/>
      <w:r w:rsidRPr="00AD70DE">
        <w:rPr>
          <w:rFonts w:cs="Calibri"/>
          <w:lang w:val="en-GB"/>
        </w:rPr>
        <w:t xml:space="preserve"> of </w:t>
      </w:r>
      <w:proofErr w:type="spellStart"/>
      <w:r w:rsidRPr="00AD70DE">
        <w:rPr>
          <w:rFonts w:cs="Calibri"/>
          <w:lang w:val="en-GB"/>
        </w:rPr>
        <w:t>desethyl</w:t>
      </w:r>
      <w:proofErr w:type="spellEnd"/>
      <w:r w:rsidRPr="00AD70DE">
        <w:rPr>
          <w:rFonts w:cs="Calibri"/>
          <w:lang w:val="en-GB"/>
        </w:rPr>
        <w:t>-HCQ with and without pantoprazole.</w:t>
      </w:r>
    </w:p>
    <w:p w:rsidR="009C32E7" w:rsidRPr="00AD70DE" w:rsidRDefault="009C32E7" w:rsidP="00AD70DE">
      <w:pPr>
        <w:pStyle w:val="Listenabsatz"/>
        <w:numPr>
          <w:ilvl w:val="0"/>
          <w:numId w:val="34"/>
        </w:numPr>
        <w:spacing w:line="276" w:lineRule="auto"/>
        <w:rPr>
          <w:rFonts w:cs="Calibri"/>
          <w:lang w:val="en-GB"/>
        </w:rPr>
      </w:pPr>
      <w:r w:rsidRPr="00AD70DE">
        <w:rPr>
          <w:rFonts w:cs="Calibri"/>
          <w:lang w:val="en-GB"/>
        </w:rPr>
        <w:t>Metabolic rations will be analysed where metabolites are available</w:t>
      </w:r>
    </w:p>
    <w:p w:rsidR="009C32E7" w:rsidRPr="00AD70DE" w:rsidRDefault="009C32E7" w:rsidP="00AD70DE">
      <w:pPr>
        <w:rPr>
          <w:rFonts w:eastAsia="MS Mincho"/>
          <w:lang w:val="en-GB"/>
        </w:rPr>
      </w:pPr>
      <w:r w:rsidRPr="00AD70DE">
        <w:rPr>
          <w:rFonts w:eastAsia="MS Mincho"/>
          <w:lang w:val="en-GB"/>
        </w:rPr>
        <w:t>Seriousness, severity, relationship, and frequency of AEs during the treatment period will be tabulated and summarized.</w:t>
      </w:r>
    </w:p>
    <w:p w:rsidR="009C32E7" w:rsidRPr="00AD70DE" w:rsidRDefault="009C32E7" w:rsidP="00AD70DE">
      <w:pPr>
        <w:rPr>
          <w:rFonts w:eastAsia="MS Mincho"/>
          <w:u w:val="single"/>
          <w:lang w:val="en-GB"/>
        </w:rPr>
      </w:pPr>
      <w:r w:rsidRPr="00AD70DE">
        <w:rPr>
          <w:rFonts w:eastAsia="MS Mincho"/>
          <w:lang w:val="en-GB"/>
        </w:rPr>
        <w:lastRenderedPageBreak/>
        <w:t>Further descriptive or non-confirmatory statistical analyses may be done at the discretion of the investigator.</w:t>
      </w:r>
    </w:p>
    <w:p w:rsidR="009C32E7" w:rsidRPr="00AD70DE" w:rsidRDefault="009C32E7" w:rsidP="00AD70DE">
      <w:pPr>
        <w:pStyle w:val="111Formatvorlage"/>
        <w:numPr>
          <w:ilvl w:val="2"/>
          <w:numId w:val="3"/>
        </w:numPr>
        <w:spacing w:line="240" w:lineRule="exact"/>
        <w:ind w:left="993" w:hanging="993"/>
      </w:pPr>
      <w:bookmarkStart w:id="2309" w:name="_Toc256002379"/>
      <w:bookmarkStart w:id="2310" w:name="_Toc256002282"/>
      <w:bookmarkStart w:id="2311" w:name="_Toc256002186"/>
      <w:bookmarkStart w:id="2312" w:name="_Toc256002089"/>
      <w:bookmarkStart w:id="2313" w:name="_Toc256001992"/>
      <w:bookmarkStart w:id="2314" w:name="_Toc256001761"/>
      <w:bookmarkStart w:id="2315" w:name="_Toc256001526"/>
      <w:bookmarkStart w:id="2316" w:name="_Toc256001295"/>
      <w:bookmarkStart w:id="2317" w:name="_Toc256001056"/>
      <w:bookmarkStart w:id="2318" w:name="_Toc256000830"/>
      <w:bookmarkStart w:id="2319" w:name="_Toc256000529"/>
      <w:bookmarkStart w:id="2320" w:name="_Toc256000268"/>
      <w:bookmarkStart w:id="2321" w:name="_Toc256000625"/>
      <w:bookmarkStart w:id="2322" w:name="_Toc256001963"/>
      <w:bookmarkStart w:id="2323" w:name="_Toc256001871"/>
      <w:bookmarkStart w:id="2324" w:name="_Toc256001779"/>
      <w:bookmarkStart w:id="2325" w:name="_Toc256001687"/>
      <w:bookmarkStart w:id="2326" w:name="_Toc256001595"/>
      <w:bookmarkStart w:id="2327" w:name="_Toc256001503"/>
      <w:bookmarkStart w:id="2328" w:name="_Toc256001411"/>
      <w:bookmarkStart w:id="2329" w:name="_Toc256001319"/>
      <w:bookmarkStart w:id="2330" w:name="_Toc256001227"/>
      <w:bookmarkStart w:id="2331" w:name="_Toc256001135"/>
      <w:bookmarkStart w:id="2332" w:name="_Toc256001043"/>
      <w:bookmarkStart w:id="2333" w:name="_Toc256000951"/>
      <w:bookmarkStart w:id="2334" w:name="_Toc256000859"/>
      <w:bookmarkStart w:id="2335" w:name="_Toc256000767"/>
      <w:bookmarkStart w:id="2336" w:name="_Toc256000675"/>
      <w:bookmarkStart w:id="2337" w:name="_Toc256000583"/>
      <w:bookmarkStart w:id="2338" w:name="_Toc256000491"/>
      <w:bookmarkStart w:id="2339" w:name="_Toc256000399"/>
      <w:bookmarkStart w:id="2340" w:name="_Toc256000307"/>
      <w:bookmarkStart w:id="2341" w:name="_Toc256000215"/>
      <w:bookmarkStart w:id="2342" w:name="_Toc256000136"/>
      <w:bookmarkStart w:id="2343" w:name="_Toc256000057"/>
      <w:bookmarkStart w:id="2344" w:name="_Toc434223650"/>
      <w:bookmarkStart w:id="2345" w:name="_Toc455594130"/>
      <w:bookmarkStart w:id="2346" w:name="_Toc461443320"/>
      <w:bookmarkStart w:id="2347" w:name="_Toc469498951"/>
      <w:bookmarkStart w:id="2348" w:name="_Toc491340381"/>
      <w:bookmarkStart w:id="2349" w:name="_Toc9613186"/>
      <w:bookmarkStart w:id="2350" w:name="_Toc37173099"/>
      <w:bookmarkStart w:id="2351" w:name="_Toc37243493"/>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r w:rsidRPr="00AD70DE">
        <w:t>Procedure for handling missing, unused, and inconsistent data</w:t>
      </w:r>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p>
    <w:p w:rsidR="009C32E7" w:rsidRPr="00AD70DE" w:rsidRDefault="009C32E7" w:rsidP="00AD70DE">
      <w:pPr>
        <w:rPr>
          <w:lang w:val="en-GB"/>
        </w:rPr>
      </w:pPr>
      <w:r w:rsidRPr="00AD70DE">
        <w:rPr>
          <w:lang w:val="en-GB"/>
        </w:rPr>
        <w:t>Individual missing or inconsistent data will be subject to a simple query edit process. Eventually missing data will not be imputed.</w:t>
      </w:r>
    </w:p>
    <w:p w:rsidR="009C32E7" w:rsidRPr="00AD70DE" w:rsidRDefault="009C32E7" w:rsidP="00AD70DE">
      <w:pPr>
        <w:pStyle w:val="berschrift1"/>
        <w:spacing w:before="360" w:after="160"/>
      </w:pPr>
      <w:bookmarkStart w:id="2352" w:name="_Toc256002380"/>
      <w:bookmarkStart w:id="2353" w:name="_Toc256002284"/>
      <w:bookmarkStart w:id="2354" w:name="_Toc256002187"/>
      <w:bookmarkStart w:id="2355" w:name="_Toc256002090"/>
      <w:bookmarkStart w:id="2356" w:name="_Toc256001993"/>
      <w:bookmarkStart w:id="2357" w:name="_Toc256001762"/>
      <w:bookmarkStart w:id="2358" w:name="_Toc256001531"/>
      <w:bookmarkStart w:id="2359" w:name="_Toc256001296"/>
      <w:bookmarkStart w:id="2360" w:name="_Toc256001059"/>
      <w:bookmarkStart w:id="2361" w:name="_Toc256000831"/>
      <w:bookmarkStart w:id="2362" w:name="_Toc256000535"/>
      <w:bookmarkStart w:id="2363" w:name="_Toc256000273"/>
      <w:bookmarkStart w:id="2364" w:name="_Toc256000646"/>
      <w:bookmarkStart w:id="2365" w:name="_Toc256001964"/>
      <w:bookmarkStart w:id="2366" w:name="_Toc256001872"/>
      <w:bookmarkStart w:id="2367" w:name="_Toc256001780"/>
      <w:bookmarkStart w:id="2368" w:name="_Toc256001688"/>
      <w:bookmarkStart w:id="2369" w:name="_Toc256001596"/>
      <w:bookmarkStart w:id="2370" w:name="_Toc256001504"/>
      <w:bookmarkStart w:id="2371" w:name="_Toc256001412"/>
      <w:bookmarkStart w:id="2372" w:name="_Toc256001320"/>
      <w:bookmarkStart w:id="2373" w:name="_Toc256001228"/>
      <w:bookmarkStart w:id="2374" w:name="_Toc256001136"/>
      <w:bookmarkStart w:id="2375" w:name="_Toc256001044"/>
      <w:bookmarkStart w:id="2376" w:name="_Toc256000952"/>
      <w:bookmarkStart w:id="2377" w:name="_Toc256000860"/>
      <w:bookmarkStart w:id="2378" w:name="_Toc256000768"/>
      <w:bookmarkStart w:id="2379" w:name="_Toc256000676"/>
      <w:bookmarkStart w:id="2380" w:name="_Toc256000584"/>
      <w:bookmarkStart w:id="2381" w:name="_Toc256000492"/>
      <w:bookmarkStart w:id="2382" w:name="_Toc256000400"/>
      <w:bookmarkStart w:id="2383" w:name="_Toc256000308"/>
      <w:bookmarkStart w:id="2384" w:name="_Toc256000216"/>
      <w:bookmarkStart w:id="2385" w:name="_Toc256000137"/>
      <w:bookmarkStart w:id="2386" w:name="_Toc256000058"/>
      <w:bookmarkStart w:id="2387" w:name="_Toc434223651"/>
      <w:bookmarkStart w:id="2388" w:name="_Toc455594131"/>
      <w:bookmarkStart w:id="2389" w:name="_Toc461443321"/>
      <w:bookmarkStart w:id="2390" w:name="_Toc469498952"/>
      <w:bookmarkStart w:id="2391" w:name="_Toc491340382"/>
      <w:bookmarkStart w:id="2392" w:name="_Toc9613187"/>
      <w:bookmarkStart w:id="2393" w:name="_Toc37173100"/>
      <w:bookmarkStart w:id="2394" w:name="_Toc37243494"/>
      <w:r w:rsidRPr="00AD70DE">
        <w:t>Ethic and legal aspects</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rsidR="009C32E7" w:rsidRPr="00AD70DE" w:rsidRDefault="009C32E7" w:rsidP="00AD70DE">
      <w:pPr>
        <w:pStyle w:val="berschrift2"/>
        <w:spacing w:before="240"/>
        <w:ind w:left="567" w:hanging="567"/>
        <w:rPr>
          <w:color w:val="auto"/>
        </w:rPr>
      </w:pPr>
      <w:bookmarkStart w:id="2395" w:name="_Toc256002381"/>
      <w:bookmarkStart w:id="2396" w:name="_Toc256002285"/>
      <w:bookmarkStart w:id="2397" w:name="_Toc256002188"/>
      <w:bookmarkStart w:id="2398" w:name="_Toc256002091"/>
      <w:bookmarkStart w:id="2399" w:name="_Toc256001994"/>
      <w:bookmarkStart w:id="2400" w:name="_Toc256001763"/>
      <w:bookmarkStart w:id="2401" w:name="_Toc256001537"/>
      <w:bookmarkStart w:id="2402" w:name="_Toc256001297"/>
      <w:bookmarkStart w:id="2403" w:name="_Toc256001064"/>
      <w:bookmarkStart w:id="2404" w:name="_Toc256000832"/>
      <w:bookmarkStart w:id="2405" w:name="_Toc256000543"/>
      <w:bookmarkStart w:id="2406" w:name="_Toc256000274"/>
      <w:bookmarkStart w:id="2407" w:name="_Toc256000654"/>
      <w:bookmarkStart w:id="2408" w:name="_Toc256001965"/>
      <w:bookmarkStart w:id="2409" w:name="_Toc256001873"/>
      <w:bookmarkStart w:id="2410" w:name="_Toc256001781"/>
      <w:bookmarkStart w:id="2411" w:name="_Toc256001689"/>
      <w:bookmarkStart w:id="2412" w:name="_Toc256001597"/>
      <w:bookmarkStart w:id="2413" w:name="_Toc256001505"/>
      <w:bookmarkStart w:id="2414" w:name="_Toc256001413"/>
      <w:bookmarkStart w:id="2415" w:name="_Toc256001321"/>
      <w:bookmarkStart w:id="2416" w:name="_Toc256001229"/>
      <w:bookmarkStart w:id="2417" w:name="_Toc256001137"/>
      <w:bookmarkStart w:id="2418" w:name="_Toc256001045"/>
      <w:bookmarkStart w:id="2419" w:name="_Toc256000953"/>
      <w:bookmarkStart w:id="2420" w:name="_Toc256000861"/>
      <w:bookmarkStart w:id="2421" w:name="_Toc256000769"/>
      <w:bookmarkStart w:id="2422" w:name="_Toc256000677"/>
      <w:bookmarkStart w:id="2423" w:name="_Toc256000585"/>
      <w:bookmarkStart w:id="2424" w:name="_Toc256000493"/>
      <w:bookmarkStart w:id="2425" w:name="_Toc256000401"/>
      <w:bookmarkStart w:id="2426" w:name="_Toc256000309"/>
      <w:bookmarkStart w:id="2427" w:name="_Toc256000217"/>
      <w:bookmarkStart w:id="2428" w:name="_Toc256000138"/>
      <w:bookmarkStart w:id="2429" w:name="_Toc256000059"/>
      <w:bookmarkStart w:id="2430" w:name="_Toc434223652"/>
      <w:bookmarkStart w:id="2431" w:name="_Toc455594132"/>
      <w:bookmarkStart w:id="2432" w:name="_Toc461443322"/>
      <w:bookmarkStart w:id="2433" w:name="_Toc469498953"/>
      <w:bookmarkStart w:id="2434" w:name="_Toc491340383"/>
      <w:bookmarkStart w:id="2435" w:name="_Toc9613188"/>
      <w:bookmarkStart w:id="2436" w:name="_Toc37173101"/>
      <w:bookmarkStart w:id="2437" w:name="_Toc37243495"/>
      <w:r w:rsidRPr="00AD70DE">
        <w:rPr>
          <w:color w:val="auto"/>
        </w:rPr>
        <w:t>General</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p>
    <w:p w:rsidR="009C32E7" w:rsidRPr="00AD70DE" w:rsidRDefault="009C32E7" w:rsidP="00AD70DE">
      <w:pPr>
        <w:rPr>
          <w:lang w:val="en-US"/>
        </w:rPr>
      </w:pPr>
      <w:r w:rsidRPr="00AD70DE">
        <w:rPr>
          <w:lang w:val="en-US"/>
        </w:rPr>
        <w:t>The trial will be carried out in accordance with the pertinent versions of the legal requirements as laid down in the German ‘</w:t>
      </w:r>
      <w:proofErr w:type="spellStart"/>
      <w:r w:rsidRPr="00AD70DE">
        <w:rPr>
          <w:lang w:val="en-US"/>
        </w:rPr>
        <w:t>Arzneimittelgesetz</w:t>
      </w:r>
      <w:proofErr w:type="spellEnd"/>
      <w:r w:rsidRPr="00AD70DE">
        <w:rPr>
          <w:lang w:val="en-US"/>
        </w:rPr>
        <w:t>’ (AMG), GCP-V, the professional law (</w:t>
      </w:r>
      <w:proofErr w:type="spellStart"/>
      <w:r w:rsidRPr="00AD70DE">
        <w:rPr>
          <w:lang w:val="en-US"/>
        </w:rPr>
        <w:t>Berufsordnung</w:t>
      </w:r>
      <w:proofErr w:type="spellEnd"/>
      <w:r w:rsidRPr="00AD70DE">
        <w:rPr>
          <w:lang w:val="en-US"/>
        </w:rPr>
        <w:t xml:space="preserve"> </w:t>
      </w:r>
      <w:proofErr w:type="spellStart"/>
      <w:r w:rsidRPr="00AD70DE">
        <w:rPr>
          <w:lang w:val="en-US"/>
        </w:rPr>
        <w:t>für</w:t>
      </w:r>
      <w:proofErr w:type="spellEnd"/>
      <w:r w:rsidRPr="00AD70DE">
        <w:rPr>
          <w:lang w:val="en-US"/>
        </w:rPr>
        <w:t xml:space="preserve"> </w:t>
      </w:r>
      <w:proofErr w:type="spellStart"/>
      <w:r w:rsidRPr="00AD70DE">
        <w:rPr>
          <w:lang w:val="en-US"/>
        </w:rPr>
        <w:t>Ärzte</w:t>
      </w:r>
      <w:proofErr w:type="spellEnd"/>
      <w:r w:rsidRPr="00AD70DE">
        <w:rPr>
          <w:lang w:val="en-US"/>
        </w:rPr>
        <w:t xml:space="preserve"> in Baden-Württemberg), the applicable version of the Declaration of Helsinki first adopted by the World Medical Association in June 1964, and the ICH recommendations on GCP. The State Data Protection Law (</w:t>
      </w:r>
      <w:proofErr w:type="spellStart"/>
      <w:r w:rsidRPr="00AD70DE">
        <w:rPr>
          <w:lang w:val="en-US"/>
        </w:rPr>
        <w:t>Landesdatenschutzgesetz</w:t>
      </w:r>
      <w:proofErr w:type="spellEnd"/>
      <w:r w:rsidRPr="00AD70DE">
        <w:rPr>
          <w:lang w:val="en-US"/>
        </w:rPr>
        <w:t xml:space="preserve"> Baden Württemberg) and the General Data Protection Regulation of the EU (</w:t>
      </w:r>
      <w:proofErr w:type="spellStart"/>
      <w:r w:rsidRPr="00AD70DE">
        <w:rPr>
          <w:lang w:val="en-US"/>
        </w:rPr>
        <w:t>Datenschutzgrundverordnung</w:t>
      </w:r>
      <w:proofErr w:type="spellEnd"/>
      <w:r w:rsidRPr="00AD70DE">
        <w:rPr>
          <w:lang w:val="en-US"/>
        </w:rPr>
        <w:t>, DSGVO, EU 2016/679) will also be applied.</w:t>
      </w:r>
    </w:p>
    <w:p w:rsidR="009C32E7" w:rsidRPr="00AD70DE" w:rsidRDefault="009C32E7" w:rsidP="00AD70DE">
      <w:pPr>
        <w:pStyle w:val="berschrift2"/>
        <w:spacing w:before="240"/>
        <w:ind w:left="567" w:hanging="567"/>
        <w:rPr>
          <w:color w:val="auto"/>
        </w:rPr>
      </w:pPr>
      <w:bookmarkStart w:id="2438" w:name="_Toc256002382"/>
      <w:bookmarkStart w:id="2439" w:name="_Toc256002286"/>
      <w:bookmarkStart w:id="2440" w:name="_Toc256002189"/>
      <w:bookmarkStart w:id="2441" w:name="_Toc256002092"/>
      <w:bookmarkStart w:id="2442" w:name="_Toc256001995"/>
      <w:bookmarkStart w:id="2443" w:name="_Toc256001764"/>
      <w:bookmarkStart w:id="2444" w:name="_Toc256001540"/>
      <w:bookmarkStart w:id="2445" w:name="_Toc256001298"/>
      <w:bookmarkStart w:id="2446" w:name="_Toc256001065"/>
      <w:bookmarkStart w:id="2447" w:name="_Toc256000833"/>
      <w:bookmarkStart w:id="2448" w:name="_Toc256000544"/>
      <w:bookmarkStart w:id="2449" w:name="_Toc256000275"/>
      <w:bookmarkStart w:id="2450" w:name="_Toc395872300"/>
      <w:bookmarkStart w:id="2451" w:name="_Toc9613189"/>
      <w:bookmarkStart w:id="2452" w:name="_Toc37173102"/>
      <w:bookmarkStart w:id="2453" w:name="_Toc37243496"/>
      <w:r w:rsidRPr="00AD70DE">
        <w:rPr>
          <w:color w:val="auto"/>
        </w:rPr>
        <w:t>Financial disclosure of investigator</w:t>
      </w:r>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p>
    <w:p w:rsidR="009C32E7" w:rsidRPr="00AD70DE" w:rsidRDefault="009C32E7" w:rsidP="00AD70DE">
      <w:pPr>
        <w:rPr>
          <w:lang w:val="en-GB"/>
        </w:rPr>
      </w:pPr>
      <w:r w:rsidRPr="00AD70DE">
        <w:rPr>
          <w:lang w:val="en-GB"/>
        </w:rPr>
        <w:t>Before the start of the trial, the investigator will disclose to the sponsor any proprietary or financial interests he or she might hold in the sponsor company, in the IMPs, or any commercial organization being involved in the clinical trial. The investigator has also to confirm that he/she has not entered into any financial arrangement, whereby the value of compensation paid could affect the outcome of the clinical trial. The investigator agrees to update this information in case of significant changes.</w:t>
      </w:r>
      <w:bookmarkStart w:id="2454" w:name="_Toc256000659"/>
      <w:bookmarkStart w:id="2455" w:name="_Toc256001967"/>
      <w:bookmarkStart w:id="2456" w:name="_Toc256001875"/>
      <w:bookmarkStart w:id="2457" w:name="_Toc256001783"/>
      <w:bookmarkStart w:id="2458" w:name="_Toc256001691"/>
      <w:bookmarkStart w:id="2459" w:name="_Toc256001599"/>
      <w:bookmarkStart w:id="2460" w:name="_Toc256001507"/>
      <w:bookmarkStart w:id="2461" w:name="_Toc256001415"/>
      <w:bookmarkStart w:id="2462" w:name="_Toc256001323"/>
      <w:bookmarkStart w:id="2463" w:name="_Toc256001231"/>
      <w:bookmarkStart w:id="2464" w:name="_Toc256001139"/>
      <w:bookmarkStart w:id="2465" w:name="_Toc256001047"/>
      <w:bookmarkStart w:id="2466" w:name="_Toc256000955"/>
      <w:bookmarkStart w:id="2467" w:name="_Toc256000863"/>
      <w:bookmarkStart w:id="2468" w:name="_Toc256000771"/>
      <w:bookmarkStart w:id="2469" w:name="_Toc256000679"/>
      <w:bookmarkStart w:id="2470" w:name="_Toc256000587"/>
      <w:bookmarkStart w:id="2471" w:name="_Toc256000495"/>
      <w:bookmarkStart w:id="2472" w:name="_Toc256000403"/>
      <w:bookmarkStart w:id="2473" w:name="_Toc256000311"/>
      <w:bookmarkStart w:id="2474" w:name="_Toc256000219"/>
      <w:bookmarkStart w:id="2475" w:name="_Toc256000140"/>
      <w:bookmarkStart w:id="2476" w:name="_Toc256000061"/>
      <w:bookmarkStart w:id="2477" w:name="_Toc434223654"/>
      <w:bookmarkStart w:id="2478" w:name="_Toc455594134"/>
      <w:bookmarkStart w:id="2479" w:name="_Toc461443324"/>
      <w:bookmarkStart w:id="2480" w:name="_Toc469498955"/>
      <w:bookmarkStart w:id="2481" w:name="_Toc491340385"/>
    </w:p>
    <w:p w:rsidR="009C32E7" w:rsidRPr="00AD70DE" w:rsidRDefault="009C32E7" w:rsidP="00AD70DE">
      <w:pPr>
        <w:pStyle w:val="berschrift2"/>
        <w:spacing w:before="240"/>
        <w:ind w:left="567" w:hanging="567"/>
        <w:rPr>
          <w:color w:val="auto"/>
        </w:rPr>
      </w:pPr>
      <w:bookmarkStart w:id="2482" w:name="_Toc256002383"/>
      <w:bookmarkStart w:id="2483" w:name="_Toc256002287"/>
      <w:bookmarkStart w:id="2484" w:name="_Toc256002190"/>
      <w:bookmarkStart w:id="2485" w:name="_Toc256002093"/>
      <w:bookmarkStart w:id="2486" w:name="_Toc256001996"/>
      <w:bookmarkStart w:id="2487" w:name="_Toc256001765"/>
      <w:bookmarkStart w:id="2488" w:name="_Toc256001545"/>
      <w:bookmarkStart w:id="2489" w:name="_Toc256001299"/>
      <w:bookmarkStart w:id="2490" w:name="_Toc256001066"/>
      <w:bookmarkStart w:id="2491" w:name="_Toc256000834"/>
      <w:bookmarkStart w:id="2492" w:name="_Toc256000549"/>
      <w:bookmarkStart w:id="2493" w:name="_Toc256000277"/>
      <w:bookmarkStart w:id="2494" w:name="_Toc9613190"/>
      <w:bookmarkStart w:id="2495" w:name="_Toc37173103"/>
      <w:bookmarkStart w:id="2496" w:name="_Toc37243497"/>
      <w:r w:rsidRPr="00AD70DE">
        <w:rPr>
          <w:color w:val="auto"/>
        </w:rPr>
        <w:t>Submission to the Ethics Committee and Competent Authority (BfArM)</w:t>
      </w:r>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p>
    <w:p w:rsidR="009C32E7" w:rsidRPr="00AD70DE" w:rsidRDefault="009C32E7" w:rsidP="00AD70DE">
      <w:pPr>
        <w:rPr>
          <w:lang w:val="en-GB"/>
        </w:rPr>
      </w:pPr>
      <w:r w:rsidRPr="00AD70DE">
        <w:rPr>
          <w:lang w:val="en-GB"/>
        </w:rPr>
        <w:t xml:space="preserve">The investigator submits the required documents to the responsible EC of the Medical Faculty of Heidelberg University and obtains the opinion of the Committee in writing. The investigator also submits the required documents to the </w:t>
      </w:r>
      <w:proofErr w:type="spellStart"/>
      <w:r w:rsidRPr="00AD70DE">
        <w:rPr>
          <w:rFonts w:cs="Calibri"/>
          <w:color w:val="000000"/>
          <w:lang w:val="en-GB"/>
        </w:rPr>
        <w:t>Bundesinstitut</w:t>
      </w:r>
      <w:proofErr w:type="spellEnd"/>
      <w:r w:rsidRPr="00AD70DE">
        <w:rPr>
          <w:rFonts w:cs="Calibri"/>
          <w:color w:val="000000"/>
          <w:lang w:val="en-GB"/>
        </w:rPr>
        <w:t xml:space="preserve"> </w:t>
      </w:r>
      <w:proofErr w:type="spellStart"/>
      <w:r w:rsidRPr="00AD70DE">
        <w:rPr>
          <w:rFonts w:cs="Calibri"/>
          <w:color w:val="000000"/>
          <w:lang w:val="en-GB"/>
        </w:rPr>
        <w:t>für</w:t>
      </w:r>
      <w:proofErr w:type="spellEnd"/>
      <w:r w:rsidRPr="00AD70DE">
        <w:rPr>
          <w:rFonts w:cs="Calibri"/>
          <w:color w:val="000000"/>
          <w:lang w:val="en-GB"/>
        </w:rPr>
        <w:t xml:space="preserve"> </w:t>
      </w:r>
      <w:proofErr w:type="spellStart"/>
      <w:r w:rsidRPr="00AD70DE">
        <w:rPr>
          <w:rFonts w:cs="Calibri"/>
          <w:color w:val="000000"/>
          <w:lang w:val="en-GB"/>
        </w:rPr>
        <w:t>Arzneimittel</w:t>
      </w:r>
      <w:proofErr w:type="spellEnd"/>
      <w:r w:rsidRPr="00AD70DE">
        <w:rPr>
          <w:rFonts w:cs="Calibri"/>
          <w:color w:val="000000"/>
          <w:lang w:val="en-GB"/>
        </w:rPr>
        <w:t xml:space="preserve"> und </w:t>
      </w:r>
      <w:proofErr w:type="spellStart"/>
      <w:r w:rsidRPr="00AD70DE">
        <w:rPr>
          <w:rFonts w:cs="Calibri"/>
          <w:color w:val="000000"/>
          <w:lang w:val="en-GB"/>
        </w:rPr>
        <w:t>Medizinprodukte</w:t>
      </w:r>
      <w:proofErr w:type="spellEnd"/>
      <w:r w:rsidRPr="00AD70DE">
        <w:rPr>
          <w:rFonts w:cs="Calibri"/>
          <w:color w:val="000000"/>
          <w:lang w:val="en-GB"/>
        </w:rPr>
        <w:t xml:space="preserve"> (</w:t>
      </w:r>
      <w:r w:rsidRPr="00AD70DE">
        <w:rPr>
          <w:lang w:val="en-GB"/>
        </w:rPr>
        <w:t>Federal Institute for Drugs and Medical Devices) (BfArM) and obtains the approval in writing. Participants will not be included until unconditional approval of BfArM and EC has been received. EC and BfArM will be informed of all SAE (also including SUSARs) likely to affect the safety of the participants or compromise the continuation of the trial.</w:t>
      </w:r>
    </w:p>
    <w:p w:rsidR="009C32E7" w:rsidRPr="00AD70DE" w:rsidRDefault="009C32E7" w:rsidP="00AD70DE">
      <w:pPr>
        <w:pStyle w:val="berschrift2"/>
        <w:spacing w:before="240"/>
        <w:ind w:left="567" w:hanging="567"/>
        <w:rPr>
          <w:color w:val="auto"/>
        </w:rPr>
      </w:pPr>
      <w:bookmarkStart w:id="2497" w:name="_Toc256002384"/>
      <w:bookmarkStart w:id="2498" w:name="_Toc256002288"/>
      <w:bookmarkStart w:id="2499" w:name="_Toc256002191"/>
      <w:bookmarkStart w:id="2500" w:name="_Toc256002094"/>
      <w:bookmarkStart w:id="2501" w:name="_Toc256001997"/>
      <w:bookmarkStart w:id="2502" w:name="_Toc256001767"/>
      <w:bookmarkStart w:id="2503" w:name="_Toc256001547"/>
      <w:bookmarkStart w:id="2504" w:name="_Toc256001301"/>
      <w:bookmarkStart w:id="2505" w:name="_Toc256001071"/>
      <w:bookmarkStart w:id="2506" w:name="_Toc256000835"/>
      <w:bookmarkStart w:id="2507" w:name="_Toc256000550"/>
      <w:bookmarkStart w:id="2508" w:name="_Toc256000278"/>
      <w:bookmarkStart w:id="2509" w:name="_Toc256000660"/>
      <w:bookmarkStart w:id="2510" w:name="_Toc256001968"/>
      <w:bookmarkStart w:id="2511" w:name="_Toc256001876"/>
      <w:bookmarkStart w:id="2512" w:name="_Toc256001784"/>
      <w:bookmarkStart w:id="2513" w:name="_Toc256001692"/>
      <w:bookmarkStart w:id="2514" w:name="_Toc256001600"/>
      <w:bookmarkStart w:id="2515" w:name="_Toc256001508"/>
      <w:bookmarkStart w:id="2516" w:name="_Toc256001416"/>
      <w:bookmarkStart w:id="2517" w:name="_Toc256001324"/>
      <w:bookmarkStart w:id="2518" w:name="_Toc256001232"/>
      <w:bookmarkStart w:id="2519" w:name="_Toc256001140"/>
      <w:bookmarkStart w:id="2520" w:name="_Toc256001048"/>
      <w:bookmarkStart w:id="2521" w:name="_Toc256000956"/>
      <w:bookmarkStart w:id="2522" w:name="_Toc256000864"/>
      <w:bookmarkStart w:id="2523" w:name="_Toc256000772"/>
      <w:bookmarkStart w:id="2524" w:name="_Toc256000680"/>
      <w:bookmarkStart w:id="2525" w:name="_Toc256000588"/>
      <w:bookmarkStart w:id="2526" w:name="_Toc256000496"/>
      <w:bookmarkStart w:id="2527" w:name="_Toc256000404"/>
      <w:bookmarkStart w:id="2528" w:name="_Toc256000312"/>
      <w:bookmarkStart w:id="2529" w:name="_Toc256000220"/>
      <w:bookmarkStart w:id="2530" w:name="_Toc256000141"/>
      <w:bookmarkStart w:id="2531" w:name="_Toc256000062"/>
      <w:bookmarkStart w:id="2532" w:name="_Toc434223655"/>
      <w:bookmarkStart w:id="2533" w:name="_Toc455594135"/>
      <w:bookmarkStart w:id="2534" w:name="_Toc461443325"/>
      <w:bookmarkStart w:id="2535" w:name="_Toc469498956"/>
      <w:bookmarkStart w:id="2536" w:name="_Toc491340386"/>
      <w:bookmarkStart w:id="2537" w:name="_Toc9613191"/>
      <w:bookmarkStart w:id="2538" w:name="_Toc37173104"/>
      <w:bookmarkStart w:id="2539" w:name="_Toc37243498"/>
      <w:r w:rsidRPr="00AD70DE">
        <w:rPr>
          <w:color w:val="auto"/>
        </w:rPr>
        <w:t>Notification of authorities</w:t>
      </w:r>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p>
    <w:p w:rsidR="009C32E7" w:rsidRPr="00AD70DE" w:rsidRDefault="009C32E7" w:rsidP="00AD70DE">
      <w:pPr>
        <w:rPr>
          <w:lang w:val="en-GB"/>
        </w:rPr>
      </w:pPr>
      <w:r w:rsidRPr="00AD70DE">
        <w:rPr>
          <w:lang w:val="en-GB"/>
        </w:rPr>
        <w:t>According to § 67 of the German ´</w:t>
      </w:r>
      <w:proofErr w:type="spellStart"/>
      <w:r w:rsidRPr="00AD70DE">
        <w:rPr>
          <w:lang w:val="en-GB"/>
        </w:rPr>
        <w:t>Arzneimittelgesetz</w:t>
      </w:r>
      <w:proofErr w:type="spellEnd"/>
      <w:r w:rsidRPr="00AD70DE">
        <w:rPr>
          <w:lang w:val="en-GB"/>
        </w:rPr>
        <w:t>´, the ´</w:t>
      </w:r>
      <w:proofErr w:type="spellStart"/>
      <w:r w:rsidRPr="00AD70DE">
        <w:rPr>
          <w:lang w:val="en-GB"/>
        </w:rPr>
        <w:t>Regierungspräsidium</w:t>
      </w:r>
      <w:proofErr w:type="spellEnd"/>
      <w:r w:rsidRPr="00AD70DE">
        <w:rPr>
          <w:lang w:val="en-GB"/>
        </w:rPr>
        <w:t xml:space="preserve"> Karlsruhe´ and the competent authority (BfArM) will be notified about the start and the end of the trial. The competent authority will be notified about substantial amendments.</w:t>
      </w:r>
    </w:p>
    <w:p w:rsidR="009C32E7" w:rsidRPr="00AD70DE" w:rsidRDefault="009C32E7" w:rsidP="00AD70DE">
      <w:pPr>
        <w:rPr>
          <w:lang w:val="en-GB"/>
        </w:rPr>
      </w:pPr>
      <w:r w:rsidRPr="00AD70DE">
        <w:rPr>
          <w:lang w:val="en-GB"/>
        </w:rPr>
        <w:t>A Development Safety Update Report will be prepared and sent to the EC and to BfArM once per year, if the trial duration is equal or longer than one year.</w:t>
      </w:r>
    </w:p>
    <w:p w:rsidR="009C32E7" w:rsidRPr="00AD70DE" w:rsidRDefault="009C32E7" w:rsidP="00AD70DE">
      <w:pPr>
        <w:rPr>
          <w:lang w:val="en-GB"/>
        </w:rPr>
      </w:pPr>
      <w:r w:rsidRPr="00AD70DE">
        <w:rPr>
          <w:lang w:val="en-GB"/>
        </w:rPr>
        <w:t xml:space="preserve">A final report will be issued to the national competent authority (BfArM) according to § 42b AMG in the format of the synopsis of ICH Topic E3 – Note for Guidance on Structure and Content of Clinical </w:t>
      </w:r>
      <w:r w:rsidRPr="00AD70DE">
        <w:rPr>
          <w:lang w:val="en-GB"/>
        </w:rPr>
        <w:lastRenderedPageBreak/>
        <w:t>Study Reports within a year after the end of the trial. The trial results will also be published in the EudraCT clinical trial database.</w:t>
      </w:r>
    </w:p>
    <w:p w:rsidR="009C32E7" w:rsidRPr="00AD70DE" w:rsidRDefault="009C32E7" w:rsidP="00AD70DE">
      <w:pPr>
        <w:pStyle w:val="berschrift2"/>
        <w:spacing w:before="240"/>
        <w:ind w:left="567" w:hanging="567"/>
        <w:rPr>
          <w:color w:val="auto"/>
        </w:rPr>
      </w:pPr>
      <w:bookmarkStart w:id="2540" w:name="_Toc256002385"/>
      <w:bookmarkStart w:id="2541" w:name="_Toc256002289"/>
      <w:bookmarkStart w:id="2542" w:name="_Toc256002192"/>
      <w:bookmarkStart w:id="2543" w:name="_Toc256002095"/>
      <w:bookmarkStart w:id="2544" w:name="_Toc256001998"/>
      <w:bookmarkStart w:id="2545" w:name="_Toc256001772"/>
      <w:bookmarkStart w:id="2546" w:name="_Toc256001555"/>
      <w:bookmarkStart w:id="2547" w:name="_Toc256001302"/>
      <w:bookmarkStart w:id="2548" w:name="_Toc256001077"/>
      <w:bookmarkStart w:id="2549" w:name="_Toc256000836"/>
      <w:bookmarkStart w:id="2550" w:name="_Toc256000551"/>
      <w:bookmarkStart w:id="2551" w:name="_Toc256000279"/>
      <w:bookmarkStart w:id="2552" w:name="_Toc256000661"/>
      <w:bookmarkStart w:id="2553" w:name="_Toc256001969"/>
      <w:bookmarkStart w:id="2554" w:name="_Toc256001877"/>
      <w:bookmarkStart w:id="2555" w:name="_Toc256001785"/>
      <w:bookmarkStart w:id="2556" w:name="_Toc256001693"/>
      <w:bookmarkStart w:id="2557" w:name="_Toc256001601"/>
      <w:bookmarkStart w:id="2558" w:name="_Toc256001509"/>
      <w:bookmarkStart w:id="2559" w:name="_Toc256001417"/>
      <w:bookmarkStart w:id="2560" w:name="_Toc256001325"/>
      <w:bookmarkStart w:id="2561" w:name="_Toc256001233"/>
      <w:bookmarkStart w:id="2562" w:name="_Toc256001141"/>
      <w:bookmarkStart w:id="2563" w:name="_Toc256001049"/>
      <w:bookmarkStart w:id="2564" w:name="_Toc256000957"/>
      <w:bookmarkStart w:id="2565" w:name="_Toc256000865"/>
      <w:bookmarkStart w:id="2566" w:name="_Toc256000773"/>
      <w:bookmarkStart w:id="2567" w:name="_Toc256000681"/>
      <w:bookmarkStart w:id="2568" w:name="_Toc256000589"/>
      <w:bookmarkStart w:id="2569" w:name="_Toc256000497"/>
      <w:bookmarkStart w:id="2570" w:name="_Toc256000405"/>
      <w:bookmarkStart w:id="2571" w:name="_Toc256000313"/>
      <w:bookmarkStart w:id="2572" w:name="_Toc256000221"/>
      <w:bookmarkStart w:id="2573" w:name="_Toc256000142"/>
      <w:bookmarkStart w:id="2574" w:name="_Toc256000063"/>
      <w:bookmarkStart w:id="2575" w:name="_Toc434223656"/>
      <w:bookmarkStart w:id="2576" w:name="_Toc455594136"/>
      <w:bookmarkStart w:id="2577" w:name="_Toc461443326"/>
      <w:bookmarkStart w:id="2578" w:name="_Toc469498957"/>
      <w:bookmarkStart w:id="2579" w:name="_Toc491340387"/>
      <w:bookmarkStart w:id="2580" w:name="_Toc9613192"/>
      <w:bookmarkStart w:id="2581" w:name="_Toc37173105"/>
      <w:bookmarkStart w:id="2582" w:name="_Toc37243499"/>
      <w:r w:rsidRPr="00AD70DE">
        <w:rPr>
          <w:color w:val="auto"/>
        </w:rPr>
        <w:t>Responsibilities</w:t>
      </w:r>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p>
    <w:p w:rsidR="009C32E7" w:rsidRPr="00AD70DE" w:rsidRDefault="009C32E7" w:rsidP="00AD70DE">
      <w:pPr>
        <w:rPr>
          <w:lang w:val="en-GB"/>
        </w:rPr>
      </w:pPr>
      <w:r w:rsidRPr="00AD70DE">
        <w:rPr>
          <w:lang w:val="en-GB"/>
        </w:rPr>
        <w:t>The investigator ensures that all team members are informed adequately about the protocol, all amendments to the protocol, the study procedures, and study specific duties and tasks. The investigator will maintain a list to delegate tasks to the team members. Further details are mentioned in Appendix 16.2.</w:t>
      </w:r>
    </w:p>
    <w:p w:rsidR="009C32E7" w:rsidRPr="00AD70DE" w:rsidRDefault="009C32E7" w:rsidP="00AD70DE">
      <w:pPr>
        <w:pStyle w:val="berschrift2"/>
        <w:spacing w:before="240"/>
        <w:ind w:left="567" w:hanging="567"/>
        <w:rPr>
          <w:color w:val="auto"/>
        </w:rPr>
      </w:pPr>
      <w:bookmarkStart w:id="2583" w:name="_Toc256002386"/>
      <w:bookmarkStart w:id="2584" w:name="_Toc256002290"/>
      <w:bookmarkStart w:id="2585" w:name="_Toc256002193"/>
      <w:bookmarkStart w:id="2586" w:name="_Toc256002096"/>
      <w:bookmarkStart w:id="2587" w:name="_Toc256001999"/>
      <w:bookmarkStart w:id="2588" w:name="_Toc256001774"/>
      <w:bookmarkStart w:id="2589" w:name="_Toc256001556"/>
      <w:bookmarkStart w:id="2590" w:name="_Toc256001303"/>
      <w:bookmarkStart w:id="2591" w:name="_Toc256001080"/>
      <w:bookmarkStart w:id="2592" w:name="_Toc256000837"/>
      <w:bookmarkStart w:id="2593" w:name="_Toc256000553"/>
      <w:bookmarkStart w:id="2594" w:name="_Toc256000280"/>
      <w:bookmarkStart w:id="2595" w:name="_Toc256000668"/>
      <w:bookmarkStart w:id="2596" w:name="_Toc256001970"/>
      <w:bookmarkStart w:id="2597" w:name="_Toc256001878"/>
      <w:bookmarkStart w:id="2598" w:name="_Toc256001786"/>
      <w:bookmarkStart w:id="2599" w:name="_Toc256001694"/>
      <w:bookmarkStart w:id="2600" w:name="_Toc256001602"/>
      <w:bookmarkStart w:id="2601" w:name="_Toc256001510"/>
      <w:bookmarkStart w:id="2602" w:name="_Toc256001418"/>
      <w:bookmarkStart w:id="2603" w:name="_Toc256001326"/>
      <w:bookmarkStart w:id="2604" w:name="_Toc256001234"/>
      <w:bookmarkStart w:id="2605" w:name="_Toc256001142"/>
      <w:bookmarkStart w:id="2606" w:name="_Toc256001050"/>
      <w:bookmarkStart w:id="2607" w:name="_Toc256000958"/>
      <w:bookmarkStart w:id="2608" w:name="_Toc256000866"/>
      <w:bookmarkStart w:id="2609" w:name="_Toc256000774"/>
      <w:bookmarkStart w:id="2610" w:name="_Toc256000682"/>
      <w:bookmarkStart w:id="2611" w:name="_Toc256000590"/>
      <w:bookmarkStart w:id="2612" w:name="_Toc256000498"/>
      <w:bookmarkStart w:id="2613" w:name="_Toc256000406"/>
      <w:bookmarkStart w:id="2614" w:name="_Toc256000314"/>
      <w:bookmarkStart w:id="2615" w:name="_Toc256000222"/>
      <w:bookmarkStart w:id="2616" w:name="_Toc256000143"/>
      <w:bookmarkStart w:id="2617" w:name="_Toc256000064"/>
      <w:bookmarkStart w:id="2618" w:name="_Toc434223657"/>
      <w:bookmarkStart w:id="2619" w:name="_Toc455594137"/>
      <w:bookmarkStart w:id="2620" w:name="_Toc461443327"/>
      <w:bookmarkStart w:id="2621" w:name="_Toc469498958"/>
      <w:bookmarkStart w:id="2622" w:name="_Toc491340388"/>
      <w:bookmarkStart w:id="2623" w:name="_Toc9613193"/>
      <w:bookmarkStart w:id="2624" w:name="_Toc37173106"/>
      <w:bookmarkStart w:id="2625" w:name="_Toc37243500"/>
      <w:r w:rsidRPr="00AD70DE">
        <w:rPr>
          <w:color w:val="auto"/>
        </w:rPr>
        <w:t>Insurance</w:t>
      </w:r>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rsidR="009C32E7" w:rsidRPr="00AD70DE" w:rsidRDefault="009C32E7" w:rsidP="00AD70DE">
      <w:r w:rsidRPr="00AD70DE">
        <w:rPr>
          <w:lang w:val="en-GB"/>
        </w:rPr>
        <w:t xml:space="preserve">According to § 40 AMG, the sponsor has to subscribe to an insurance policy covering, in its terms and provisions, its legal liability for injuries caused to participating persons and arising out of this research performed strictly in accordance with the scientific protocol as well as with applicable law and professional standards. The insurance also includes the coverage of travel accidents (travel accident insurance). </w:t>
      </w:r>
      <w:r w:rsidRPr="00AD70DE">
        <w:t xml:space="preserve">The </w:t>
      </w:r>
      <w:proofErr w:type="spellStart"/>
      <w:r w:rsidRPr="00AD70DE">
        <w:t>insurance</w:t>
      </w:r>
      <w:proofErr w:type="spellEnd"/>
      <w:r w:rsidRPr="00AD70DE">
        <w:t xml:space="preserve"> was </w:t>
      </w:r>
      <w:proofErr w:type="spellStart"/>
      <w:r w:rsidRPr="00AD70DE">
        <w:t>taken</w:t>
      </w:r>
      <w:proofErr w:type="spellEnd"/>
      <w:r w:rsidRPr="00AD70DE">
        <w:t xml:space="preserve"> out at </w:t>
      </w:r>
    </w:p>
    <w:p w:rsidR="009C32E7" w:rsidRPr="00AD70DE" w:rsidRDefault="009C32E7" w:rsidP="00AD70DE">
      <w:pPr>
        <w:keepNext/>
        <w:keepLines/>
        <w:spacing w:after="80" w:line="240" w:lineRule="exact"/>
        <w:ind w:left="397"/>
      </w:pPr>
      <w:r w:rsidRPr="00AD70DE">
        <w:t>HDI Gerling Versicherung AG</w:t>
      </w:r>
    </w:p>
    <w:p w:rsidR="009C32E7" w:rsidRPr="00AD70DE" w:rsidRDefault="009C32E7" w:rsidP="00AD70DE">
      <w:pPr>
        <w:keepNext/>
        <w:keepLines/>
        <w:spacing w:after="80" w:line="240" w:lineRule="exact"/>
        <w:ind w:left="397"/>
      </w:pPr>
      <w:r w:rsidRPr="00AD70DE">
        <w:t xml:space="preserve">Am </w:t>
      </w:r>
      <w:proofErr w:type="spellStart"/>
      <w:r w:rsidRPr="00AD70DE">
        <w:t>Schönenkamp</w:t>
      </w:r>
      <w:proofErr w:type="spellEnd"/>
      <w:r w:rsidRPr="00AD70DE">
        <w:t xml:space="preserve"> 45</w:t>
      </w:r>
    </w:p>
    <w:p w:rsidR="009C32E7" w:rsidRPr="00AD70DE" w:rsidRDefault="009C32E7" w:rsidP="00AD70DE">
      <w:pPr>
        <w:keepNext/>
        <w:keepLines/>
        <w:spacing w:after="80" w:line="240" w:lineRule="exact"/>
        <w:ind w:left="397"/>
      </w:pPr>
      <w:r w:rsidRPr="00AD70DE">
        <w:t>40599 Düsseldorf</w:t>
      </w:r>
    </w:p>
    <w:p w:rsidR="009C32E7" w:rsidRPr="00AD70DE" w:rsidRDefault="009C32E7" w:rsidP="00AD70DE">
      <w:pPr>
        <w:keepNext/>
        <w:keepLines/>
        <w:spacing w:line="240" w:lineRule="exact"/>
        <w:ind w:left="397"/>
        <w:rPr>
          <w:lang w:val="en-US"/>
        </w:rPr>
      </w:pPr>
      <w:r w:rsidRPr="00AD70DE">
        <w:rPr>
          <w:lang w:val="en-US"/>
        </w:rPr>
        <w:t>(</w:t>
      </w:r>
      <w:proofErr w:type="gramStart"/>
      <w:r w:rsidRPr="00AD70DE">
        <w:rPr>
          <w:lang w:val="en-US"/>
        </w:rPr>
        <w:t>insurance</w:t>
      </w:r>
      <w:proofErr w:type="gramEnd"/>
      <w:r w:rsidRPr="00AD70DE">
        <w:rPr>
          <w:lang w:val="en-US"/>
        </w:rPr>
        <w:t xml:space="preserve"> number: 57 010310 03018</w:t>
      </w:r>
      <w:r w:rsidR="00AD706A" w:rsidRPr="00AD70DE">
        <w:rPr>
          <w:lang w:val="en-US"/>
        </w:rPr>
        <w:t>//03152</w:t>
      </w:r>
      <w:r w:rsidRPr="00AD70DE">
        <w:rPr>
          <w:lang w:val="en-US"/>
        </w:rPr>
        <w:t>).</w:t>
      </w:r>
    </w:p>
    <w:p w:rsidR="009C32E7" w:rsidRPr="00AD70DE" w:rsidRDefault="009C32E7" w:rsidP="00AD70DE">
      <w:pPr>
        <w:rPr>
          <w:lang w:val="en-GB"/>
        </w:rPr>
      </w:pPr>
      <w:r w:rsidRPr="00AD70DE">
        <w:rPr>
          <w:lang w:val="en-GB"/>
        </w:rPr>
        <w:t>Any impairment of health that might have occurred in consequence of trial participation must be notified to the insurance company. The participant is responsible for notification. The insured person will agree with all appropriate measures serving for clarification of the cause and the extent of damage as well as the reduction of damage.</w:t>
      </w:r>
    </w:p>
    <w:p w:rsidR="009C32E7" w:rsidRPr="00AD70DE" w:rsidRDefault="009C32E7" w:rsidP="00AD70DE">
      <w:pPr>
        <w:rPr>
          <w:lang w:val="en-GB"/>
        </w:rPr>
      </w:pPr>
      <w:r w:rsidRPr="00AD70DE">
        <w:rPr>
          <w:lang w:val="en-GB"/>
        </w:rPr>
        <w:t>During the conduct of the trial, the participant must not undergo other clinical treatment except for cases of emergency. The subject is bound to inform the investigator immediately about any AEs and additionally taken drugs. The terms and conditions of the insurance should be delivered to the participant.</w:t>
      </w:r>
    </w:p>
    <w:p w:rsidR="009C32E7" w:rsidRPr="00AD70DE" w:rsidRDefault="009C32E7" w:rsidP="00AD70DE">
      <w:pPr>
        <w:rPr>
          <w:lang w:val="en-GB"/>
        </w:rPr>
      </w:pPr>
      <w:r w:rsidRPr="00AD70DE">
        <w:rPr>
          <w:lang w:val="en-GB"/>
        </w:rPr>
        <w:t>The insurance company has to be informed about all amendments that could affect participants’ safety.</w:t>
      </w:r>
    </w:p>
    <w:p w:rsidR="009C32E7" w:rsidRPr="00AD70DE" w:rsidRDefault="009C32E7" w:rsidP="00AD70DE">
      <w:pPr>
        <w:pStyle w:val="berschrift2"/>
        <w:spacing w:before="240"/>
        <w:ind w:left="567" w:hanging="567"/>
        <w:rPr>
          <w:color w:val="auto"/>
        </w:rPr>
      </w:pPr>
      <w:bookmarkStart w:id="2626" w:name="_Toc256002387"/>
      <w:bookmarkStart w:id="2627" w:name="_Toc256002291"/>
      <w:bookmarkStart w:id="2628" w:name="_Toc256002194"/>
      <w:bookmarkStart w:id="2629" w:name="_Toc256002097"/>
      <w:bookmarkStart w:id="2630" w:name="_Toc256002000"/>
      <w:bookmarkStart w:id="2631" w:name="_Toc256001775"/>
      <w:bookmarkStart w:id="2632" w:name="_Toc256001561"/>
      <w:bookmarkStart w:id="2633" w:name="_Toc256001304"/>
      <w:bookmarkStart w:id="2634" w:name="_Toc256001081"/>
      <w:bookmarkStart w:id="2635" w:name="_Toc256000838"/>
      <w:bookmarkStart w:id="2636" w:name="_Toc256000554"/>
      <w:bookmarkStart w:id="2637" w:name="_Toc256000281"/>
      <w:bookmarkStart w:id="2638" w:name="_Toc256000670"/>
      <w:bookmarkStart w:id="2639" w:name="_Toc256001971"/>
      <w:bookmarkStart w:id="2640" w:name="_Toc256001879"/>
      <w:bookmarkStart w:id="2641" w:name="_Toc256001787"/>
      <w:bookmarkStart w:id="2642" w:name="_Toc256001695"/>
      <w:bookmarkStart w:id="2643" w:name="_Toc256001603"/>
      <w:bookmarkStart w:id="2644" w:name="_Toc256001511"/>
      <w:bookmarkStart w:id="2645" w:name="_Toc256001419"/>
      <w:bookmarkStart w:id="2646" w:name="_Toc256001327"/>
      <w:bookmarkStart w:id="2647" w:name="_Toc256001235"/>
      <w:bookmarkStart w:id="2648" w:name="_Toc256001143"/>
      <w:bookmarkStart w:id="2649" w:name="_Toc256001051"/>
      <w:bookmarkStart w:id="2650" w:name="_Toc256000959"/>
      <w:bookmarkStart w:id="2651" w:name="_Toc256000867"/>
      <w:bookmarkStart w:id="2652" w:name="_Toc256000775"/>
      <w:bookmarkStart w:id="2653" w:name="_Toc256000683"/>
      <w:bookmarkStart w:id="2654" w:name="_Toc256000591"/>
      <w:bookmarkStart w:id="2655" w:name="_Toc256000499"/>
      <w:bookmarkStart w:id="2656" w:name="_Toc256000407"/>
      <w:bookmarkStart w:id="2657" w:name="_Toc256000315"/>
      <w:bookmarkStart w:id="2658" w:name="_Toc256000223"/>
      <w:bookmarkStart w:id="2659" w:name="_Toc256000144"/>
      <w:bookmarkStart w:id="2660" w:name="_Toc256000065"/>
      <w:bookmarkStart w:id="2661" w:name="_Toc434223658"/>
      <w:bookmarkStart w:id="2662" w:name="_Toc455594138"/>
      <w:bookmarkStart w:id="2663" w:name="_Toc461443328"/>
      <w:bookmarkStart w:id="2664" w:name="_Toc469498959"/>
      <w:bookmarkStart w:id="2665" w:name="_Toc491340389"/>
      <w:bookmarkStart w:id="2666" w:name="_Toc9613194"/>
      <w:bookmarkStart w:id="2667" w:name="_Toc37173107"/>
      <w:bookmarkStart w:id="2668" w:name="_Toc37243501"/>
      <w:r w:rsidRPr="00AD70DE">
        <w:rPr>
          <w:color w:val="auto"/>
        </w:rPr>
        <w:t>Confidentiality</w:t>
      </w:r>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rsidR="009C32E7" w:rsidRPr="00AD70DE" w:rsidRDefault="009C32E7" w:rsidP="00AD70DE">
      <w:pPr>
        <w:rPr>
          <w:lang w:val="en-GB"/>
        </w:rPr>
      </w:pPr>
      <w:r w:rsidRPr="00AD70DE">
        <w:rPr>
          <w:lang w:val="en-GB"/>
        </w:rPr>
        <w:t>The data obtained in the course of the trial will be treated pursuant to the State Data Protection Law (</w:t>
      </w:r>
      <w:proofErr w:type="spellStart"/>
      <w:r w:rsidRPr="00AD70DE">
        <w:rPr>
          <w:lang w:val="en-GB"/>
        </w:rPr>
        <w:t>Landesdatenschutzgesetz</w:t>
      </w:r>
      <w:proofErr w:type="spellEnd"/>
      <w:r w:rsidRPr="00AD70DE">
        <w:rPr>
          <w:lang w:val="en-GB"/>
        </w:rPr>
        <w:t xml:space="preserve"> Baden Württemberg) and the General Data Protection Regulation of the EU (DSGVO, EU 2016/679).</w:t>
      </w:r>
    </w:p>
    <w:p w:rsidR="009C32E7" w:rsidRPr="00AD70DE" w:rsidRDefault="009C32E7" w:rsidP="00AD70DE">
      <w:pPr>
        <w:rPr>
          <w:lang w:val="en-GB"/>
        </w:rPr>
      </w:pPr>
      <w:r w:rsidRPr="00AD70DE">
        <w:rPr>
          <w:lang w:val="en-GB"/>
        </w:rPr>
        <w:t xml:space="preserve">During the clinical trial, participants’ identification and results will be documented in a file comparable to a patient file that follows all rules of confidentiality of the Heidelberg University Hospital. </w:t>
      </w:r>
    </w:p>
    <w:p w:rsidR="009C32E7" w:rsidRPr="00AD70DE" w:rsidRDefault="009C32E7" w:rsidP="00AD70DE">
      <w:pPr>
        <w:rPr>
          <w:lang w:val="en-GB"/>
        </w:rPr>
      </w:pPr>
      <w:r w:rsidRPr="00AD70DE">
        <w:rPr>
          <w:lang w:val="en-GB"/>
        </w:rPr>
        <w:t xml:space="preserve">Relevant data for the trial will be documented in a database in a pseudonymized way in order to prevent any possibility for third parties to identify the participant. Also if data are transferred to third parties or published, they will only be used in the pseudonymized way. Trial findings stored on a </w:t>
      </w:r>
      <w:r w:rsidRPr="00AD70DE">
        <w:rPr>
          <w:lang w:val="en-GB"/>
        </w:rPr>
        <w:lastRenderedPageBreak/>
        <w:t>computer will be stored in accordance with the data protection law and will be handled in strictest confidence. For protection of this data, organisational procedures are implemented to prevent distribution of data to unauthorised persons. The appropriate regulations of local data will be fulfilled in their entirety.</w:t>
      </w:r>
    </w:p>
    <w:p w:rsidR="009C32E7" w:rsidRPr="00AD70DE" w:rsidRDefault="009C32E7" w:rsidP="00AD70DE">
      <w:pPr>
        <w:rPr>
          <w:lang w:val="en-GB"/>
        </w:rPr>
      </w:pPr>
      <w:r w:rsidRPr="00AD70DE">
        <w:rPr>
          <w:lang w:val="en-GB"/>
        </w:rPr>
        <w:t>The participant consents in writing to release the investigator from his professional discretion in so far as to allow inspection of original data for monitoring purposes by health authorities and authorised persons. Authorised persons (clinical monitors, inspectors, and auditors) may take insight into personal participant-related data collected during the trial ensuring the data protection law.</w:t>
      </w:r>
    </w:p>
    <w:p w:rsidR="009C32E7" w:rsidRPr="00AD70DE" w:rsidRDefault="009C32E7" w:rsidP="00AD70DE">
      <w:pPr>
        <w:rPr>
          <w:lang w:val="en-GB"/>
        </w:rPr>
      </w:pPr>
      <w:r w:rsidRPr="00AD70DE">
        <w:rPr>
          <w:lang w:val="en-GB"/>
        </w:rPr>
        <w:t xml:space="preserve">The investigator will maintain a participant identification list (participant numbers with the corresponding names) to enable records to be identified. </w:t>
      </w:r>
    </w:p>
    <w:p w:rsidR="009C32E7" w:rsidRPr="00AD70DE" w:rsidRDefault="009C32E7" w:rsidP="00AD70DE">
      <w:pPr>
        <w:rPr>
          <w:lang w:val="en-GB"/>
        </w:rPr>
      </w:pPr>
      <w:r w:rsidRPr="00AD70DE">
        <w:rPr>
          <w:lang w:val="en-GB"/>
        </w:rPr>
        <w:t xml:space="preserve">Volunteers who did not consent to circulate their </w:t>
      </w:r>
      <w:proofErr w:type="spellStart"/>
      <w:r w:rsidRPr="00AD70DE">
        <w:rPr>
          <w:lang w:val="en-GB"/>
        </w:rPr>
        <w:t>pseudonymised</w:t>
      </w:r>
      <w:proofErr w:type="spellEnd"/>
      <w:r w:rsidRPr="00AD70DE">
        <w:rPr>
          <w:lang w:val="en-GB"/>
        </w:rPr>
        <w:t xml:space="preserve"> data will not be included into the trial.</w:t>
      </w:r>
    </w:p>
    <w:p w:rsidR="009C32E7" w:rsidRPr="00AD70DE" w:rsidRDefault="009C32E7" w:rsidP="00AD70DE">
      <w:pPr>
        <w:pStyle w:val="berschrift2"/>
        <w:spacing w:before="240"/>
        <w:ind w:left="567" w:hanging="567"/>
        <w:rPr>
          <w:color w:val="auto"/>
        </w:rPr>
      </w:pPr>
      <w:bookmarkStart w:id="2669" w:name="_Toc256002388"/>
      <w:bookmarkStart w:id="2670" w:name="_Toc256002292"/>
      <w:bookmarkStart w:id="2671" w:name="_Toc256002195"/>
      <w:bookmarkStart w:id="2672" w:name="_Toc256002098"/>
      <w:bookmarkStart w:id="2673" w:name="_Toc256002001"/>
      <w:bookmarkStart w:id="2674" w:name="_Toc256001782"/>
      <w:bookmarkStart w:id="2675" w:name="_Toc256001562"/>
      <w:bookmarkStart w:id="2676" w:name="_Toc256001305"/>
      <w:bookmarkStart w:id="2677" w:name="_Toc256001085"/>
      <w:bookmarkStart w:id="2678" w:name="_Toc256000839"/>
      <w:bookmarkStart w:id="2679" w:name="_Toc256000555"/>
      <w:bookmarkStart w:id="2680" w:name="_Toc256000282"/>
      <w:bookmarkStart w:id="2681" w:name="_Toc256000671"/>
      <w:bookmarkStart w:id="2682" w:name="_Toc256001972"/>
      <w:bookmarkStart w:id="2683" w:name="_Toc256001880"/>
      <w:bookmarkStart w:id="2684" w:name="_Toc256001788"/>
      <w:bookmarkStart w:id="2685" w:name="_Toc256001696"/>
      <w:bookmarkStart w:id="2686" w:name="_Toc256001604"/>
      <w:bookmarkStart w:id="2687" w:name="_Toc256001512"/>
      <w:bookmarkStart w:id="2688" w:name="_Toc256001420"/>
      <w:bookmarkStart w:id="2689" w:name="_Toc256001328"/>
      <w:bookmarkStart w:id="2690" w:name="_Toc256001236"/>
      <w:bookmarkStart w:id="2691" w:name="_Toc256001144"/>
      <w:bookmarkStart w:id="2692" w:name="_Toc256001052"/>
      <w:bookmarkStart w:id="2693" w:name="_Toc256000960"/>
      <w:bookmarkStart w:id="2694" w:name="_Toc256000868"/>
      <w:bookmarkStart w:id="2695" w:name="_Toc256000776"/>
      <w:bookmarkStart w:id="2696" w:name="_Toc256000684"/>
      <w:bookmarkStart w:id="2697" w:name="_Toc256000592"/>
      <w:bookmarkStart w:id="2698" w:name="_Toc256000500"/>
      <w:bookmarkStart w:id="2699" w:name="_Toc256000408"/>
      <w:bookmarkStart w:id="2700" w:name="_Toc256000316"/>
      <w:bookmarkStart w:id="2701" w:name="_Toc256000224"/>
      <w:bookmarkStart w:id="2702" w:name="_Toc256000145"/>
      <w:bookmarkStart w:id="2703" w:name="_Toc256000066"/>
      <w:bookmarkStart w:id="2704" w:name="_Toc434223659"/>
      <w:bookmarkStart w:id="2705" w:name="_Toc455594139"/>
      <w:bookmarkStart w:id="2706" w:name="_Toc461443329"/>
      <w:bookmarkStart w:id="2707" w:name="_Toc469498960"/>
      <w:bookmarkStart w:id="2708" w:name="_Toc491340390"/>
      <w:bookmarkStart w:id="2709" w:name="_Toc9613195"/>
      <w:bookmarkStart w:id="2710" w:name="_Toc37173108"/>
      <w:bookmarkStart w:id="2711" w:name="_Toc37243502"/>
      <w:r w:rsidRPr="00AD70DE">
        <w:rPr>
          <w:color w:val="auto"/>
        </w:rPr>
        <w:t>Archiving</w:t>
      </w:r>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p>
    <w:p w:rsidR="009C32E7" w:rsidRPr="00AD70DE" w:rsidRDefault="009C32E7" w:rsidP="00AD70DE">
      <w:pPr>
        <w:rPr>
          <w:lang w:val="en-GB"/>
        </w:rPr>
      </w:pPr>
      <w:r w:rsidRPr="00AD70DE">
        <w:rPr>
          <w:lang w:val="en-GB"/>
        </w:rPr>
        <w:t>The investigator is responsible for archiving the participants’ files and also all documents concerning the trial for at least 10 y after the end of the trial. These personalized data will be destroyed at the latest after 15 y.</w:t>
      </w:r>
    </w:p>
    <w:p w:rsidR="009C32E7" w:rsidRPr="00AD70DE" w:rsidRDefault="009C32E7" w:rsidP="00AD70DE">
      <w:pPr>
        <w:pStyle w:val="berschrift2"/>
        <w:spacing w:before="240"/>
        <w:ind w:left="567" w:hanging="567"/>
        <w:rPr>
          <w:color w:val="auto"/>
        </w:rPr>
      </w:pPr>
      <w:bookmarkStart w:id="2712" w:name="_Toc256002390"/>
      <w:bookmarkStart w:id="2713" w:name="_Toc256002293"/>
      <w:bookmarkStart w:id="2714" w:name="_Toc256002196"/>
      <w:bookmarkStart w:id="2715" w:name="_Toc256002099"/>
      <w:bookmarkStart w:id="2716" w:name="_Toc256002002"/>
      <w:bookmarkStart w:id="2717" w:name="_Toc256001791"/>
      <w:bookmarkStart w:id="2718" w:name="_Toc256001563"/>
      <w:bookmarkStart w:id="2719" w:name="_Toc256001307"/>
      <w:bookmarkStart w:id="2720" w:name="_Toc256001087"/>
      <w:bookmarkStart w:id="2721" w:name="_Toc256000841"/>
      <w:bookmarkStart w:id="2722" w:name="_Toc256000556"/>
      <w:bookmarkStart w:id="2723" w:name="_Toc256000283"/>
      <w:bookmarkStart w:id="2724" w:name="_Toc256000703"/>
      <w:bookmarkStart w:id="2725" w:name="_Toc256001973"/>
      <w:bookmarkStart w:id="2726" w:name="_Toc256001881"/>
      <w:bookmarkStart w:id="2727" w:name="_Toc256001789"/>
      <w:bookmarkStart w:id="2728" w:name="_Toc256001697"/>
      <w:bookmarkStart w:id="2729" w:name="_Toc256001605"/>
      <w:bookmarkStart w:id="2730" w:name="_Toc256001513"/>
      <w:bookmarkStart w:id="2731" w:name="_Toc256001421"/>
      <w:bookmarkStart w:id="2732" w:name="_Toc256001329"/>
      <w:bookmarkStart w:id="2733" w:name="_Toc256001237"/>
      <w:bookmarkStart w:id="2734" w:name="_Toc256001145"/>
      <w:bookmarkStart w:id="2735" w:name="_Toc256001053"/>
      <w:bookmarkStart w:id="2736" w:name="_Toc256000961"/>
      <w:bookmarkStart w:id="2737" w:name="_Toc256000869"/>
      <w:bookmarkStart w:id="2738" w:name="_Toc256000777"/>
      <w:bookmarkStart w:id="2739" w:name="_Toc256000685"/>
      <w:bookmarkStart w:id="2740" w:name="_Toc256000593"/>
      <w:bookmarkStart w:id="2741" w:name="_Toc256000501"/>
      <w:bookmarkStart w:id="2742" w:name="_Toc256000409"/>
      <w:bookmarkStart w:id="2743" w:name="_Toc256000317"/>
      <w:bookmarkStart w:id="2744" w:name="_Toc256000225"/>
      <w:bookmarkStart w:id="2745" w:name="_Toc256000146"/>
      <w:bookmarkStart w:id="2746" w:name="_Toc256000067"/>
      <w:bookmarkStart w:id="2747" w:name="_Toc434223660"/>
      <w:bookmarkStart w:id="2748" w:name="_Toc455594140"/>
      <w:bookmarkStart w:id="2749" w:name="_Toc461443330"/>
      <w:bookmarkStart w:id="2750" w:name="_Toc469498961"/>
      <w:bookmarkStart w:id="2751" w:name="_Toc491340391"/>
      <w:bookmarkStart w:id="2752" w:name="_Toc9613196"/>
      <w:bookmarkStart w:id="2753" w:name="_Toc37173109"/>
      <w:bookmarkStart w:id="2754" w:name="_Toc37243503"/>
      <w:r w:rsidRPr="00AD70DE">
        <w:rPr>
          <w:color w:val="auto"/>
        </w:rPr>
        <w:t>Protocol modifications and amendments</w:t>
      </w:r>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rsidR="009C32E7" w:rsidRPr="00AD70DE" w:rsidRDefault="009C32E7" w:rsidP="00AD70DE">
      <w:pPr>
        <w:rPr>
          <w:lang w:val="en-GB"/>
        </w:rPr>
      </w:pPr>
      <w:r w:rsidRPr="00AD70DE">
        <w:rPr>
          <w:lang w:val="en-GB"/>
        </w:rPr>
        <w:t>If the trial protocol has to be changed substantially after approval, a written amendment is required that must be signed by the same persons as mentioned in the trial protocol. Any protocol amendment will only be implemented after approval has been granted by the EC and the competent authorities. Any substantial protocol amendment affecting the benefit-to-risk ratio must be approved by the responsible EC and BfArM and must be notified to the local regulatory authority (</w:t>
      </w:r>
      <w:proofErr w:type="spellStart"/>
      <w:r w:rsidRPr="00AD70DE">
        <w:rPr>
          <w:lang w:val="en-GB"/>
        </w:rPr>
        <w:t>Regierungspräsidium</w:t>
      </w:r>
      <w:proofErr w:type="spellEnd"/>
      <w:r w:rsidRPr="00AD70DE">
        <w:rPr>
          <w:lang w:val="en-GB"/>
        </w:rPr>
        <w:t xml:space="preserve"> Karlsruhe). These procedures must be completed before any modifications can come into operation, except when they are necessary to eliminate immediate hazards for the trial participants. Participants will be informed about relevant changes in the trial and will be asked to re-consent in writing</w:t>
      </w:r>
    </w:p>
    <w:p w:rsidR="009C32E7" w:rsidRPr="00AD70DE" w:rsidRDefault="009C32E7" w:rsidP="00AD70DE">
      <w:pPr>
        <w:pStyle w:val="berschrift2"/>
        <w:spacing w:before="240"/>
        <w:ind w:left="567" w:hanging="567"/>
        <w:rPr>
          <w:color w:val="auto"/>
        </w:rPr>
      </w:pPr>
      <w:bookmarkStart w:id="2755" w:name="_Toc256002391"/>
      <w:bookmarkStart w:id="2756" w:name="_Toc256002294"/>
      <w:bookmarkStart w:id="2757" w:name="_Toc256002197"/>
      <w:bookmarkStart w:id="2758" w:name="_Toc256002100"/>
      <w:bookmarkStart w:id="2759" w:name="_Toc256002003"/>
      <w:bookmarkStart w:id="2760" w:name="_Toc256001792"/>
      <w:bookmarkStart w:id="2761" w:name="_Toc256001565"/>
      <w:bookmarkStart w:id="2762" w:name="_Toc256001312"/>
      <w:bookmarkStart w:id="2763" w:name="_Toc256001095"/>
      <w:bookmarkStart w:id="2764" w:name="_Toc256000842"/>
      <w:bookmarkStart w:id="2765" w:name="_Toc256000557"/>
      <w:bookmarkStart w:id="2766" w:name="_Toc256000284"/>
      <w:bookmarkStart w:id="2767" w:name="_Toc256000712"/>
      <w:bookmarkStart w:id="2768" w:name="_Toc256001974"/>
      <w:bookmarkStart w:id="2769" w:name="_Toc256001882"/>
      <w:bookmarkStart w:id="2770" w:name="_Toc256001790"/>
      <w:bookmarkStart w:id="2771" w:name="_Toc256001698"/>
      <w:bookmarkStart w:id="2772" w:name="_Toc256001606"/>
      <w:bookmarkStart w:id="2773" w:name="_Toc256001514"/>
      <w:bookmarkStart w:id="2774" w:name="_Toc256001422"/>
      <w:bookmarkStart w:id="2775" w:name="_Toc256001330"/>
      <w:bookmarkStart w:id="2776" w:name="_Toc256001238"/>
      <w:bookmarkStart w:id="2777" w:name="_Toc256001146"/>
      <w:bookmarkStart w:id="2778" w:name="_Toc256001054"/>
      <w:bookmarkStart w:id="2779" w:name="_Toc256000962"/>
      <w:bookmarkStart w:id="2780" w:name="_Toc256000870"/>
      <w:bookmarkStart w:id="2781" w:name="_Toc256000778"/>
      <w:bookmarkStart w:id="2782" w:name="_Toc256000686"/>
      <w:bookmarkStart w:id="2783" w:name="_Toc256000594"/>
      <w:bookmarkStart w:id="2784" w:name="_Toc256000502"/>
      <w:bookmarkStart w:id="2785" w:name="_Toc256000410"/>
      <w:bookmarkStart w:id="2786" w:name="_Toc256000318"/>
      <w:bookmarkStart w:id="2787" w:name="_Toc256000226"/>
      <w:bookmarkStart w:id="2788" w:name="_Toc256000147"/>
      <w:bookmarkStart w:id="2789" w:name="_Toc256000068"/>
      <w:bookmarkStart w:id="2790" w:name="_Toc434223661"/>
      <w:bookmarkStart w:id="2791" w:name="_Toc455594141"/>
      <w:bookmarkStart w:id="2792" w:name="_Toc461443331"/>
      <w:bookmarkStart w:id="2793" w:name="_Toc469498962"/>
      <w:bookmarkStart w:id="2794" w:name="_Toc491340392"/>
      <w:bookmarkStart w:id="2795" w:name="_Toc9613197"/>
      <w:bookmarkStart w:id="2796" w:name="_Toc37173110"/>
      <w:bookmarkStart w:id="2797" w:name="_Toc37243504"/>
      <w:r w:rsidRPr="00AD70DE">
        <w:rPr>
          <w:color w:val="auto"/>
        </w:rPr>
        <w:t>Access to source data, quality control, and data handling</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p>
    <w:p w:rsidR="009C32E7" w:rsidRPr="00AD70DE" w:rsidRDefault="009C32E7" w:rsidP="00AD70DE">
      <w:pPr>
        <w:rPr>
          <w:rFonts w:cs="Arial"/>
          <w:lang w:val="en-GB"/>
        </w:rPr>
      </w:pPr>
      <w:r w:rsidRPr="00AD70DE">
        <w:rPr>
          <w:rFonts w:cs="Arial"/>
          <w:lang w:val="en-GB"/>
        </w:rPr>
        <w:t>For the purpose of ensuring compliance with the clinical trial protocol, GCP, and applicable regulatory requirements, the investigator should permit auditing/inspection/monitoring by responsible regulatory authorities. The investigator agrees to allow the auditors/inspectors/monitors to have direct access to the trial records for review, being understood that this personnel is bound by professional secrecy, and as such will not disclose any personal identity or personal medical information. The investigator will make every effort to help with the performance of the audits and inspections, giving access to all necessary facilities, data, and documents. The confidentiality of the data should be verified, and the protection of the participants should be respected during these inspections.</w:t>
      </w:r>
    </w:p>
    <w:p w:rsidR="009C32E7" w:rsidRPr="00AD70DE" w:rsidRDefault="009C32E7" w:rsidP="00AD70DE">
      <w:pPr>
        <w:pStyle w:val="berschrift2"/>
        <w:spacing w:before="240"/>
        <w:ind w:left="567" w:hanging="567"/>
        <w:rPr>
          <w:color w:val="auto"/>
        </w:rPr>
      </w:pPr>
      <w:bookmarkStart w:id="2798" w:name="_Toc256002392"/>
      <w:bookmarkStart w:id="2799" w:name="_Toc256002295"/>
      <w:bookmarkStart w:id="2800" w:name="_Toc256002198"/>
      <w:bookmarkStart w:id="2801" w:name="_Toc256002101"/>
      <w:bookmarkStart w:id="2802" w:name="_Toc256002004"/>
      <w:bookmarkStart w:id="2803" w:name="_Toc256001795"/>
      <w:bookmarkStart w:id="2804" w:name="_Toc256001566"/>
      <w:bookmarkStart w:id="2805" w:name="_Toc256001314"/>
      <w:bookmarkStart w:id="2806" w:name="_Toc256001096"/>
      <w:bookmarkStart w:id="2807" w:name="_Toc256000843"/>
      <w:bookmarkStart w:id="2808" w:name="_Toc256000558"/>
      <w:bookmarkStart w:id="2809" w:name="_Toc256000290"/>
      <w:bookmarkStart w:id="2810" w:name="_Toc256005437"/>
      <w:bookmarkStart w:id="2811" w:name="_Toc256005331"/>
      <w:bookmarkStart w:id="2812" w:name="_Toc256005225"/>
      <w:bookmarkStart w:id="2813" w:name="_Toc256005119"/>
      <w:bookmarkStart w:id="2814" w:name="_Toc256005013"/>
      <w:bookmarkStart w:id="2815" w:name="_Toc256004907"/>
      <w:bookmarkStart w:id="2816" w:name="_Toc256004801"/>
      <w:bookmarkStart w:id="2817" w:name="_Toc256004695"/>
      <w:bookmarkStart w:id="2818" w:name="_Toc256004589"/>
      <w:bookmarkStart w:id="2819" w:name="_Toc256004483"/>
      <w:bookmarkStart w:id="2820" w:name="_Toc256004377"/>
      <w:bookmarkStart w:id="2821" w:name="_Toc256004271"/>
      <w:bookmarkStart w:id="2822" w:name="_Toc256004165"/>
      <w:bookmarkStart w:id="2823" w:name="_Toc256004059"/>
      <w:bookmarkStart w:id="2824" w:name="_Toc256003953"/>
      <w:bookmarkStart w:id="2825" w:name="_Toc256003847"/>
      <w:bookmarkStart w:id="2826" w:name="_Toc256003741"/>
      <w:bookmarkStart w:id="2827" w:name="_Toc256003635"/>
      <w:bookmarkStart w:id="2828" w:name="_Toc256003529"/>
      <w:bookmarkStart w:id="2829" w:name="_Toc256003423"/>
      <w:bookmarkStart w:id="2830" w:name="_Toc256003317"/>
      <w:bookmarkStart w:id="2831" w:name="_Toc256003211"/>
      <w:bookmarkStart w:id="2832" w:name="_Toc256003105"/>
      <w:bookmarkStart w:id="2833" w:name="_Toc256003025"/>
      <w:bookmarkStart w:id="2834" w:name="_Toc256002919"/>
      <w:bookmarkStart w:id="2835" w:name="_Toc256002813"/>
      <w:bookmarkStart w:id="2836" w:name="_Toc256002707"/>
      <w:bookmarkStart w:id="2837" w:name="_Toc256002601"/>
      <w:bookmarkStart w:id="2838" w:name="_Toc256002495"/>
      <w:bookmarkStart w:id="2839" w:name="_Toc256002389"/>
      <w:bookmarkStart w:id="2840" w:name="_Toc256002283"/>
      <w:bookmarkStart w:id="2841" w:name="_Toc256002177"/>
      <w:bookmarkStart w:id="2842" w:name="_Toc256002071"/>
      <w:bookmarkStart w:id="2843" w:name="_Toc256001859"/>
      <w:bookmarkStart w:id="2844" w:name="_Toc256001753"/>
      <w:bookmarkStart w:id="2845" w:name="_Toc256001647"/>
      <w:bookmarkStart w:id="2846" w:name="_Toc256001541"/>
      <w:bookmarkStart w:id="2847" w:name="_Toc256001223"/>
      <w:bookmarkStart w:id="2848" w:name="_Toc256001117"/>
      <w:bookmarkStart w:id="2849" w:name="_Toc256001011"/>
      <w:bookmarkStart w:id="2850" w:name="_Toc256000186"/>
      <w:bookmarkStart w:id="2851" w:name="_Toc347307491"/>
      <w:bookmarkStart w:id="2852" w:name="_Toc437331654"/>
      <w:bookmarkStart w:id="2853" w:name="_Toc441841885"/>
      <w:bookmarkStart w:id="2854" w:name="_Toc446322309"/>
      <w:bookmarkStart w:id="2855" w:name="_Toc501438675"/>
      <w:bookmarkStart w:id="2856" w:name="_Toc9613198"/>
      <w:bookmarkStart w:id="2857" w:name="_Toc37173111"/>
      <w:bookmarkStart w:id="2858" w:name="_Toc37243505"/>
      <w:r w:rsidRPr="00AD70DE">
        <w:rPr>
          <w:color w:val="auto"/>
        </w:rPr>
        <w:lastRenderedPageBreak/>
        <w:t>Participant information and informed consent</w:t>
      </w:r>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p>
    <w:p w:rsidR="009C32E7" w:rsidRPr="00AD70DE" w:rsidRDefault="009C32E7" w:rsidP="00AD70DE">
      <w:pPr>
        <w:spacing w:after="60" w:line="276" w:lineRule="auto"/>
        <w:rPr>
          <w:rFonts w:cs="Arial"/>
          <w:lang w:val="en-GB"/>
        </w:rPr>
      </w:pPr>
      <w:r w:rsidRPr="00AD70DE">
        <w:rPr>
          <w:rFonts w:cs="Arial"/>
          <w:lang w:val="en-GB"/>
        </w:rPr>
        <w:t>Before being admitted to the clinical trial, the participant must consent to participate after being fully informed by the investigator or a designated member of the investigating team about the nature, importance, risks and individual consequences of the clinical trial and their right to terminate the participation at any time. The participant should also have the opportunity to consult the investigator, or a physician member of the investigating team about the details of the clinical trial. The informed consent to participate in the clinical trial may be withdrawn by the participant verbally in the presence of, or in written form directed to, the investigator or a physician member of the investigating team at any time during the trial. The participant must not entail any disadvantage therefore or be coerced or unduly influenced to continue to participate. Furthermore, the participant is not obligated to disclose reasons for the withdrawal of the consent.</w:t>
      </w:r>
    </w:p>
    <w:p w:rsidR="009C32E7" w:rsidRPr="00AD70DE" w:rsidRDefault="009C32E7" w:rsidP="00AD70DE">
      <w:pPr>
        <w:spacing w:after="60" w:line="276" w:lineRule="auto"/>
        <w:rPr>
          <w:rFonts w:cs="Arial"/>
          <w:lang w:val="en-GB"/>
        </w:rPr>
      </w:pPr>
      <w:r w:rsidRPr="00AD70DE">
        <w:rPr>
          <w:rFonts w:cs="Arial"/>
          <w:lang w:val="en-GB"/>
        </w:rPr>
        <w:t>After reading the informed consent document, the participant must give consent in writing. The participants consent must be confirmed by the personally dated signature of the participant and by the personally dated signature of the physician conducting the informed consent discussion. A copy of the signed informed consent document must be given to the participant. The documents must be in a language understandable to the participant and must specify who informed the participant.</w:t>
      </w:r>
    </w:p>
    <w:p w:rsidR="009C32E7" w:rsidRPr="00AD70DE" w:rsidRDefault="009C32E7" w:rsidP="00AD70DE">
      <w:pPr>
        <w:spacing w:after="60" w:line="276" w:lineRule="auto"/>
        <w:rPr>
          <w:rFonts w:cs="Arial"/>
          <w:lang w:val="en-GB"/>
        </w:rPr>
      </w:pPr>
      <w:r w:rsidRPr="00AD70DE">
        <w:rPr>
          <w:rFonts w:cs="Arial"/>
          <w:lang w:val="en-GB"/>
        </w:rPr>
        <w:t xml:space="preserve">If the participant is unable to write, oral presentation and explanation of the content of the informed consent form and of the data protection information must take place in the presence of an impartial witness. The witness and the physician conducting the informed consent discussions must also sign and personally date the consent document. The witness must not be in any way dependent on the sponsor of the trial, the trial site or any member of the investigating team (e.g. an employee at the trial site). </w:t>
      </w:r>
    </w:p>
    <w:p w:rsidR="009C32E7" w:rsidRPr="00AD70DE" w:rsidRDefault="009C32E7" w:rsidP="00AD70DE">
      <w:pPr>
        <w:spacing w:after="60" w:line="276" w:lineRule="auto"/>
        <w:rPr>
          <w:lang w:val="en-GB"/>
        </w:rPr>
      </w:pPr>
      <w:r w:rsidRPr="00AD70DE">
        <w:rPr>
          <w:rFonts w:cs="Arial"/>
          <w:lang w:val="en-GB"/>
        </w:rPr>
        <w:t>The participants will be informed as soon as possible if new information may influence his/her decision to participate in the trial. The communication of this information should be documented.</w:t>
      </w:r>
    </w:p>
    <w:p w:rsidR="009C32E7" w:rsidRPr="00AD70DE" w:rsidRDefault="009C32E7" w:rsidP="00AD70DE">
      <w:pPr>
        <w:pStyle w:val="berschrift2"/>
        <w:spacing w:before="240"/>
        <w:ind w:left="567" w:hanging="567"/>
        <w:rPr>
          <w:color w:val="auto"/>
        </w:rPr>
      </w:pPr>
      <w:bookmarkStart w:id="2859" w:name="_Toc256002393"/>
      <w:bookmarkStart w:id="2860" w:name="_Toc256002296"/>
      <w:bookmarkStart w:id="2861" w:name="_Toc256002199"/>
      <w:bookmarkStart w:id="2862" w:name="_Toc256002102"/>
      <w:bookmarkStart w:id="2863" w:name="_Toc256002005"/>
      <w:bookmarkStart w:id="2864" w:name="_Toc256001800"/>
      <w:bookmarkStart w:id="2865" w:name="_Toc256001567"/>
      <w:bookmarkStart w:id="2866" w:name="_Toc256001315"/>
      <w:bookmarkStart w:id="2867" w:name="_Toc256001101"/>
      <w:bookmarkStart w:id="2868" w:name="_Toc256000844"/>
      <w:bookmarkStart w:id="2869" w:name="_Toc256000559"/>
      <w:bookmarkStart w:id="2870" w:name="_Toc256000291"/>
      <w:bookmarkStart w:id="2871" w:name="_Toc256000738"/>
      <w:bookmarkStart w:id="2872" w:name="_Toc256001977"/>
      <w:bookmarkStart w:id="2873" w:name="_Toc256001885"/>
      <w:bookmarkStart w:id="2874" w:name="_Toc256001793"/>
      <w:bookmarkStart w:id="2875" w:name="_Toc256001701"/>
      <w:bookmarkStart w:id="2876" w:name="_Toc256001609"/>
      <w:bookmarkStart w:id="2877" w:name="_Toc256001517"/>
      <w:bookmarkStart w:id="2878" w:name="_Toc256001425"/>
      <w:bookmarkStart w:id="2879" w:name="_Toc256001333"/>
      <w:bookmarkStart w:id="2880" w:name="_Toc256001241"/>
      <w:bookmarkStart w:id="2881" w:name="_Toc256001149"/>
      <w:bookmarkStart w:id="2882" w:name="_Toc256001057"/>
      <w:bookmarkStart w:id="2883" w:name="_Toc256000965"/>
      <w:bookmarkStart w:id="2884" w:name="_Toc256000873"/>
      <w:bookmarkStart w:id="2885" w:name="_Toc256000781"/>
      <w:bookmarkStart w:id="2886" w:name="_Toc256000689"/>
      <w:bookmarkStart w:id="2887" w:name="_Toc256000597"/>
      <w:bookmarkStart w:id="2888" w:name="_Toc256000505"/>
      <w:bookmarkStart w:id="2889" w:name="_Toc256000413"/>
      <w:bookmarkStart w:id="2890" w:name="_Toc256000321"/>
      <w:bookmarkStart w:id="2891" w:name="_Toc256000229"/>
      <w:bookmarkStart w:id="2892" w:name="_Toc256000151"/>
      <w:bookmarkStart w:id="2893" w:name="_Toc256000072"/>
      <w:bookmarkStart w:id="2894" w:name="_Toc434223664"/>
      <w:bookmarkStart w:id="2895" w:name="_Toc455594144"/>
      <w:bookmarkStart w:id="2896" w:name="_Toc461443334"/>
      <w:bookmarkStart w:id="2897" w:name="_Toc469498965"/>
      <w:bookmarkStart w:id="2898" w:name="_Toc491340395"/>
      <w:bookmarkStart w:id="2899" w:name="_Toc9613199"/>
      <w:bookmarkStart w:id="2900" w:name="_Toc37173112"/>
      <w:bookmarkStart w:id="2901" w:name="_Toc37243506"/>
      <w:r w:rsidRPr="00AD70DE">
        <w:rPr>
          <w:color w:val="auto"/>
        </w:rPr>
        <w:t>List of participants (participants’ log)</w:t>
      </w:r>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r w:rsidRPr="00AD70DE">
        <w:rPr>
          <w:color w:val="auto"/>
        </w:rPr>
        <w:t xml:space="preserve"> </w:t>
      </w:r>
    </w:p>
    <w:p w:rsidR="009C32E7" w:rsidRPr="00AD70DE" w:rsidRDefault="009C32E7" w:rsidP="00AD70DE">
      <w:pPr>
        <w:rPr>
          <w:lang w:val="en-GB"/>
        </w:rPr>
      </w:pPr>
      <w:r w:rsidRPr="00AD70DE">
        <w:rPr>
          <w:lang w:val="en-GB"/>
        </w:rPr>
        <w:t>The investigator keeps a confidential list with full names, dates of birth, and addresses of all individuals participating in the trial, giving reference to the participants’ records. For enrolled participants, the date of enrolment and the allocation/random number must be recorded. With this list, it must be possible to identify the participants and their medical records, e.g. in case of questions arising after completion of the trial. Care must be taken that this list is kept confidential by the investigator. The identity of the participants must not be revealed to unauthorised persons.</w:t>
      </w:r>
    </w:p>
    <w:p w:rsidR="009C32E7" w:rsidRPr="00AD70DE" w:rsidRDefault="009C32E7" w:rsidP="00AD70DE">
      <w:pPr>
        <w:pStyle w:val="berschrift2"/>
        <w:spacing w:before="240"/>
        <w:ind w:left="567" w:hanging="567"/>
        <w:rPr>
          <w:color w:val="auto"/>
        </w:rPr>
      </w:pPr>
      <w:bookmarkStart w:id="2902" w:name="_Toc256002394"/>
      <w:bookmarkStart w:id="2903" w:name="_Toc256002297"/>
      <w:bookmarkStart w:id="2904" w:name="_Toc256002200"/>
      <w:bookmarkStart w:id="2905" w:name="_Toc256002103"/>
      <w:bookmarkStart w:id="2906" w:name="_Toc256002006"/>
      <w:bookmarkStart w:id="2907" w:name="_Toc256001801"/>
      <w:bookmarkStart w:id="2908" w:name="_Toc256001568"/>
      <w:bookmarkStart w:id="2909" w:name="_Toc256001322"/>
      <w:bookmarkStart w:id="2910" w:name="_Toc256001102"/>
      <w:bookmarkStart w:id="2911" w:name="_Toc256000845"/>
      <w:bookmarkStart w:id="2912" w:name="_Toc256000560"/>
      <w:bookmarkStart w:id="2913" w:name="_Toc256000292"/>
      <w:bookmarkStart w:id="2914" w:name="_Toc256000746"/>
      <w:bookmarkStart w:id="2915" w:name="_Toc256001978"/>
      <w:bookmarkStart w:id="2916" w:name="_Toc256001886"/>
      <w:bookmarkStart w:id="2917" w:name="_Toc256001794"/>
      <w:bookmarkStart w:id="2918" w:name="_Toc256001702"/>
      <w:bookmarkStart w:id="2919" w:name="_Toc256001610"/>
      <w:bookmarkStart w:id="2920" w:name="_Toc256001518"/>
      <w:bookmarkStart w:id="2921" w:name="_Toc256001426"/>
      <w:bookmarkStart w:id="2922" w:name="_Toc256001334"/>
      <w:bookmarkStart w:id="2923" w:name="_Toc256001242"/>
      <w:bookmarkStart w:id="2924" w:name="_Toc256001150"/>
      <w:bookmarkStart w:id="2925" w:name="_Toc256001058"/>
      <w:bookmarkStart w:id="2926" w:name="_Toc256000966"/>
      <w:bookmarkStart w:id="2927" w:name="_Toc256000874"/>
      <w:bookmarkStart w:id="2928" w:name="_Toc256000782"/>
      <w:bookmarkStart w:id="2929" w:name="_Toc256000690"/>
      <w:bookmarkStart w:id="2930" w:name="_Toc256000598"/>
      <w:bookmarkStart w:id="2931" w:name="_Toc256000506"/>
      <w:bookmarkStart w:id="2932" w:name="_Toc256000414"/>
      <w:bookmarkStart w:id="2933" w:name="_Toc256000322"/>
      <w:bookmarkStart w:id="2934" w:name="_Toc256000230"/>
      <w:bookmarkStart w:id="2935" w:name="_Toc256000152"/>
      <w:bookmarkStart w:id="2936" w:name="_Toc256000073"/>
      <w:bookmarkStart w:id="2937" w:name="_Toc434223665"/>
      <w:bookmarkStart w:id="2938" w:name="_Toc455594145"/>
      <w:bookmarkStart w:id="2939" w:name="_Toc461443335"/>
      <w:bookmarkStart w:id="2940" w:name="_Toc469498966"/>
      <w:bookmarkStart w:id="2941" w:name="_Toc491340396"/>
      <w:bookmarkStart w:id="2942" w:name="_Toc9613200"/>
      <w:bookmarkStart w:id="2943" w:name="_Toc37173113"/>
      <w:bookmarkStart w:id="2944" w:name="_Toc37243507"/>
      <w:r w:rsidRPr="00AD70DE">
        <w:rPr>
          <w:color w:val="auto"/>
        </w:rPr>
        <w:t>Participant medical records / source data</w:t>
      </w:r>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p>
    <w:p w:rsidR="009C32E7" w:rsidRPr="00AD70DE" w:rsidRDefault="009C32E7" w:rsidP="00AD70DE">
      <w:pPr>
        <w:rPr>
          <w:lang w:val="en-GB"/>
        </w:rPr>
      </w:pPr>
      <w:r w:rsidRPr="00AD70DE">
        <w:rPr>
          <w:lang w:val="en-GB"/>
        </w:rPr>
        <w:t xml:space="preserve">Participant medical records must be kept for all volunteers taking part in the trial. Participation in the </w:t>
      </w:r>
      <w:proofErr w:type="gramStart"/>
      <w:r w:rsidRPr="00AD70DE">
        <w:rPr>
          <w:lang w:val="en-GB"/>
        </w:rPr>
        <w:t>trial,</w:t>
      </w:r>
      <w:proofErr w:type="gramEnd"/>
      <w:r w:rsidRPr="00AD70DE">
        <w:rPr>
          <w:lang w:val="en-GB"/>
        </w:rPr>
        <w:t xml:space="preserve"> dates of participant information and signed informed consent, administration of trial medication, and key data recorded during the trial must be documented in the participant’s medical record as source data unless specified otherwise in this trial protocol. Data in the participant’s medical record (including original laboratory reports etc.) are the ‘source data’ and entries in the CRF have to be checked against these data (source data verification) by the monitor.</w:t>
      </w:r>
    </w:p>
    <w:p w:rsidR="009C32E7" w:rsidRPr="00AD70DE" w:rsidRDefault="009C32E7" w:rsidP="00AD70DE">
      <w:pPr>
        <w:pStyle w:val="berschrift2"/>
        <w:spacing w:before="240"/>
        <w:ind w:left="567" w:hanging="567"/>
        <w:rPr>
          <w:color w:val="auto"/>
        </w:rPr>
      </w:pPr>
      <w:bookmarkStart w:id="2945" w:name="_Toc256002395"/>
      <w:bookmarkStart w:id="2946" w:name="_Toc256002298"/>
      <w:bookmarkStart w:id="2947" w:name="_Toc256002201"/>
      <w:bookmarkStart w:id="2948" w:name="_Toc256002104"/>
      <w:bookmarkStart w:id="2949" w:name="_Toc256002007"/>
      <w:bookmarkStart w:id="2950" w:name="_Toc256001802"/>
      <w:bookmarkStart w:id="2951" w:name="_Toc256001569"/>
      <w:bookmarkStart w:id="2952" w:name="_Toc256001331"/>
      <w:bookmarkStart w:id="2953" w:name="_Toc256001103"/>
      <w:bookmarkStart w:id="2954" w:name="_Toc256000847"/>
      <w:bookmarkStart w:id="2955" w:name="_Toc256000561"/>
      <w:bookmarkStart w:id="2956" w:name="_Toc256000293"/>
      <w:bookmarkStart w:id="2957" w:name="_Toc9613201"/>
      <w:bookmarkStart w:id="2958" w:name="_Toc37173114"/>
      <w:bookmarkStart w:id="2959" w:name="_Toc37243508"/>
      <w:r w:rsidRPr="00AD70DE">
        <w:rPr>
          <w:color w:val="auto"/>
        </w:rPr>
        <w:lastRenderedPageBreak/>
        <w:t>Data management</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rsidR="009C32E7" w:rsidRPr="00AD70DE" w:rsidRDefault="009C32E7" w:rsidP="00AD70DE">
      <w:pPr>
        <w:rPr>
          <w:lang w:val="en-GB"/>
        </w:rPr>
      </w:pPr>
      <w:r w:rsidRPr="00AD70DE">
        <w:rPr>
          <w:lang w:val="en-GB"/>
        </w:rPr>
        <w:t xml:space="preserve">All data required by the protocol will be recorded on source data. The data will timely be entered in a database via an electronic CRF (eCRF), according to the trial site’s SOP. The software ensures that the participants´ </w:t>
      </w:r>
      <w:proofErr w:type="spellStart"/>
      <w:r w:rsidRPr="00AD70DE">
        <w:rPr>
          <w:lang w:val="en-GB"/>
        </w:rPr>
        <w:t>pseudonymity</w:t>
      </w:r>
      <w:proofErr w:type="spellEnd"/>
      <w:r w:rsidRPr="00AD70DE">
        <w:rPr>
          <w:lang w:val="en-GB"/>
        </w:rPr>
        <w:t xml:space="preserve"> will be maintained. All data to be recorded according to this trial protocol must be documented in the eCRF. After checking for plausibility, consistency, and completeness, queries will be edited and resolved. Changes in the eCRF are traceable by an audit trail. </w:t>
      </w:r>
    </w:p>
    <w:p w:rsidR="009C32E7" w:rsidRPr="00AD70DE" w:rsidRDefault="009C32E7" w:rsidP="00AD70DE">
      <w:pPr>
        <w:rPr>
          <w:lang w:val="en-GB"/>
        </w:rPr>
      </w:pPr>
      <w:r w:rsidRPr="00AD70DE">
        <w:rPr>
          <w:lang w:val="en-GB"/>
        </w:rPr>
        <w:t>After all data are entered into the database and the queries are closed the investigator and deputy will agree on the database closure.</w:t>
      </w:r>
    </w:p>
    <w:p w:rsidR="009C32E7" w:rsidRPr="00AD70DE" w:rsidRDefault="009C32E7" w:rsidP="00AD70DE">
      <w:pPr>
        <w:pStyle w:val="berschrift2"/>
        <w:spacing w:before="240"/>
        <w:ind w:left="567" w:hanging="567"/>
        <w:rPr>
          <w:color w:val="auto"/>
        </w:rPr>
      </w:pPr>
      <w:bookmarkStart w:id="2960" w:name="_Toc256002396"/>
      <w:bookmarkStart w:id="2961" w:name="_Toc256002299"/>
      <w:bookmarkStart w:id="2962" w:name="_Toc256002202"/>
      <w:bookmarkStart w:id="2963" w:name="_Toc256002105"/>
      <w:bookmarkStart w:id="2964" w:name="_Toc256002008"/>
      <w:bookmarkStart w:id="2965" w:name="_Toc256001807"/>
      <w:bookmarkStart w:id="2966" w:name="_Toc256001570"/>
      <w:bookmarkStart w:id="2967" w:name="_Toc256001332"/>
      <w:bookmarkStart w:id="2968" w:name="_Toc256001105"/>
      <w:bookmarkStart w:id="2969" w:name="_Toc256000852"/>
      <w:bookmarkStart w:id="2970" w:name="_Toc256000562"/>
      <w:bookmarkStart w:id="2971" w:name="_Toc256000295"/>
      <w:bookmarkStart w:id="2972" w:name="_Toc256000751"/>
      <w:bookmarkStart w:id="2973" w:name="_Toc256001980"/>
      <w:bookmarkStart w:id="2974" w:name="_Toc256001888"/>
      <w:bookmarkStart w:id="2975" w:name="_Toc256001796"/>
      <w:bookmarkStart w:id="2976" w:name="_Toc256001704"/>
      <w:bookmarkStart w:id="2977" w:name="_Toc256001612"/>
      <w:bookmarkStart w:id="2978" w:name="_Toc256001520"/>
      <w:bookmarkStart w:id="2979" w:name="_Toc256001428"/>
      <w:bookmarkStart w:id="2980" w:name="_Toc256001336"/>
      <w:bookmarkStart w:id="2981" w:name="_Toc256001244"/>
      <w:bookmarkStart w:id="2982" w:name="_Toc256001152"/>
      <w:bookmarkStart w:id="2983" w:name="_Toc256001060"/>
      <w:bookmarkStart w:id="2984" w:name="_Toc256000968"/>
      <w:bookmarkStart w:id="2985" w:name="_Toc256000876"/>
      <w:bookmarkStart w:id="2986" w:name="_Toc256000784"/>
      <w:bookmarkStart w:id="2987" w:name="_Toc256000692"/>
      <w:bookmarkStart w:id="2988" w:name="_Toc256000600"/>
      <w:bookmarkStart w:id="2989" w:name="_Toc256000508"/>
      <w:bookmarkStart w:id="2990" w:name="_Toc256000416"/>
      <w:bookmarkStart w:id="2991" w:name="_Toc256000324"/>
      <w:bookmarkStart w:id="2992" w:name="_Toc256000232"/>
      <w:bookmarkStart w:id="2993" w:name="_Toc256000155"/>
      <w:bookmarkStart w:id="2994" w:name="_Toc256000076"/>
      <w:bookmarkStart w:id="2995" w:name="_Toc434223667"/>
      <w:bookmarkStart w:id="2996" w:name="_Toc455594147"/>
      <w:bookmarkStart w:id="2997" w:name="_Toc461443337"/>
      <w:bookmarkStart w:id="2998" w:name="_Toc469498968"/>
      <w:bookmarkStart w:id="2999" w:name="_Toc491340398"/>
      <w:bookmarkStart w:id="3000" w:name="_Toc9613202"/>
      <w:bookmarkStart w:id="3001" w:name="_Toc37173115"/>
      <w:bookmarkStart w:id="3002" w:name="_Toc37243509"/>
      <w:r w:rsidRPr="00AD70DE">
        <w:rPr>
          <w:color w:val="auto"/>
        </w:rPr>
        <w:t>Financing</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rsidR="009C32E7" w:rsidRPr="00AD70DE" w:rsidRDefault="009C32E7" w:rsidP="00AD70DE">
      <w:pPr>
        <w:rPr>
          <w:lang w:val="en-GB"/>
        </w:rPr>
      </w:pPr>
      <w:r w:rsidRPr="00AD70DE">
        <w:rPr>
          <w:lang w:val="en-GB"/>
        </w:rPr>
        <w:t xml:space="preserve">The trial will be fully </w:t>
      </w:r>
      <w:r w:rsidRPr="00AD70DE">
        <w:rPr>
          <w:color w:val="222222"/>
          <w:lang w:val="en-GB"/>
        </w:rPr>
        <w:t>financed</w:t>
      </w:r>
      <w:r w:rsidRPr="00AD70DE">
        <w:rPr>
          <w:lang w:val="en-GB"/>
        </w:rPr>
        <w:t xml:space="preserve"> by the Department of Clinical Pharmacology and Pharmaco</w:t>
      </w:r>
      <w:r w:rsidRPr="00AD70DE">
        <w:rPr>
          <w:lang w:val="en-GB"/>
        </w:rPr>
        <w:softHyphen/>
        <w:t>epidemiology of Heidelberg University.</w:t>
      </w:r>
    </w:p>
    <w:p w:rsidR="009C32E7" w:rsidRPr="00AD70DE" w:rsidRDefault="009C32E7" w:rsidP="00AD70DE">
      <w:pPr>
        <w:pStyle w:val="berschrift2"/>
        <w:spacing w:before="240"/>
        <w:ind w:left="567" w:hanging="567"/>
        <w:rPr>
          <w:color w:val="auto"/>
        </w:rPr>
      </w:pPr>
      <w:bookmarkStart w:id="3003" w:name="_Toc256002397"/>
      <w:bookmarkStart w:id="3004" w:name="_Toc256002300"/>
      <w:bookmarkStart w:id="3005" w:name="_Toc256002203"/>
      <w:bookmarkStart w:id="3006" w:name="_Toc256002106"/>
      <w:bookmarkStart w:id="3007" w:name="_Toc256002009"/>
      <w:bookmarkStart w:id="3008" w:name="_Toc256001813"/>
      <w:bookmarkStart w:id="3009" w:name="_Toc256001571"/>
      <w:bookmarkStart w:id="3010" w:name="_Toc256001335"/>
      <w:bookmarkStart w:id="3011" w:name="_Toc256001106"/>
      <w:bookmarkStart w:id="3012" w:name="_Toc256000854"/>
      <w:bookmarkStart w:id="3013" w:name="_Toc256000565"/>
      <w:bookmarkStart w:id="3014" w:name="_Toc256000300"/>
      <w:bookmarkStart w:id="3015" w:name="_Toc256000752"/>
      <w:bookmarkStart w:id="3016" w:name="_Toc256001981"/>
      <w:bookmarkStart w:id="3017" w:name="_Toc256001889"/>
      <w:bookmarkStart w:id="3018" w:name="_Toc256001797"/>
      <w:bookmarkStart w:id="3019" w:name="_Toc256001705"/>
      <w:bookmarkStart w:id="3020" w:name="_Toc256001613"/>
      <w:bookmarkStart w:id="3021" w:name="_Toc256001521"/>
      <w:bookmarkStart w:id="3022" w:name="_Toc256001429"/>
      <w:bookmarkStart w:id="3023" w:name="_Toc256001337"/>
      <w:bookmarkStart w:id="3024" w:name="_Toc256001245"/>
      <w:bookmarkStart w:id="3025" w:name="_Toc256001153"/>
      <w:bookmarkStart w:id="3026" w:name="_Toc256001061"/>
      <w:bookmarkStart w:id="3027" w:name="_Toc256000969"/>
      <w:bookmarkStart w:id="3028" w:name="_Toc256000877"/>
      <w:bookmarkStart w:id="3029" w:name="_Toc256000785"/>
      <w:bookmarkStart w:id="3030" w:name="_Toc256000693"/>
      <w:bookmarkStart w:id="3031" w:name="_Toc256000601"/>
      <w:bookmarkStart w:id="3032" w:name="_Toc256000509"/>
      <w:bookmarkStart w:id="3033" w:name="_Toc256000417"/>
      <w:bookmarkStart w:id="3034" w:name="_Toc256000325"/>
      <w:bookmarkStart w:id="3035" w:name="_Toc256000233"/>
      <w:bookmarkStart w:id="3036" w:name="_Toc256000156"/>
      <w:bookmarkStart w:id="3037" w:name="_Toc256000077"/>
      <w:bookmarkStart w:id="3038" w:name="_Toc434223668"/>
      <w:bookmarkStart w:id="3039" w:name="_Toc455594148"/>
      <w:bookmarkStart w:id="3040" w:name="_Toc461443338"/>
      <w:bookmarkStart w:id="3041" w:name="_Toc469498969"/>
      <w:bookmarkStart w:id="3042" w:name="_Toc491340399"/>
      <w:bookmarkStart w:id="3043" w:name="_Toc9613203"/>
      <w:bookmarkStart w:id="3044" w:name="_Toc37173116"/>
      <w:bookmarkStart w:id="3045" w:name="_Toc37243510"/>
      <w:r w:rsidRPr="00AD70DE">
        <w:rPr>
          <w:color w:val="auto"/>
        </w:rPr>
        <w:t>Publication of trial results</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p>
    <w:p w:rsidR="009C32E7" w:rsidRPr="00AD70DE" w:rsidRDefault="009C32E7" w:rsidP="00AD70DE">
      <w:pPr>
        <w:rPr>
          <w:lang w:val="en-GB"/>
        </w:rPr>
      </w:pPr>
      <w:r w:rsidRPr="00AD70DE">
        <w:rPr>
          <w:lang w:val="en-GB"/>
        </w:rPr>
        <w:t>The results of this investigation will be published in an international scientific peer-reviewed journal.</w:t>
      </w:r>
    </w:p>
    <w:p w:rsidR="009C32E7" w:rsidRPr="00AD70DE" w:rsidRDefault="009C32E7" w:rsidP="00AD70DE">
      <w:pPr>
        <w:rPr>
          <w:lang w:val="en-GB"/>
        </w:rPr>
      </w:pPr>
      <w:r w:rsidRPr="00AD70DE">
        <w:rPr>
          <w:lang w:val="en-GB"/>
        </w:rPr>
        <w:br w:type="page"/>
      </w:r>
    </w:p>
    <w:p w:rsidR="009C32E7" w:rsidRPr="00AD70DE" w:rsidRDefault="009C32E7" w:rsidP="00AD70DE">
      <w:pPr>
        <w:pStyle w:val="berschrift1"/>
        <w:spacing w:before="360" w:after="160"/>
      </w:pPr>
      <w:bookmarkStart w:id="3046" w:name="_Toc256002398"/>
      <w:bookmarkStart w:id="3047" w:name="_Toc256002301"/>
      <w:bookmarkStart w:id="3048" w:name="_Toc256002204"/>
      <w:bookmarkStart w:id="3049" w:name="_Toc256002107"/>
      <w:bookmarkStart w:id="3050" w:name="_Toc256002010"/>
      <w:bookmarkStart w:id="3051" w:name="_Toc256001816"/>
      <w:bookmarkStart w:id="3052" w:name="_Toc256001572"/>
      <w:bookmarkStart w:id="3053" w:name="_Toc256001340"/>
      <w:bookmarkStart w:id="3054" w:name="_Toc256001107"/>
      <w:bookmarkStart w:id="3055" w:name="_Toc256000855"/>
      <w:bookmarkStart w:id="3056" w:name="_Toc256000566"/>
      <w:bookmarkStart w:id="3057" w:name="_Toc256000310"/>
      <w:bookmarkStart w:id="3058" w:name="_Toc256000753"/>
      <w:bookmarkStart w:id="3059" w:name="_Toc256001982"/>
      <w:bookmarkStart w:id="3060" w:name="_Toc256001890"/>
      <w:bookmarkStart w:id="3061" w:name="_Toc256001798"/>
      <w:bookmarkStart w:id="3062" w:name="_Toc256001706"/>
      <w:bookmarkStart w:id="3063" w:name="_Toc256001614"/>
      <w:bookmarkStart w:id="3064" w:name="_Toc256001522"/>
      <w:bookmarkStart w:id="3065" w:name="_Toc256001430"/>
      <w:bookmarkStart w:id="3066" w:name="_Toc256001338"/>
      <w:bookmarkStart w:id="3067" w:name="_Toc256001246"/>
      <w:bookmarkStart w:id="3068" w:name="_Toc256001154"/>
      <w:bookmarkStart w:id="3069" w:name="_Toc256001062"/>
      <w:bookmarkStart w:id="3070" w:name="_Toc256000970"/>
      <w:bookmarkStart w:id="3071" w:name="_Toc256000878"/>
      <w:bookmarkStart w:id="3072" w:name="_Toc256000786"/>
      <w:bookmarkStart w:id="3073" w:name="_Toc256000694"/>
      <w:bookmarkStart w:id="3074" w:name="_Toc256000602"/>
      <w:bookmarkStart w:id="3075" w:name="_Toc256000510"/>
      <w:bookmarkStart w:id="3076" w:name="_Toc256000418"/>
      <w:bookmarkStart w:id="3077" w:name="_Toc256000326"/>
      <w:bookmarkStart w:id="3078" w:name="_Toc256000234"/>
      <w:bookmarkStart w:id="3079" w:name="_Toc256000157"/>
      <w:bookmarkStart w:id="3080" w:name="_Toc256000078"/>
      <w:bookmarkStart w:id="3081" w:name="_Toc434223669"/>
      <w:bookmarkStart w:id="3082" w:name="_Toc455594149"/>
      <w:bookmarkStart w:id="3083" w:name="_Toc461443339"/>
      <w:bookmarkStart w:id="3084" w:name="_Toc469498970"/>
      <w:bookmarkStart w:id="3085" w:name="_Toc491340400"/>
      <w:bookmarkStart w:id="3086" w:name="_Toc9613204"/>
      <w:bookmarkStart w:id="3087" w:name="_Toc37173117"/>
      <w:bookmarkStart w:id="3088" w:name="_Toc37243511"/>
      <w:r w:rsidRPr="00AD70DE">
        <w:lastRenderedPageBreak/>
        <w:t>References</w:t>
      </w:r>
      <w:bookmarkStart w:id="3089" w:name="_Toc256000158"/>
      <w:bookmarkStart w:id="3090" w:name="_Toc256000079"/>
      <w:bookmarkStart w:id="3091" w:name="_Toc434223670"/>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p>
    <w:p w:rsidR="009C32E7" w:rsidRPr="00AD70DE" w:rsidRDefault="009C32E7" w:rsidP="00AD70DE">
      <w:pPr>
        <w:pStyle w:val="EndNoteBibliography"/>
        <w:spacing w:after="0"/>
        <w:ind w:left="720" w:hanging="720"/>
      </w:pPr>
      <w:bookmarkStart w:id="3092" w:name="_ENREF_1"/>
      <w:r w:rsidRPr="00AD70DE">
        <w:t>1.</w:t>
      </w:r>
      <w:r w:rsidRPr="00AD70DE">
        <w:tab/>
        <w:t xml:space="preserve">Collins, K.P., K.M. Jackson, and D.L. Gustafson, </w:t>
      </w:r>
      <w:r w:rsidRPr="00AD70DE">
        <w:rPr>
          <w:i/>
        </w:rPr>
        <w:t>Hydroxychloroquine: A Physiologically-Based Pharmacokinetic Model in the Context of Cancer-Related Autophagy Modulation.</w:t>
      </w:r>
      <w:r w:rsidRPr="00AD70DE">
        <w:t xml:space="preserve"> J Pharmacol Exp Ther, 2018. </w:t>
      </w:r>
      <w:r w:rsidRPr="00AD70DE">
        <w:rPr>
          <w:b/>
        </w:rPr>
        <w:t>365</w:t>
      </w:r>
      <w:r w:rsidRPr="00AD70DE">
        <w:t>(3): p. 447-459.</w:t>
      </w:r>
      <w:bookmarkEnd w:id="3092"/>
    </w:p>
    <w:p w:rsidR="009C32E7" w:rsidRPr="00AD70DE" w:rsidRDefault="009C32E7" w:rsidP="00AD70DE">
      <w:pPr>
        <w:pStyle w:val="EndNoteBibliography"/>
        <w:spacing w:after="0"/>
        <w:ind w:left="720" w:hanging="720"/>
      </w:pPr>
      <w:bookmarkStart w:id="3093" w:name="_ENREF_2"/>
      <w:r w:rsidRPr="00AD70DE">
        <w:t>2.</w:t>
      </w:r>
      <w:r w:rsidRPr="00AD70DE">
        <w:tab/>
        <w:t xml:space="preserve">Tett, S., et al., </w:t>
      </w:r>
      <w:r w:rsidRPr="00AD70DE">
        <w:rPr>
          <w:i/>
        </w:rPr>
        <w:t>Insights from pharmacokinetic and pharmacodynamic studies of hydroxychloroquine.</w:t>
      </w:r>
      <w:r w:rsidRPr="00AD70DE">
        <w:t xml:space="preserve"> Agents Actions Suppl, 1993. </w:t>
      </w:r>
      <w:r w:rsidRPr="00AD70DE">
        <w:rPr>
          <w:b/>
        </w:rPr>
        <w:t>44</w:t>
      </w:r>
      <w:r w:rsidRPr="00AD70DE">
        <w:t>: p. 145-90.</w:t>
      </w:r>
      <w:bookmarkEnd w:id="3093"/>
    </w:p>
    <w:p w:rsidR="009C32E7" w:rsidRPr="00AD70DE" w:rsidRDefault="009C32E7" w:rsidP="00AD70DE">
      <w:pPr>
        <w:pStyle w:val="EndNoteBibliography"/>
        <w:spacing w:after="0"/>
        <w:ind w:left="720" w:hanging="720"/>
      </w:pPr>
      <w:bookmarkStart w:id="3094" w:name="_ENREF_3"/>
      <w:r w:rsidRPr="00AD70DE">
        <w:t>3.</w:t>
      </w:r>
      <w:r w:rsidRPr="00AD70DE">
        <w:tab/>
        <w:t xml:space="preserve">Munster, T., et al., </w:t>
      </w:r>
      <w:r w:rsidRPr="00AD70DE">
        <w:rPr>
          <w:i/>
        </w:rPr>
        <w:t>Hydroxychloroquine concentration-response relationships in patients with rheumatoid arthritis.</w:t>
      </w:r>
      <w:r w:rsidRPr="00AD70DE">
        <w:t xml:space="preserve"> Arthritis Rheum, 2002. </w:t>
      </w:r>
      <w:r w:rsidRPr="00AD70DE">
        <w:rPr>
          <w:b/>
        </w:rPr>
        <w:t>46</w:t>
      </w:r>
      <w:r w:rsidRPr="00AD70DE">
        <w:t>(6): p. 1460-9.</w:t>
      </w:r>
      <w:bookmarkEnd w:id="3094"/>
    </w:p>
    <w:p w:rsidR="009C32E7" w:rsidRPr="00AD70DE" w:rsidRDefault="009C32E7" w:rsidP="00AD70DE">
      <w:pPr>
        <w:pStyle w:val="EndNoteBibliography"/>
        <w:spacing w:after="0"/>
        <w:ind w:left="720" w:hanging="720"/>
      </w:pPr>
      <w:bookmarkStart w:id="3095" w:name="_ENREF_4"/>
      <w:r w:rsidRPr="00AD70DE">
        <w:t>4.</w:t>
      </w:r>
      <w:r w:rsidRPr="00AD70DE">
        <w:tab/>
        <w:t xml:space="preserve">Arnaud, L., et al., </w:t>
      </w:r>
      <w:r w:rsidRPr="00AD70DE">
        <w:rPr>
          <w:i/>
        </w:rPr>
        <w:t>The importance of assessing medication exposure to the definition of refractory disease in systemic lupus erythematosus.</w:t>
      </w:r>
      <w:r w:rsidRPr="00AD70DE">
        <w:t xml:space="preserve"> Autoimmun Rev, 2011. </w:t>
      </w:r>
      <w:r w:rsidRPr="00AD70DE">
        <w:rPr>
          <w:b/>
        </w:rPr>
        <w:t>10</w:t>
      </w:r>
      <w:r w:rsidRPr="00AD70DE">
        <w:t>(11): p. 674-8.</w:t>
      </w:r>
      <w:bookmarkEnd w:id="3095"/>
    </w:p>
    <w:p w:rsidR="009C32E7" w:rsidRPr="00AD70DE" w:rsidRDefault="009C32E7" w:rsidP="00AD70DE">
      <w:pPr>
        <w:pStyle w:val="EndNoteBibliography"/>
        <w:spacing w:after="0"/>
        <w:ind w:left="720" w:hanging="720"/>
      </w:pPr>
      <w:bookmarkStart w:id="3096" w:name="_ENREF_5"/>
      <w:r w:rsidRPr="00AD70DE">
        <w:t>5.</w:t>
      </w:r>
      <w:r w:rsidRPr="00AD70DE">
        <w:tab/>
        <w:t xml:space="preserve">Sanofi-Aventis, </w:t>
      </w:r>
      <w:r w:rsidRPr="00AD70DE">
        <w:rPr>
          <w:i/>
        </w:rPr>
        <w:t>Fachinformation Quensyl.</w:t>
      </w:r>
      <w:r w:rsidRPr="00AD70DE">
        <w:t xml:space="preserve"> Februar 2018.</w:t>
      </w:r>
      <w:bookmarkEnd w:id="3096"/>
    </w:p>
    <w:p w:rsidR="009C32E7" w:rsidRPr="00AD70DE" w:rsidRDefault="009C32E7" w:rsidP="00AD70DE">
      <w:pPr>
        <w:pStyle w:val="EndNoteBibliography"/>
        <w:spacing w:after="0"/>
        <w:ind w:left="720" w:hanging="720"/>
      </w:pPr>
      <w:bookmarkStart w:id="3097" w:name="_ENREF_6"/>
      <w:r w:rsidRPr="00AD70DE">
        <w:t>6.</w:t>
      </w:r>
      <w:r w:rsidRPr="00AD70DE">
        <w:tab/>
        <w:t xml:space="preserve">Hexal, </w:t>
      </w:r>
      <w:r w:rsidRPr="00AD70DE">
        <w:rPr>
          <w:i/>
        </w:rPr>
        <w:t>Fachinformation Pantoprazol Hexal 40 mg.</w:t>
      </w:r>
      <w:r w:rsidRPr="00AD70DE">
        <w:t xml:space="preserve"> November 2018.</w:t>
      </w:r>
      <w:bookmarkEnd w:id="3097"/>
    </w:p>
    <w:p w:rsidR="009C32E7" w:rsidRPr="00AD70DE" w:rsidRDefault="009C32E7" w:rsidP="00AD70DE">
      <w:pPr>
        <w:pStyle w:val="EndNoteBibliography"/>
        <w:spacing w:after="0"/>
        <w:ind w:left="720" w:hanging="720"/>
      </w:pPr>
      <w:bookmarkStart w:id="3098" w:name="_ENREF_7"/>
      <w:r w:rsidRPr="00AD70DE">
        <w:t>7.</w:t>
      </w:r>
      <w:r w:rsidRPr="00AD70DE">
        <w:tab/>
        <w:t xml:space="preserve">Halama, B., et al., </w:t>
      </w:r>
      <w:r w:rsidRPr="00AD70DE">
        <w:rPr>
          <w:i/>
        </w:rPr>
        <w:t>A nanogram dose of the CYP3A probe substrate midazolam to evaluate drug interactions.</w:t>
      </w:r>
      <w:r w:rsidRPr="00AD70DE">
        <w:t xml:space="preserve"> Clin Pharmacol Ther, 2013. </w:t>
      </w:r>
      <w:r w:rsidRPr="00AD70DE">
        <w:rPr>
          <w:b/>
        </w:rPr>
        <w:t>93</w:t>
      </w:r>
      <w:r w:rsidRPr="00AD70DE">
        <w:t>(6): p. 564-71.</w:t>
      </w:r>
      <w:bookmarkEnd w:id="3098"/>
    </w:p>
    <w:p w:rsidR="009C32E7" w:rsidRPr="00AD70DE" w:rsidRDefault="009C32E7" w:rsidP="00AD70DE">
      <w:pPr>
        <w:pStyle w:val="EndNoteBibliography"/>
        <w:spacing w:after="0"/>
        <w:ind w:left="720" w:hanging="720"/>
      </w:pPr>
      <w:bookmarkStart w:id="3099" w:name="_ENREF_8"/>
      <w:r w:rsidRPr="00AD70DE">
        <w:t>8.</w:t>
      </w:r>
      <w:r w:rsidRPr="00AD70DE">
        <w:tab/>
        <w:t xml:space="preserve">Hohmann, N., et al., </w:t>
      </w:r>
      <w:r w:rsidRPr="00AD70DE">
        <w:rPr>
          <w:i/>
        </w:rPr>
        <w:t>Midazolam microdose to determine systemic and pre-systemic metabolic CYP3A activity in humans.</w:t>
      </w:r>
      <w:r w:rsidRPr="00AD70DE">
        <w:t xml:space="preserve"> Br J Clin Pharmacol, 2015. </w:t>
      </w:r>
      <w:r w:rsidRPr="00AD70DE">
        <w:rPr>
          <w:b/>
        </w:rPr>
        <w:t>79</w:t>
      </w:r>
      <w:r w:rsidRPr="00AD70DE">
        <w:t>(2): p. 278-85.</w:t>
      </w:r>
      <w:bookmarkEnd w:id="3099"/>
    </w:p>
    <w:p w:rsidR="009C32E7" w:rsidRPr="00AD70DE" w:rsidRDefault="009C32E7" w:rsidP="00AD70DE">
      <w:pPr>
        <w:pStyle w:val="EndNoteBibliography"/>
        <w:spacing w:after="0"/>
        <w:ind w:left="720" w:hanging="720"/>
      </w:pPr>
      <w:bookmarkStart w:id="3100" w:name="_ENREF_9"/>
      <w:r w:rsidRPr="00AD70DE">
        <w:t>9.</w:t>
      </w:r>
      <w:r w:rsidRPr="00AD70DE">
        <w:tab/>
        <w:t xml:space="preserve">Vay, M., et al., </w:t>
      </w:r>
      <w:r w:rsidRPr="00AD70DE">
        <w:rPr>
          <w:i/>
        </w:rPr>
        <w:t>Oral Yohimbine as a New Probe Drug to Predict CYP2D6 Activity: Results of a Fixed-Sequence Phase I Trial.</w:t>
      </w:r>
      <w:r w:rsidRPr="00AD70DE">
        <w:t xml:space="preserve"> Clin Pharmacokinet, 2020</w:t>
      </w:r>
      <w:r w:rsidR="00692C91" w:rsidRPr="00AD70DE">
        <w:t>, epub ahead of print</w:t>
      </w:r>
      <w:bookmarkEnd w:id="3100"/>
    </w:p>
    <w:p w:rsidR="009C32E7" w:rsidRPr="00AD70DE" w:rsidRDefault="009C32E7" w:rsidP="00AD70DE">
      <w:pPr>
        <w:pStyle w:val="EndNoteBibliography"/>
        <w:spacing w:after="0"/>
        <w:ind w:left="720" w:hanging="720"/>
      </w:pPr>
      <w:bookmarkStart w:id="3101" w:name="_ENREF_10"/>
      <w:r w:rsidRPr="00AD70DE">
        <w:t>10.</w:t>
      </w:r>
      <w:r w:rsidRPr="00AD70DE">
        <w:tab/>
        <w:t xml:space="preserve">Yao, X., et al., </w:t>
      </w:r>
      <w:r w:rsidRPr="00AD70DE">
        <w:rPr>
          <w:i/>
        </w:rPr>
        <w:t>In Vitro Antiviral Activity and Projection of Optimized Dosing Design of Hydroxychloroquine for the Treatment of Severe Acute Respiratory Syndrome Coronavirus 2 (SARS-CoV-2).</w:t>
      </w:r>
      <w:r w:rsidRPr="00AD70DE">
        <w:t xml:space="preserve"> Clin Infect Dis, 2020</w:t>
      </w:r>
      <w:r w:rsidR="00692C91" w:rsidRPr="00AD70DE">
        <w:t>, epub ahead of print</w:t>
      </w:r>
      <w:r w:rsidRPr="00AD70DE">
        <w:t>.</w:t>
      </w:r>
      <w:bookmarkEnd w:id="3101"/>
    </w:p>
    <w:p w:rsidR="009C32E7" w:rsidRPr="00AD70DE" w:rsidRDefault="009C32E7" w:rsidP="00AD70DE">
      <w:pPr>
        <w:pStyle w:val="EndNoteBibliography"/>
        <w:spacing w:after="0"/>
        <w:ind w:left="720" w:hanging="720"/>
      </w:pPr>
      <w:bookmarkStart w:id="3102" w:name="_ENREF_11"/>
      <w:r w:rsidRPr="00AD70DE">
        <w:t>11.</w:t>
      </w:r>
      <w:r w:rsidRPr="00AD70DE">
        <w:tab/>
        <w:t xml:space="preserve">Burhenne, J., et al., </w:t>
      </w:r>
      <w:r w:rsidRPr="00AD70DE">
        <w:rPr>
          <w:i/>
        </w:rPr>
        <w:t>Quantification of femtomolar concentrations of the CYP3A substrate midazolam and its main metabolite 1'-hydroxymidazolam in human plasma using ultra performance liquid chromatography coupled to tandem mass spectrometry.</w:t>
      </w:r>
      <w:r w:rsidRPr="00AD70DE">
        <w:t xml:space="preserve"> Anal Bioanal Chem, 2012. </w:t>
      </w:r>
      <w:r w:rsidRPr="00AD70DE">
        <w:rPr>
          <w:b/>
        </w:rPr>
        <w:t>402</w:t>
      </w:r>
      <w:r w:rsidRPr="00AD70DE">
        <w:t>(7): p. 2439-50.</w:t>
      </w:r>
      <w:bookmarkEnd w:id="3102"/>
    </w:p>
    <w:p w:rsidR="009C32E7" w:rsidRPr="00AD70DE" w:rsidRDefault="009C32E7" w:rsidP="00AD70DE">
      <w:pPr>
        <w:pStyle w:val="EndNoteBibliography"/>
        <w:spacing w:after="0"/>
        <w:ind w:left="720" w:hanging="720"/>
      </w:pPr>
      <w:bookmarkStart w:id="3103" w:name="_ENREF_12"/>
      <w:r w:rsidRPr="00AD70DE">
        <w:t>12.</w:t>
      </w:r>
      <w:r w:rsidRPr="00AD70DE">
        <w:tab/>
        <w:t xml:space="preserve">Vay, M., et al., </w:t>
      </w:r>
      <w:r w:rsidRPr="00AD70DE">
        <w:rPr>
          <w:i/>
        </w:rPr>
        <w:t>Quantification of microdosed oral yohimbine and its major metabolite in human plasma in the picogram range.</w:t>
      </w:r>
      <w:r w:rsidRPr="00AD70DE">
        <w:t xml:space="preserve"> Bioanalysis, 2019. </w:t>
      </w:r>
      <w:r w:rsidRPr="00AD70DE">
        <w:rPr>
          <w:b/>
        </w:rPr>
        <w:t>11</w:t>
      </w:r>
      <w:r w:rsidRPr="00AD70DE">
        <w:t>(16): p. 1459-1467.</w:t>
      </w:r>
      <w:bookmarkEnd w:id="3103"/>
    </w:p>
    <w:p w:rsidR="009C32E7" w:rsidRPr="00AD70DE" w:rsidRDefault="009C32E7" w:rsidP="00AD70DE">
      <w:pPr>
        <w:pStyle w:val="EndNoteBibliography"/>
        <w:spacing w:after="0"/>
        <w:ind w:left="720" w:hanging="720"/>
      </w:pPr>
      <w:bookmarkStart w:id="3104" w:name="_ENREF_13"/>
      <w:r w:rsidRPr="00AD70DE">
        <w:t>13.</w:t>
      </w:r>
      <w:r w:rsidRPr="00AD70DE">
        <w:tab/>
      </w:r>
      <w:r w:rsidR="00EE4BD1" w:rsidRPr="00AD70DE">
        <w:rPr>
          <w:rFonts w:cs="AdvGulliv-R"/>
          <w:szCs w:val="16"/>
        </w:rPr>
        <w:t>US Department of Health and Human Services. Guidance for industry, bioanalytical method validation- Draft Version. www.fda.gov/downloads/Drugs/GuidanceComplianceRegulatoryInformation/Guidances/ucm070107.pdf&gt; (2013)</w:t>
      </w:r>
      <w:r w:rsidR="00EE4BD1" w:rsidRPr="00AD70DE">
        <w:t>. Accessed 09 April</w:t>
      </w:r>
      <w:r w:rsidR="001B4A46" w:rsidRPr="00AD70DE">
        <w:t xml:space="preserve"> </w:t>
      </w:r>
      <w:r w:rsidR="00EE4BD1" w:rsidRPr="00AD70DE">
        <w:t>2020.</w:t>
      </w:r>
      <w:r w:rsidRPr="00AD70DE">
        <w:t>.</w:t>
      </w:r>
      <w:bookmarkEnd w:id="3104"/>
    </w:p>
    <w:p w:rsidR="009C32E7" w:rsidRPr="00AD70DE" w:rsidRDefault="009C32E7" w:rsidP="00AD70DE">
      <w:pPr>
        <w:pStyle w:val="EndNoteBibliography"/>
        <w:spacing w:after="0"/>
        <w:ind w:left="720" w:hanging="720"/>
      </w:pPr>
      <w:bookmarkStart w:id="3105" w:name="_ENREF_14"/>
      <w:r w:rsidRPr="00AD70DE">
        <w:t>14.</w:t>
      </w:r>
      <w:r w:rsidRPr="00AD70DE">
        <w:tab/>
      </w:r>
      <w:r w:rsidR="001B4A46" w:rsidRPr="00AD70DE">
        <w:t>European Medicines Agency. Guideline on bioanalytical method validation. www.ema.europa.eu/docs/en_GB/document_library/Scientific_guideline/2011/08/WC500109686.pdf&gt; (2012). Accessed 09 April 2020.</w:t>
      </w:r>
      <w:r w:rsidRPr="00AD70DE">
        <w:t>.</w:t>
      </w:r>
      <w:bookmarkEnd w:id="3105"/>
    </w:p>
    <w:p w:rsidR="009C32E7" w:rsidRPr="00AD70DE" w:rsidRDefault="009C32E7" w:rsidP="00AD70DE">
      <w:pPr>
        <w:pStyle w:val="EndNoteBibliography"/>
        <w:spacing w:after="0"/>
        <w:ind w:left="720" w:hanging="720"/>
      </w:pPr>
      <w:bookmarkStart w:id="3106" w:name="_ENREF_15"/>
      <w:r w:rsidRPr="00AD70DE">
        <w:t>15.</w:t>
      </w:r>
      <w:r w:rsidRPr="00AD70DE">
        <w:tab/>
        <w:t xml:space="preserve">Carmichael, S.J., B. Charles, and S.E. Tett, </w:t>
      </w:r>
      <w:r w:rsidRPr="00AD70DE">
        <w:rPr>
          <w:i/>
        </w:rPr>
        <w:t>Population pharmacokinetics of hydroxychloroquine in patients with rheumatoid arthritis.</w:t>
      </w:r>
      <w:r w:rsidRPr="00AD70DE">
        <w:t xml:space="preserve"> Ther Drug Monit, 2003. </w:t>
      </w:r>
      <w:r w:rsidRPr="00AD70DE">
        <w:rPr>
          <w:b/>
        </w:rPr>
        <w:t>25</w:t>
      </w:r>
      <w:r w:rsidRPr="00AD70DE">
        <w:t>(6): p. 671-81.</w:t>
      </w:r>
      <w:bookmarkEnd w:id="3106"/>
    </w:p>
    <w:p w:rsidR="009C32E7" w:rsidRPr="00AD70DE" w:rsidRDefault="009C32E7" w:rsidP="00AD70DE">
      <w:pPr>
        <w:pStyle w:val="EndNoteBibliography"/>
        <w:spacing w:after="0"/>
        <w:ind w:left="720" w:hanging="720"/>
        <w:rPr>
          <w:i/>
        </w:rPr>
      </w:pPr>
      <w:bookmarkStart w:id="3107" w:name="_ENREF_16"/>
      <w:r w:rsidRPr="00AD70DE">
        <w:t>16.</w:t>
      </w:r>
      <w:r w:rsidRPr="00AD70DE">
        <w:tab/>
      </w:r>
      <w:r w:rsidR="001B4A46" w:rsidRPr="00AD70DE">
        <w:rPr>
          <w:i/>
        </w:rPr>
        <w:t xml:space="preserve">CHEPLAPHARM Arzneimittel GmbH, Dormicum® V 5 mg / 5 ml, </w:t>
      </w:r>
      <w:r w:rsidR="00692C91" w:rsidRPr="00AD70DE">
        <w:rPr>
          <w:i/>
        </w:rPr>
        <w:t>Oc</w:t>
      </w:r>
      <w:r w:rsidR="001B4A46" w:rsidRPr="00AD70DE">
        <w:rPr>
          <w:i/>
        </w:rPr>
        <w:t>tober 2019</w:t>
      </w:r>
      <w:r w:rsidRPr="00AD70DE">
        <w:rPr>
          <w:i/>
        </w:rPr>
        <w:t>.</w:t>
      </w:r>
      <w:bookmarkEnd w:id="3107"/>
    </w:p>
    <w:p w:rsidR="009C32E7" w:rsidRPr="00AD70DE" w:rsidRDefault="009C32E7" w:rsidP="00AD70DE">
      <w:pPr>
        <w:pStyle w:val="EndNoteBibliography"/>
        <w:spacing w:after="0"/>
        <w:ind w:left="720" w:hanging="720"/>
      </w:pPr>
      <w:bookmarkStart w:id="3108" w:name="_ENREF_17"/>
      <w:r w:rsidRPr="00AD70DE">
        <w:t>17.</w:t>
      </w:r>
      <w:r w:rsidRPr="00AD70DE">
        <w:tab/>
      </w:r>
      <w:r w:rsidR="00692C91" w:rsidRPr="00AD70DE">
        <w:t xml:space="preserve">Deutsche </w:t>
      </w:r>
      <w:r w:rsidRPr="00AD70DE">
        <w:t>Homöopathie-Union,</w:t>
      </w:r>
      <w:r w:rsidR="00692C91" w:rsidRPr="00AD70DE">
        <w:rPr>
          <w:i/>
        </w:rPr>
        <w:t xml:space="preserve">Gebrauchsinformation </w:t>
      </w:r>
      <w:r w:rsidRPr="00AD70DE">
        <w:rPr>
          <w:i/>
        </w:rPr>
        <w:t>Yohimbinum hydrochloricum D 4</w:t>
      </w:r>
      <w:r w:rsidRPr="00AD70DE">
        <w:t xml:space="preserve">, </w:t>
      </w:r>
      <w:r w:rsidR="00692C91" w:rsidRPr="00AD70DE">
        <w:t>undated</w:t>
      </w:r>
      <w:r w:rsidRPr="00AD70DE">
        <w:t>.</w:t>
      </w:r>
      <w:bookmarkEnd w:id="3108"/>
    </w:p>
    <w:p w:rsidR="009C32E7" w:rsidRPr="00AD70DE" w:rsidRDefault="009C32E7" w:rsidP="00AD70DE">
      <w:pPr>
        <w:pStyle w:val="EndNoteBibliography"/>
        <w:ind w:left="720" w:hanging="720"/>
      </w:pPr>
      <w:bookmarkStart w:id="3109" w:name="_ENREF_18"/>
      <w:r w:rsidRPr="00AD70DE">
        <w:t>18.</w:t>
      </w:r>
      <w:r w:rsidRPr="00AD70DE">
        <w:tab/>
        <w:t xml:space="preserve">Cheplapharm, </w:t>
      </w:r>
      <w:r w:rsidR="00833801" w:rsidRPr="00AD70DE">
        <w:rPr>
          <w:i/>
        </w:rPr>
        <w:t>Fachinformation</w:t>
      </w:r>
      <w:r w:rsidR="00833801" w:rsidRPr="00AD70DE">
        <w:t xml:space="preserve"> </w:t>
      </w:r>
      <w:r w:rsidRPr="00AD70DE">
        <w:rPr>
          <w:i/>
        </w:rPr>
        <w:t>YOCON-GLENWOOD 5mg Tabl (Yohimbine).</w:t>
      </w:r>
      <w:r w:rsidRPr="00AD70DE">
        <w:t xml:space="preserve"> </w:t>
      </w:r>
      <w:r w:rsidR="00692C91" w:rsidRPr="00AD70DE">
        <w:t xml:space="preserve">February </w:t>
      </w:r>
      <w:r w:rsidRPr="00AD70DE">
        <w:t>2017.</w:t>
      </w:r>
      <w:bookmarkEnd w:id="3109"/>
    </w:p>
    <w:p w:rsidR="009C32E7" w:rsidRPr="00AD70DE" w:rsidRDefault="009C32E7" w:rsidP="00AD70DE">
      <w:pPr>
        <w:spacing w:after="0" w:line="240" w:lineRule="auto"/>
        <w:rPr>
          <w:color w:val="000000"/>
          <w:sz w:val="32"/>
          <w:szCs w:val="32"/>
          <w:lang w:val="en-GB"/>
        </w:rPr>
      </w:pPr>
      <w:r w:rsidRPr="00AD70DE">
        <w:rPr>
          <w:lang w:val="en-GB"/>
        </w:rPr>
        <w:br w:type="page"/>
      </w:r>
    </w:p>
    <w:p w:rsidR="009C32E7" w:rsidRPr="00AD70DE" w:rsidRDefault="009C32E7" w:rsidP="00AD70DE">
      <w:pPr>
        <w:pStyle w:val="berschrift1"/>
        <w:spacing w:before="360" w:after="160"/>
      </w:pPr>
      <w:bookmarkStart w:id="3110" w:name="_Toc256002399"/>
      <w:bookmarkStart w:id="3111" w:name="_Toc256002302"/>
      <w:bookmarkStart w:id="3112" w:name="_Toc256002205"/>
      <w:bookmarkStart w:id="3113" w:name="_Toc256002108"/>
      <w:bookmarkStart w:id="3114" w:name="_Toc256002011"/>
      <w:bookmarkStart w:id="3115" w:name="_Toc256001817"/>
      <w:bookmarkStart w:id="3116" w:name="_Toc256001573"/>
      <w:bookmarkStart w:id="3117" w:name="_Toc256001341"/>
      <w:bookmarkStart w:id="3118" w:name="_Toc256001108"/>
      <w:bookmarkStart w:id="3119" w:name="_Toc256000862"/>
      <w:bookmarkStart w:id="3120" w:name="_Toc256000567"/>
      <w:bookmarkStart w:id="3121" w:name="_Toc256000760"/>
      <w:bookmarkStart w:id="3122" w:name="_Toc256001983"/>
      <w:bookmarkStart w:id="3123" w:name="_Toc256001891"/>
      <w:bookmarkStart w:id="3124" w:name="_Toc256001799"/>
      <w:bookmarkStart w:id="3125" w:name="_Toc256001707"/>
      <w:bookmarkStart w:id="3126" w:name="_Toc256001615"/>
      <w:bookmarkStart w:id="3127" w:name="_Toc256001523"/>
      <w:bookmarkStart w:id="3128" w:name="_Toc256001431"/>
      <w:bookmarkStart w:id="3129" w:name="_Toc256001339"/>
      <w:bookmarkStart w:id="3130" w:name="_Toc256001247"/>
      <w:bookmarkStart w:id="3131" w:name="_Toc256001155"/>
      <w:bookmarkStart w:id="3132" w:name="_Toc256001063"/>
      <w:bookmarkStart w:id="3133" w:name="_Toc256000971"/>
      <w:bookmarkStart w:id="3134" w:name="_Toc256000879"/>
      <w:bookmarkStart w:id="3135" w:name="_Toc256000787"/>
      <w:bookmarkStart w:id="3136" w:name="_Toc256000695"/>
      <w:bookmarkStart w:id="3137" w:name="_Toc256000603"/>
      <w:bookmarkStart w:id="3138" w:name="_Toc256000511"/>
      <w:bookmarkStart w:id="3139" w:name="_Toc256000419"/>
      <w:bookmarkStart w:id="3140" w:name="_Toc256000327"/>
      <w:bookmarkStart w:id="3141" w:name="_Toc256000235"/>
      <w:bookmarkStart w:id="3142" w:name="_Toc455594150"/>
      <w:bookmarkStart w:id="3143" w:name="_Toc461443340"/>
      <w:bookmarkStart w:id="3144" w:name="_Toc469498971"/>
      <w:bookmarkStart w:id="3145" w:name="_Toc491340401"/>
      <w:bookmarkStart w:id="3146" w:name="_Toc37173118"/>
      <w:bookmarkStart w:id="3147" w:name="_Toc37243512"/>
      <w:bookmarkStart w:id="3148" w:name="_Toc256000319"/>
      <w:bookmarkStart w:id="3149" w:name="_Toc9613205"/>
      <w:r w:rsidRPr="00AD70DE">
        <w:lastRenderedPageBreak/>
        <w:t>Appendix</w:t>
      </w:r>
      <w:bookmarkEnd w:id="3089"/>
      <w:bookmarkEnd w:id="3090"/>
      <w:bookmarkEnd w:id="3091"/>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rsidR="009C32E7" w:rsidRPr="00AD70DE" w:rsidRDefault="009C32E7" w:rsidP="00AD70DE">
      <w:pPr>
        <w:pStyle w:val="berschrift2"/>
        <w:spacing w:before="240"/>
        <w:ind w:left="567" w:hanging="567"/>
        <w:rPr>
          <w:color w:val="auto"/>
        </w:rPr>
      </w:pPr>
      <w:bookmarkStart w:id="3150" w:name="_Toc256002400"/>
      <w:bookmarkStart w:id="3151" w:name="_Toc256002303"/>
      <w:bookmarkStart w:id="3152" w:name="_Toc256002206"/>
      <w:bookmarkStart w:id="3153" w:name="_Toc256002109"/>
      <w:bookmarkStart w:id="3154" w:name="_Toc256002012"/>
      <w:bookmarkStart w:id="3155" w:name="_Toc256001821"/>
      <w:bookmarkStart w:id="3156" w:name="_Toc256001574"/>
      <w:bookmarkStart w:id="3157" w:name="_Toc256001342"/>
      <w:bookmarkStart w:id="3158" w:name="_Toc256001109"/>
      <w:bookmarkStart w:id="3159" w:name="_Toc256000871"/>
      <w:bookmarkStart w:id="3160" w:name="_Toc256000571"/>
      <w:bookmarkStart w:id="3161" w:name="_Toc37173119"/>
      <w:bookmarkStart w:id="3162" w:name="_Toc37243513"/>
      <w:r w:rsidRPr="00AD70DE">
        <w:rPr>
          <w:color w:val="auto"/>
        </w:rPr>
        <w:t>Definition of AEs</w:t>
      </w:r>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p>
    <w:p w:rsidR="009C32E7" w:rsidRPr="00AD70DE" w:rsidRDefault="009C32E7" w:rsidP="00AD70DE">
      <w:pPr>
        <w:rPr>
          <w:b/>
          <w:u w:val="single"/>
          <w:lang w:val="en-GB"/>
        </w:rPr>
      </w:pPr>
      <w:r w:rsidRPr="00AD70DE">
        <w:rPr>
          <w:b/>
          <w:u w:val="single"/>
          <w:lang w:val="en-GB"/>
        </w:rPr>
        <w:t xml:space="preserve">Definition of an AE </w:t>
      </w:r>
    </w:p>
    <w:p w:rsidR="009C32E7" w:rsidRPr="00AD70DE" w:rsidRDefault="009C32E7" w:rsidP="00AD70DE">
      <w:pPr>
        <w:rPr>
          <w:lang w:val="en-GB"/>
        </w:rPr>
      </w:pPr>
      <w:r w:rsidRPr="00AD70DE">
        <w:rPr>
          <w:lang w:val="en-GB"/>
        </w:rPr>
        <w:t>An AE is any unfavourable and unintended sign (including an abnormal laboratory finding), symptom, or disease temporally associated with the use of a medical treatment or procedure that may or may not be considered related to the medical treatment or procedure. Every change in laboratory values of vital function of the participant that leads to discontinuation of the trial medication or discontinuation of the trial should be regarded as AE.</w:t>
      </w:r>
    </w:p>
    <w:p w:rsidR="009C32E7" w:rsidRPr="00AD70DE" w:rsidRDefault="009C32E7" w:rsidP="00AD70DE">
      <w:pPr>
        <w:rPr>
          <w:b/>
          <w:u w:val="single"/>
          <w:lang w:val="en-GB"/>
        </w:rPr>
      </w:pPr>
      <w:r w:rsidRPr="00AD70DE">
        <w:rPr>
          <w:b/>
          <w:u w:val="single"/>
          <w:lang w:val="en-GB"/>
        </w:rPr>
        <w:t>Definition of a SAE</w:t>
      </w:r>
    </w:p>
    <w:p w:rsidR="009C32E7" w:rsidRPr="00AD70DE" w:rsidRDefault="009C32E7" w:rsidP="00AD70DE">
      <w:pPr>
        <w:rPr>
          <w:lang w:val="en-GB"/>
        </w:rPr>
      </w:pPr>
      <w:r w:rsidRPr="00AD70DE">
        <w:rPr>
          <w:lang w:val="en-GB"/>
        </w:rPr>
        <w:t>A SAE is an AE that at any time during the period of observation:</w:t>
      </w:r>
    </w:p>
    <w:p w:rsidR="009C32E7" w:rsidRPr="00AD70DE" w:rsidRDefault="009C32E7" w:rsidP="00AD70DE">
      <w:pPr>
        <w:pStyle w:val="Listenabsatz"/>
        <w:numPr>
          <w:ilvl w:val="0"/>
          <w:numId w:val="5"/>
        </w:numPr>
        <w:jc w:val="both"/>
        <w:rPr>
          <w:lang w:val="en-GB"/>
        </w:rPr>
      </w:pPr>
      <w:r w:rsidRPr="00AD70DE">
        <w:rPr>
          <w:lang w:val="en-GB"/>
        </w:rPr>
        <w:t>results in death,</w:t>
      </w:r>
    </w:p>
    <w:p w:rsidR="009C32E7" w:rsidRPr="00AD70DE" w:rsidRDefault="009C32E7" w:rsidP="00AD70DE">
      <w:pPr>
        <w:pStyle w:val="Listenabsatz"/>
        <w:numPr>
          <w:ilvl w:val="0"/>
          <w:numId w:val="5"/>
        </w:numPr>
        <w:jc w:val="both"/>
        <w:rPr>
          <w:lang w:val="en-GB"/>
        </w:rPr>
      </w:pPr>
      <w:r w:rsidRPr="00AD70DE">
        <w:rPr>
          <w:lang w:val="en-GB"/>
        </w:rPr>
        <w:t>is immediately life-threatening,</w:t>
      </w:r>
    </w:p>
    <w:p w:rsidR="009C32E7" w:rsidRPr="00AD70DE" w:rsidRDefault="009C32E7" w:rsidP="00AD70DE">
      <w:pPr>
        <w:pStyle w:val="Listenabsatz"/>
        <w:numPr>
          <w:ilvl w:val="0"/>
          <w:numId w:val="5"/>
        </w:numPr>
        <w:jc w:val="both"/>
        <w:rPr>
          <w:lang w:val="en-GB"/>
        </w:rPr>
      </w:pPr>
      <w:r w:rsidRPr="00AD70DE">
        <w:rPr>
          <w:lang w:val="en-GB"/>
        </w:rPr>
        <w:t>requires or prolongs hospitalisation,</w:t>
      </w:r>
    </w:p>
    <w:p w:rsidR="009C32E7" w:rsidRPr="00AD70DE" w:rsidRDefault="009C32E7" w:rsidP="00AD70DE">
      <w:pPr>
        <w:pStyle w:val="Listenabsatz"/>
        <w:numPr>
          <w:ilvl w:val="0"/>
          <w:numId w:val="5"/>
        </w:numPr>
        <w:jc w:val="both"/>
        <w:rPr>
          <w:lang w:val="en-GB"/>
        </w:rPr>
      </w:pPr>
      <w:r w:rsidRPr="00AD70DE">
        <w:rPr>
          <w:lang w:val="en-GB"/>
        </w:rPr>
        <w:t>results in persistent or significant disability or incapacity,</w:t>
      </w:r>
    </w:p>
    <w:p w:rsidR="009C32E7" w:rsidRPr="00AD70DE" w:rsidRDefault="009C32E7" w:rsidP="00AD70DE">
      <w:pPr>
        <w:pStyle w:val="Listenabsatz"/>
        <w:numPr>
          <w:ilvl w:val="0"/>
          <w:numId w:val="5"/>
        </w:numPr>
        <w:jc w:val="both"/>
        <w:rPr>
          <w:lang w:val="en-GB"/>
        </w:rPr>
      </w:pPr>
      <w:r w:rsidRPr="00AD70DE">
        <w:rPr>
          <w:lang w:val="en-GB"/>
        </w:rPr>
        <w:t>involves congenital anomaly,</w:t>
      </w:r>
    </w:p>
    <w:p w:rsidR="009C32E7" w:rsidRPr="00AD70DE" w:rsidRDefault="009C32E7" w:rsidP="00AD70DE">
      <w:pPr>
        <w:pStyle w:val="Listenabsatz"/>
        <w:numPr>
          <w:ilvl w:val="0"/>
          <w:numId w:val="5"/>
        </w:numPr>
        <w:jc w:val="both"/>
        <w:rPr>
          <w:lang w:val="en-GB"/>
        </w:rPr>
      </w:pPr>
      <w:r w:rsidRPr="00AD70DE">
        <w:rPr>
          <w:lang w:val="en-GB"/>
        </w:rPr>
        <w:t>is medically important, or</w:t>
      </w:r>
    </w:p>
    <w:p w:rsidR="009C32E7" w:rsidRPr="00AD70DE" w:rsidRDefault="009C32E7" w:rsidP="00AD70DE">
      <w:pPr>
        <w:pStyle w:val="Listenabsatz"/>
        <w:numPr>
          <w:ilvl w:val="0"/>
          <w:numId w:val="5"/>
        </w:numPr>
        <w:jc w:val="both"/>
        <w:rPr>
          <w:lang w:val="en-GB"/>
        </w:rPr>
      </w:pPr>
      <w:proofErr w:type="gramStart"/>
      <w:r w:rsidRPr="00AD70DE">
        <w:rPr>
          <w:lang w:val="en-GB"/>
        </w:rPr>
        <w:t>requires</w:t>
      </w:r>
      <w:proofErr w:type="gramEnd"/>
      <w:r w:rsidRPr="00AD70DE">
        <w:rPr>
          <w:lang w:val="en-GB"/>
        </w:rPr>
        <w:t xml:space="preserve"> medical intervention to prevent permanent impairment or damage.</w:t>
      </w:r>
    </w:p>
    <w:p w:rsidR="009C32E7" w:rsidRPr="00AD70DE" w:rsidRDefault="009C32E7" w:rsidP="00AD70DE">
      <w:pPr>
        <w:rPr>
          <w:b/>
          <w:u w:val="single"/>
          <w:lang w:val="en-GB"/>
        </w:rPr>
      </w:pPr>
      <w:r w:rsidRPr="00AD70DE">
        <w:rPr>
          <w:b/>
          <w:u w:val="single"/>
          <w:lang w:val="en-GB"/>
        </w:rPr>
        <w:t>Definition of unexpected AE</w:t>
      </w:r>
    </w:p>
    <w:p w:rsidR="009C32E7" w:rsidRPr="00AD70DE" w:rsidRDefault="009C32E7" w:rsidP="00AD70DE">
      <w:pPr>
        <w:rPr>
          <w:lang w:val="en-GB"/>
        </w:rPr>
      </w:pPr>
      <w:r w:rsidRPr="00AD70DE">
        <w:rPr>
          <w:lang w:val="en-GB"/>
        </w:rPr>
        <w:t>An unexpected AE is an AE of which the nature and intensity is not consistent with the applicable product information.</w:t>
      </w:r>
    </w:p>
    <w:p w:rsidR="009C32E7" w:rsidRPr="00AD70DE" w:rsidRDefault="009C32E7" w:rsidP="00AD70DE">
      <w:pPr>
        <w:rPr>
          <w:b/>
          <w:u w:val="single"/>
          <w:lang w:val="en-GB"/>
        </w:rPr>
      </w:pPr>
      <w:r w:rsidRPr="00AD70DE">
        <w:rPr>
          <w:b/>
          <w:u w:val="single"/>
          <w:lang w:val="en-GB"/>
        </w:rPr>
        <w:t>Definition of suspected unexpected serious adverse reaction (SUSAR)</w:t>
      </w:r>
    </w:p>
    <w:p w:rsidR="009C32E7" w:rsidRPr="00AD70DE" w:rsidRDefault="009C32E7" w:rsidP="00AD70DE">
      <w:pPr>
        <w:rPr>
          <w:lang w:val="en-GB"/>
        </w:rPr>
      </w:pPr>
      <w:r w:rsidRPr="00AD70DE">
        <w:rPr>
          <w:lang w:val="en-GB"/>
        </w:rPr>
        <w:t>A SUSAR is a suspected unexpected serious adverse reaction. All AE that are suspected to be related to an IMP and that are both unexpected and serious are considered to be SUSARs.</w:t>
      </w:r>
    </w:p>
    <w:p w:rsidR="009C32E7" w:rsidRPr="00AD70DE" w:rsidRDefault="009C32E7" w:rsidP="00AD70DE">
      <w:pPr>
        <w:rPr>
          <w:b/>
          <w:u w:val="single"/>
          <w:lang w:val="en-GB"/>
        </w:rPr>
      </w:pPr>
      <w:r w:rsidRPr="00AD70DE">
        <w:rPr>
          <w:b/>
          <w:u w:val="single"/>
          <w:lang w:val="en-GB"/>
        </w:rPr>
        <w:t>Intensity</w:t>
      </w:r>
    </w:p>
    <w:p w:rsidR="009C32E7" w:rsidRPr="00AD70DE" w:rsidRDefault="009C32E7" w:rsidP="00AD70DE">
      <w:pPr>
        <w:rPr>
          <w:lang w:val="en-GB"/>
        </w:rPr>
      </w:pPr>
      <w:r w:rsidRPr="00AD70DE">
        <w:rPr>
          <w:lang w:val="en-GB"/>
        </w:rPr>
        <w:t>The assessment of intensity will be based on the investigator’s clinical judgment guided by the pertinent version of the Common Terminology Criteria for AEs (CTCAE) using the following definitions:</w:t>
      </w:r>
    </w:p>
    <w:p w:rsidR="009C32E7" w:rsidRPr="00AD70DE" w:rsidRDefault="009C32E7" w:rsidP="00AD70DE">
      <w:pPr>
        <w:rPr>
          <w:lang w:val="en-GB"/>
        </w:rPr>
      </w:pPr>
      <w:r w:rsidRPr="00AD70DE">
        <w:rPr>
          <w:u w:val="single"/>
          <w:lang w:val="en-GB"/>
        </w:rPr>
        <w:t>Mild:</w:t>
      </w:r>
      <w:r w:rsidRPr="00AD70DE">
        <w:rPr>
          <w:lang w:val="en-GB"/>
        </w:rPr>
        <w:t xml:space="preserve"> an event that is easily tolerated by the participant, causing minimal discomfort and not interfering with activities of daily life: asymptomatic or mild symptoms; clinical or diagnostic observations only; not requiring intervention.</w:t>
      </w:r>
    </w:p>
    <w:p w:rsidR="009C32E7" w:rsidRPr="00AD70DE" w:rsidRDefault="009C32E7" w:rsidP="00AD70DE">
      <w:pPr>
        <w:rPr>
          <w:lang w:val="en-GB"/>
        </w:rPr>
      </w:pPr>
      <w:r w:rsidRPr="00AD70DE">
        <w:rPr>
          <w:u w:val="single"/>
          <w:lang w:val="en-GB"/>
        </w:rPr>
        <w:t>Moderate:</w:t>
      </w:r>
      <w:r w:rsidRPr="00AD70DE">
        <w:rPr>
          <w:lang w:val="en-GB"/>
        </w:rPr>
        <w:t xml:space="preserve"> an event that is sufficiently discomforting to interfere with normal activities of daily life: minimal, local or non-invasive intervention indicated.</w:t>
      </w:r>
    </w:p>
    <w:p w:rsidR="009C32E7" w:rsidRPr="00AD70DE" w:rsidRDefault="009C32E7" w:rsidP="00AD70DE">
      <w:pPr>
        <w:rPr>
          <w:lang w:val="en-GB"/>
        </w:rPr>
      </w:pPr>
      <w:r w:rsidRPr="00AD70DE">
        <w:rPr>
          <w:u w:val="single"/>
          <w:lang w:val="en-GB"/>
        </w:rPr>
        <w:t>Severe:</w:t>
      </w:r>
      <w:r w:rsidRPr="00AD70DE">
        <w:rPr>
          <w:lang w:val="en-GB"/>
        </w:rPr>
        <w:t xml:space="preserve"> An event that prevents normal activities of daily life: Severe or medically significant but not immediately life-threatening; hospitalization or prolongation of hospitalization indicated.</w:t>
      </w:r>
    </w:p>
    <w:p w:rsidR="009C32E7" w:rsidRPr="00AD70DE" w:rsidRDefault="009C32E7" w:rsidP="00AD70DE">
      <w:pPr>
        <w:rPr>
          <w:lang w:val="en-GB"/>
        </w:rPr>
      </w:pPr>
      <w:r w:rsidRPr="00AD70DE">
        <w:rPr>
          <w:u w:val="single"/>
          <w:lang w:val="en-GB"/>
        </w:rPr>
        <w:t>Life-threatening</w:t>
      </w:r>
      <w:r w:rsidRPr="00AD70DE">
        <w:rPr>
          <w:lang w:val="en-GB"/>
        </w:rPr>
        <w:t>: Life-threatening consequences, urgent intervention indicated.</w:t>
      </w:r>
    </w:p>
    <w:p w:rsidR="009C32E7" w:rsidRPr="00AD70DE" w:rsidRDefault="009C32E7" w:rsidP="00AD70DE">
      <w:pPr>
        <w:rPr>
          <w:lang w:val="en-GB"/>
        </w:rPr>
      </w:pPr>
      <w:r w:rsidRPr="00AD70DE">
        <w:rPr>
          <w:u w:val="single"/>
          <w:lang w:val="en-GB"/>
        </w:rPr>
        <w:lastRenderedPageBreak/>
        <w:t>Death:</w:t>
      </w:r>
      <w:r w:rsidRPr="00AD70DE">
        <w:rPr>
          <w:lang w:val="en-GB"/>
        </w:rPr>
        <w:t xml:space="preserve"> Death related to AE.</w:t>
      </w:r>
    </w:p>
    <w:p w:rsidR="009C32E7" w:rsidRPr="00AD70DE" w:rsidRDefault="009C32E7" w:rsidP="00AD70DE">
      <w:pPr>
        <w:rPr>
          <w:b/>
          <w:u w:val="single"/>
          <w:lang w:val="en-GB"/>
        </w:rPr>
      </w:pPr>
    </w:p>
    <w:p w:rsidR="009C32E7" w:rsidRPr="00AD70DE" w:rsidRDefault="009C32E7" w:rsidP="00AD70DE">
      <w:pPr>
        <w:rPr>
          <w:b/>
          <w:u w:val="single"/>
          <w:lang w:val="en-GB"/>
        </w:rPr>
      </w:pPr>
      <w:r w:rsidRPr="00AD70DE">
        <w:rPr>
          <w:b/>
          <w:u w:val="single"/>
          <w:lang w:val="en-GB"/>
        </w:rPr>
        <w:t>Causality</w:t>
      </w:r>
    </w:p>
    <w:p w:rsidR="009C32E7" w:rsidRPr="00AD70DE" w:rsidRDefault="009C32E7" w:rsidP="00AD70DE">
      <w:pPr>
        <w:rPr>
          <w:lang w:val="en-GB"/>
        </w:rPr>
      </w:pPr>
      <w:r w:rsidRPr="00AD70DE">
        <w:rPr>
          <w:lang w:val="en-GB"/>
        </w:rPr>
        <w:t xml:space="preserve">The causal relationship of an AE to treatment (treatment indicates all IMPs including placebo) has to be assessed in accordance with WHO criteria in a modified version: Edwards IR, </w:t>
      </w:r>
      <w:proofErr w:type="spellStart"/>
      <w:r w:rsidRPr="00AD70DE">
        <w:rPr>
          <w:lang w:val="en-GB"/>
        </w:rPr>
        <w:t>Biriell</w:t>
      </w:r>
      <w:proofErr w:type="spellEnd"/>
      <w:r w:rsidRPr="00AD70DE">
        <w:rPr>
          <w:lang w:val="en-GB"/>
        </w:rPr>
        <w:t xml:space="preserve"> C. Harmonisation in pharmacovigilance. Drug </w:t>
      </w:r>
      <w:proofErr w:type="spellStart"/>
      <w:r w:rsidRPr="00AD70DE">
        <w:rPr>
          <w:lang w:val="en-GB"/>
        </w:rPr>
        <w:t>Saf</w:t>
      </w:r>
      <w:proofErr w:type="spellEnd"/>
      <w:r w:rsidRPr="00AD70DE">
        <w:rPr>
          <w:lang w:val="en-GB"/>
        </w:rPr>
        <w:t xml:space="preserve"> 2004</w:t>
      </w:r>
      <w:proofErr w:type="gramStart"/>
      <w:r w:rsidRPr="00AD70DE">
        <w:rPr>
          <w:lang w:val="en-GB"/>
        </w:rPr>
        <w:t>;10:93</w:t>
      </w:r>
      <w:proofErr w:type="gramEnd"/>
      <w:r w:rsidRPr="00AD70DE">
        <w:rPr>
          <w:lang w:val="en-GB"/>
        </w:rPr>
        <w:t>-102.</w:t>
      </w:r>
    </w:p>
    <w:p w:rsidR="009C32E7" w:rsidRPr="00AD70DE" w:rsidRDefault="009C32E7" w:rsidP="00AD70DE">
      <w:pPr>
        <w:rPr>
          <w:lang w:val="en-GB"/>
        </w:rPr>
      </w:pPr>
      <w:r w:rsidRPr="00AD70DE">
        <w:rPr>
          <w:lang w:val="en-GB"/>
        </w:rPr>
        <w:t>The investigator will use clinical judgment to determine the relationship. Alternative causes, such as natural history of the underlying diseases, concomitant therapy, other risk factors etc. will be considered. The investigator will also consult the summary of product characteristics. The relationship between the drug and the occurrence of each AE will be evaluated and classified as:</w:t>
      </w:r>
    </w:p>
    <w:p w:rsidR="009C32E7" w:rsidRPr="00AD70DE" w:rsidRDefault="009C32E7" w:rsidP="00AD70DE">
      <w:pPr>
        <w:rPr>
          <w:lang w:val="en-GB"/>
        </w:rPr>
      </w:pPr>
      <w:r w:rsidRPr="00AD70DE">
        <w:rPr>
          <w:u w:val="single"/>
          <w:lang w:val="en-GB"/>
        </w:rPr>
        <w:t>Certain:</w:t>
      </w:r>
      <w:r w:rsidRPr="00AD70DE">
        <w:rPr>
          <w:lang w:val="en-GB"/>
        </w:rPr>
        <w:t xml:space="preserve"> A clinical event, including laboratory test abnormality, occurs in a plausible time relationship to drug administration, and cannot be explained by concurrent disease or other drugs or chemicals. The response to withdrawal of the drug (</w:t>
      </w:r>
      <w:proofErr w:type="spellStart"/>
      <w:r w:rsidRPr="00AD70DE">
        <w:rPr>
          <w:lang w:val="en-GB"/>
        </w:rPr>
        <w:t>dechallenge</w:t>
      </w:r>
      <w:proofErr w:type="spellEnd"/>
      <w:r w:rsidRPr="00AD70DE">
        <w:rPr>
          <w:lang w:val="en-GB"/>
        </w:rPr>
        <w:t xml:space="preserve">) should be clinically plausible. The event must be definitive pharmacologically or phenomenologically, using a satisfactory </w:t>
      </w:r>
      <w:proofErr w:type="spellStart"/>
      <w:r w:rsidRPr="00AD70DE">
        <w:rPr>
          <w:lang w:val="en-GB"/>
        </w:rPr>
        <w:t>rechallenge</w:t>
      </w:r>
      <w:proofErr w:type="spellEnd"/>
      <w:r w:rsidRPr="00AD70DE">
        <w:rPr>
          <w:lang w:val="en-GB"/>
        </w:rPr>
        <w:t xml:space="preserve"> procedure if necessary.</w:t>
      </w:r>
    </w:p>
    <w:p w:rsidR="009C32E7" w:rsidRPr="00AD70DE" w:rsidRDefault="009C32E7" w:rsidP="00AD70DE">
      <w:pPr>
        <w:rPr>
          <w:lang w:val="en-GB"/>
        </w:rPr>
      </w:pPr>
      <w:r w:rsidRPr="00AD70DE">
        <w:rPr>
          <w:u w:val="single"/>
          <w:lang w:val="en-GB"/>
        </w:rPr>
        <w:t>Probable:</w:t>
      </w:r>
      <w:r w:rsidRPr="00AD70DE">
        <w:rPr>
          <w:lang w:val="en-GB"/>
        </w:rPr>
        <w:t xml:space="preserve"> A clinical event, including laboratory test abnormality, with a reasonable time sequence to administration of the drug, unlikely to be attributed to concurrent disease or other drugs or chemicals, and which follows a clinically reasonable response on withdrawal (</w:t>
      </w:r>
      <w:proofErr w:type="spellStart"/>
      <w:r w:rsidRPr="00AD70DE">
        <w:rPr>
          <w:lang w:val="en-GB"/>
        </w:rPr>
        <w:t>dechallenge</w:t>
      </w:r>
      <w:proofErr w:type="spellEnd"/>
      <w:r w:rsidRPr="00AD70DE">
        <w:rPr>
          <w:lang w:val="en-GB"/>
        </w:rPr>
        <w:t xml:space="preserve">). </w:t>
      </w:r>
      <w:proofErr w:type="spellStart"/>
      <w:r w:rsidRPr="00AD70DE">
        <w:rPr>
          <w:lang w:val="en-GB"/>
        </w:rPr>
        <w:t>Rechallenge</w:t>
      </w:r>
      <w:proofErr w:type="spellEnd"/>
      <w:r w:rsidRPr="00AD70DE">
        <w:rPr>
          <w:lang w:val="en-GB"/>
        </w:rPr>
        <w:t xml:space="preserve"> information is not required to fulfil this definition.</w:t>
      </w:r>
    </w:p>
    <w:p w:rsidR="009C32E7" w:rsidRPr="00AD70DE" w:rsidRDefault="009C32E7" w:rsidP="00AD70DE">
      <w:pPr>
        <w:rPr>
          <w:lang w:val="en-GB"/>
        </w:rPr>
      </w:pPr>
      <w:r w:rsidRPr="00AD70DE">
        <w:rPr>
          <w:u w:val="single"/>
          <w:lang w:val="en-GB"/>
        </w:rPr>
        <w:t>Possible:</w:t>
      </w:r>
      <w:r w:rsidRPr="00AD70DE">
        <w:rPr>
          <w:lang w:val="en-GB"/>
        </w:rPr>
        <w:t xml:space="preserve"> A clinical event, including laboratory test abnormality, with a reasonable time sequence to administration of the drug, but which could also be explained by concurrent disease or other drugs or chemicals. Information on drug withdrawal may be lacking or unclear.</w:t>
      </w:r>
    </w:p>
    <w:p w:rsidR="009C32E7" w:rsidRPr="00AD70DE" w:rsidRDefault="009C32E7" w:rsidP="00AD70DE">
      <w:pPr>
        <w:rPr>
          <w:lang w:val="en-GB"/>
        </w:rPr>
      </w:pPr>
      <w:r w:rsidRPr="00AD70DE">
        <w:rPr>
          <w:u w:val="single"/>
          <w:lang w:val="en-GB"/>
        </w:rPr>
        <w:t>Unlikely:</w:t>
      </w:r>
      <w:r w:rsidRPr="00AD70DE">
        <w:rPr>
          <w:lang w:val="en-GB"/>
        </w:rPr>
        <w:t xml:space="preserve"> A clinical event, including laboratory test abnormality, with a temporal relationship to drug administration which makes a causal relationship improbable, and in which other drugs, chemicals, or underlying disease provide plausible explanations.</w:t>
      </w:r>
    </w:p>
    <w:p w:rsidR="009C32E7" w:rsidRPr="00AD70DE" w:rsidRDefault="009C32E7" w:rsidP="00AD70DE">
      <w:pPr>
        <w:rPr>
          <w:lang w:val="en-GB"/>
        </w:rPr>
      </w:pPr>
      <w:r w:rsidRPr="00AD70DE">
        <w:rPr>
          <w:u w:val="single"/>
          <w:lang w:val="en-GB"/>
        </w:rPr>
        <w:t>Unclassified:</w:t>
      </w:r>
      <w:r w:rsidRPr="00AD70DE">
        <w:rPr>
          <w:lang w:val="en-GB"/>
        </w:rPr>
        <w:t xml:space="preserve"> A clinical event, including laboratory test abnormality, reported as an adverse reaction, about which more data are essential for a proper assessment or the additional data are under examination.</w:t>
      </w:r>
    </w:p>
    <w:p w:rsidR="009C32E7" w:rsidRPr="00AD70DE" w:rsidRDefault="009C32E7" w:rsidP="00AD70DE">
      <w:pPr>
        <w:rPr>
          <w:lang w:val="en-GB"/>
        </w:rPr>
      </w:pPr>
      <w:r w:rsidRPr="00AD70DE">
        <w:rPr>
          <w:u w:val="single"/>
          <w:lang w:val="en-GB"/>
        </w:rPr>
        <w:t>Unclassifiable:</w:t>
      </w:r>
      <w:r w:rsidRPr="00AD70DE">
        <w:rPr>
          <w:lang w:val="en-GB"/>
        </w:rPr>
        <w:t xml:space="preserve"> A report suggesting an adverse reaction which cannot be judged because information is insufficient or contradictory, and which cannot be supplemented or verified.</w:t>
      </w:r>
    </w:p>
    <w:p w:rsidR="009C32E7" w:rsidRPr="00AD70DE" w:rsidRDefault="009C32E7" w:rsidP="00AD70DE">
      <w:pPr>
        <w:rPr>
          <w:lang w:val="en-GB"/>
        </w:rPr>
      </w:pPr>
      <w:r w:rsidRPr="00AD70DE">
        <w:rPr>
          <w:u w:val="single"/>
          <w:lang w:val="en-GB"/>
        </w:rPr>
        <w:t>Not related:</w:t>
      </w:r>
      <w:r w:rsidRPr="00AD70DE">
        <w:rPr>
          <w:lang w:val="en-GB"/>
        </w:rPr>
        <w:t xml:space="preserve"> A clinical event, including laboratory test abnormality, with no relationship to drug administration and in which other drugs, chemicals, or circumstances provide plausible explanations.</w:t>
      </w:r>
    </w:p>
    <w:p w:rsidR="009C32E7" w:rsidRPr="00AD70DE" w:rsidRDefault="009C32E7" w:rsidP="00AD70DE">
      <w:pPr>
        <w:rPr>
          <w:b/>
          <w:u w:val="single"/>
          <w:lang w:val="en-GB"/>
        </w:rPr>
      </w:pPr>
      <w:r w:rsidRPr="00AD70DE">
        <w:rPr>
          <w:b/>
          <w:u w:val="single"/>
          <w:lang w:val="en-GB"/>
        </w:rPr>
        <w:t xml:space="preserve">Reporting of SAE by the investigator </w:t>
      </w:r>
    </w:p>
    <w:p w:rsidR="009C32E7" w:rsidRPr="00AD70DE" w:rsidRDefault="009C32E7" w:rsidP="00AD70DE">
      <w:pPr>
        <w:rPr>
          <w:lang w:val="en-GB"/>
        </w:rPr>
      </w:pPr>
      <w:r w:rsidRPr="00AD70DE">
        <w:rPr>
          <w:lang w:val="en-GB"/>
        </w:rPr>
        <w:t>All SAEs must be reported by the investigator to the responsible Safety Officer within 24 h after the SAE becomes known using the “SAE” form. The initial report must be as complete as possible including details of the current illness and (serious) AE and an assessment of the causal relationship between the event and the trial medication. (The investigator must also inform the site monitor in all cases).</w:t>
      </w:r>
    </w:p>
    <w:p w:rsidR="009C32E7" w:rsidRPr="00AD70DE" w:rsidRDefault="009C32E7" w:rsidP="00AD70DE">
      <w:pPr>
        <w:rPr>
          <w:b/>
          <w:u w:val="single"/>
          <w:lang w:val="en-GB"/>
        </w:rPr>
      </w:pPr>
      <w:r w:rsidRPr="00AD70DE">
        <w:rPr>
          <w:b/>
          <w:u w:val="single"/>
          <w:lang w:val="en-GB"/>
        </w:rPr>
        <w:lastRenderedPageBreak/>
        <w:t>SUSAR - Responsibilities of the PI</w:t>
      </w:r>
    </w:p>
    <w:p w:rsidR="009C32E7" w:rsidRPr="00AD70DE" w:rsidRDefault="009C32E7" w:rsidP="00AD70DE">
      <w:pPr>
        <w:rPr>
          <w:lang w:val="en-GB"/>
        </w:rPr>
      </w:pPr>
      <w:r w:rsidRPr="00AD70DE">
        <w:rPr>
          <w:lang w:val="en-GB"/>
        </w:rPr>
        <w:t>The PI is responsible for the notification of the SUSAR to the EC and competent authority of each concerned Member State of findings that could adversely affect the health of the participants, impact on the conduct of the trial, or alter the competent authorisation to continue the trial in accordance with Directive 2001/20/EC.</w:t>
      </w:r>
    </w:p>
    <w:p w:rsidR="009C32E7" w:rsidRPr="00AD70DE" w:rsidRDefault="009C32E7" w:rsidP="00AD70DE">
      <w:pPr>
        <w:rPr>
          <w:lang w:val="en-GB"/>
        </w:rPr>
      </w:pPr>
      <w:r w:rsidRPr="00AD70DE">
        <w:rPr>
          <w:lang w:val="en-GB"/>
        </w:rPr>
        <w:t xml:space="preserve">In the case of SUSARs that resulted in death or were life-threatening the competent authority, the EC, and all investigators should be notified as soon as possible but no later than 7 calendar days after the PI has first knowledge of the minimum criteria for expedited reporting. In each case relevant follow-up information should be sought and a report completed as soon as possible. It should be communicated to the competent authority and the EC in the concerned Member States within an additional eight calendar days. All other SUSARs and safety issues must be reported to the competent authority and the EC in the concerned Member States as soon as possible but no later than 15 calendar days after the PI has first knowledge of the minimum criteria for expedited reporting. Further relevant follow-up information should be given as soon as possible. Person-related data have to be </w:t>
      </w:r>
      <w:proofErr w:type="spellStart"/>
      <w:r w:rsidRPr="00AD70DE">
        <w:rPr>
          <w:lang w:val="en-GB"/>
        </w:rPr>
        <w:t>pseudonymised</w:t>
      </w:r>
      <w:proofErr w:type="spellEnd"/>
      <w:r w:rsidRPr="00AD70DE">
        <w:rPr>
          <w:lang w:val="en-GB"/>
        </w:rPr>
        <w:t xml:space="preserve"> by using a participant code number.</w:t>
      </w:r>
    </w:p>
    <w:p w:rsidR="009C32E7" w:rsidRPr="00AD70DE" w:rsidRDefault="009C32E7" w:rsidP="00AD70DE">
      <w:pPr>
        <w:rPr>
          <w:lang w:val="en-GB"/>
        </w:rPr>
      </w:pPr>
      <w:r w:rsidRPr="00AD70DE">
        <w:rPr>
          <w:lang w:val="en-GB"/>
        </w:rPr>
        <w:t>Each SUSAR has to be reported as a single case to the competent authority in the concerned Member State. Expedited reporting is not usually required: for reactions which are serious but expected.</w:t>
      </w:r>
    </w:p>
    <w:p w:rsidR="009C32E7" w:rsidRPr="00AD70DE" w:rsidRDefault="009C32E7" w:rsidP="00AD70DE">
      <w:pPr>
        <w:rPr>
          <w:lang w:val="en-GB"/>
        </w:rPr>
      </w:pPr>
      <w:r w:rsidRPr="00AD70DE">
        <w:rPr>
          <w:lang w:val="en-GB"/>
        </w:rPr>
        <w:t>For regulatory purposes, initial expedited reports should be submitted within the time limits as soon as the minimum following criteria are met:</w:t>
      </w:r>
    </w:p>
    <w:p w:rsidR="009C32E7" w:rsidRPr="00AD70DE" w:rsidRDefault="009C32E7" w:rsidP="00AD70DE">
      <w:pPr>
        <w:pStyle w:val="Listenabsatz"/>
        <w:numPr>
          <w:ilvl w:val="0"/>
          <w:numId w:val="6"/>
        </w:numPr>
        <w:jc w:val="both"/>
        <w:rPr>
          <w:lang w:val="en-GB"/>
        </w:rPr>
      </w:pPr>
      <w:r w:rsidRPr="00AD70DE">
        <w:rPr>
          <w:lang w:val="en-GB"/>
        </w:rPr>
        <w:t>A suspected IMP</w:t>
      </w:r>
    </w:p>
    <w:p w:rsidR="009C32E7" w:rsidRPr="00AD70DE" w:rsidRDefault="009C32E7" w:rsidP="00AD70DE">
      <w:pPr>
        <w:pStyle w:val="Listenabsatz"/>
        <w:numPr>
          <w:ilvl w:val="0"/>
          <w:numId w:val="6"/>
        </w:numPr>
        <w:jc w:val="both"/>
        <w:rPr>
          <w:lang w:val="en-GB"/>
        </w:rPr>
      </w:pPr>
      <w:r w:rsidRPr="00AD70DE">
        <w:rPr>
          <w:lang w:val="en-GB"/>
        </w:rPr>
        <w:t>An identifiable participant (</w:t>
      </w:r>
      <w:proofErr w:type="spellStart"/>
      <w:r w:rsidRPr="00AD70DE">
        <w:rPr>
          <w:lang w:val="en-GB"/>
        </w:rPr>
        <w:t>pseudonymised</w:t>
      </w:r>
      <w:proofErr w:type="spellEnd"/>
      <w:r w:rsidRPr="00AD70DE">
        <w:rPr>
          <w:lang w:val="en-GB"/>
        </w:rPr>
        <w:t>)</w:t>
      </w:r>
    </w:p>
    <w:p w:rsidR="009C32E7" w:rsidRPr="00AD70DE" w:rsidRDefault="009C32E7" w:rsidP="00AD70DE">
      <w:pPr>
        <w:pStyle w:val="Listenabsatz"/>
        <w:numPr>
          <w:ilvl w:val="0"/>
          <w:numId w:val="6"/>
        </w:numPr>
        <w:jc w:val="both"/>
        <w:rPr>
          <w:lang w:val="en-GB"/>
        </w:rPr>
      </w:pPr>
      <w:r w:rsidRPr="00AD70DE">
        <w:rPr>
          <w:lang w:val="en-GB"/>
        </w:rPr>
        <w:t>An AE assessed as serious and unexpected, and for which there is a reasonable suspected causal relationship</w:t>
      </w:r>
    </w:p>
    <w:p w:rsidR="009C32E7" w:rsidRPr="00AD70DE" w:rsidRDefault="009C32E7" w:rsidP="00AD70DE">
      <w:pPr>
        <w:pStyle w:val="Listenabsatz"/>
        <w:numPr>
          <w:ilvl w:val="0"/>
          <w:numId w:val="6"/>
        </w:numPr>
        <w:jc w:val="both"/>
        <w:rPr>
          <w:lang w:val="en-GB"/>
        </w:rPr>
      </w:pPr>
      <w:r w:rsidRPr="00AD70DE">
        <w:rPr>
          <w:lang w:val="en-GB"/>
        </w:rPr>
        <w:t>An identifiable reporting source</w:t>
      </w:r>
    </w:p>
    <w:p w:rsidR="009C32E7" w:rsidRPr="00AD70DE" w:rsidRDefault="009C32E7" w:rsidP="00AD70DE">
      <w:pPr>
        <w:pStyle w:val="Listenabsatz"/>
        <w:numPr>
          <w:ilvl w:val="0"/>
          <w:numId w:val="6"/>
        </w:numPr>
        <w:jc w:val="both"/>
        <w:rPr>
          <w:lang w:val="en-GB"/>
        </w:rPr>
      </w:pPr>
      <w:r w:rsidRPr="00AD70DE">
        <w:rPr>
          <w:lang w:val="en-GB"/>
        </w:rPr>
        <w:t>A unique trial identification number (EudraCT number)</w:t>
      </w:r>
    </w:p>
    <w:p w:rsidR="009C32E7" w:rsidRPr="00AD70DE" w:rsidRDefault="009C32E7" w:rsidP="00AD70DE">
      <w:pPr>
        <w:pStyle w:val="Listenabsatz"/>
        <w:numPr>
          <w:ilvl w:val="0"/>
          <w:numId w:val="6"/>
        </w:numPr>
        <w:jc w:val="both"/>
        <w:rPr>
          <w:lang w:val="en-GB"/>
        </w:rPr>
      </w:pPr>
      <w:r w:rsidRPr="00AD70DE">
        <w:rPr>
          <w:lang w:val="en-GB"/>
        </w:rPr>
        <w:t>An assessment of causality, intensity, data on the started therapies, and the outcome.</w:t>
      </w:r>
    </w:p>
    <w:p w:rsidR="009C32E7" w:rsidRPr="00AD70DE" w:rsidRDefault="009C32E7" w:rsidP="00AD70DE">
      <w:pPr>
        <w:rPr>
          <w:b/>
          <w:u w:val="single"/>
          <w:lang w:val="en-GB"/>
        </w:rPr>
      </w:pPr>
      <w:r w:rsidRPr="00AD70DE">
        <w:rPr>
          <w:b/>
          <w:u w:val="single"/>
          <w:lang w:val="en-GB"/>
        </w:rPr>
        <w:t>Outcome of an AE</w:t>
      </w:r>
    </w:p>
    <w:p w:rsidR="009C32E7" w:rsidRPr="00AD70DE" w:rsidRDefault="009C32E7" w:rsidP="00AD70DE">
      <w:pPr>
        <w:rPr>
          <w:lang w:val="en-GB"/>
        </w:rPr>
      </w:pPr>
      <w:r w:rsidRPr="00AD70DE">
        <w:rPr>
          <w:lang w:val="en-GB"/>
        </w:rPr>
        <w:t>The outcome of an AE at the time of the last observation will be classified as:</w:t>
      </w:r>
    </w:p>
    <w:p w:rsidR="009C32E7" w:rsidRPr="00AD70DE" w:rsidRDefault="009C32E7" w:rsidP="00AD70DE">
      <w:pPr>
        <w:rPr>
          <w:lang w:val="en-GB"/>
        </w:rPr>
      </w:pPr>
      <w:r w:rsidRPr="00AD70DE">
        <w:rPr>
          <w:lang w:val="en-GB"/>
        </w:rPr>
        <w:t>‘</w:t>
      </w:r>
      <w:r w:rsidRPr="00AD70DE">
        <w:rPr>
          <w:u w:val="single"/>
          <w:lang w:val="en-GB"/>
        </w:rPr>
        <w:t>Recovered/resolved’:</w:t>
      </w:r>
      <w:r w:rsidRPr="00AD70DE">
        <w:rPr>
          <w:lang w:val="en-GB"/>
        </w:rPr>
        <w:t xml:space="preserve"> All signs and symptoms of an AE disappeared without any sequels at the time of the last interrogation.</w:t>
      </w:r>
    </w:p>
    <w:p w:rsidR="009C32E7" w:rsidRPr="00AD70DE" w:rsidRDefault="009C32E7" w:rsidP="00AD70DE">
      <w:pPr>
        <w:rPr>
          <w:u w:val="single"/>
          <w:lang w:val="en-GB"/>
        </w:rPr>
      </w:pPr>
      <w:r w:rsidRPr="00AD70DE">
        <w:rPr>
          <w:u w:val="single"/>
          <w:lang w:val="en-GB"/>
        </w:rPr>
        <w:t xml:space="preserve">‘Recovering/resolving’: </w:t>
      </w:r>
      <w:r w:rsidRPr="00AD70DE">
        <w:rPr>
          <w:lang w:val="en-GB"/>
        </w:rPr>
        <w:t>The intensity of signs and symptoms has been diminishing and/or their clinical pattern has been changing up to the time of the last interrogation in a way typical for its resolution.</w:t>
      </w:r>
    </w:p>
    <w:p w:rsidR="009C32E7" w:rsidRPr="00AD70DE" w:rsidRDefault="009C32E7" w:rsidP="00AD70DE">
      <w:pPr>
        <w:rPr>
          <w:lang w:val="en-GB"/>
        </w:rPr>
      </w:pPr>
      <w:r w:rsidRPr="00AD70DE">
        <w:rPr>
          <w:u w:val="single"/>
          <w:lang w:val="en-GB"/>
        </w:rPr>
        <w:t>‘Not recovered/not resolved’:</w:t>
      </w:r>
      <w:r w:rsidRPr="00AD70DE">
        <w:rPr>
          <w:lang w:val="en-GB"/>
        </w:rPr>
        <w:t xml:space="preserve"> Signs and symptoms of an AE are mostly unchanged at the time of the last interrogation. </w:t>
      </w:r>
    </w:p>
    <w:p w:rsidR="009C32E7" w:rsidRPr="00AD70DE" w:rsidRDefault="009C32E7" w:rsidP="00AD70DE">
      <w:pPr>
        <w:rPr>
          <w:u w:val="single"/>
          <w:lang w:val="en-GB"/>
        </w:rPr>
      </w:pPr>
      <w:r w:rsidRPr="00AD70DE">
        <w:rPr>
          <w:u w:val="single"/>
          <w:lang w:val="en-GB"/>
        </w:rPr>
        <w:t>‘Recovered/resolved with sequel’:</w:t>
      </w:r>
      <w:r w:rsidRPr="00AD70DE">
        <w:rPr>
          <w:lang w:val="en-GB"/>
        </w:rPr>
        <w:t xml:space="preserve"> Actual signs / symptoms of an AE disappeared but there are sequels related to AE.</w:t>
      </w:r>
    </w:p>
    <w:p w:rsidR="009C32E7" w:rsidRPr="00AD70DE" w:rsidRDefault="009C32E7" w:rsidP="00AD70DE">
      <w:pPr>
        <w:rPr>
          <w:lang w:val="en-GB"/>
        </w:rPr>
      </w:pPr>
      <w:r w:rsidRPr="00AD70DE">
        <w:rPr>
          <w:u w:val="single"/>
          <w:lang w:val="en-GB"/>
        </w:rPr>
        <w:t>‘Fatal’:</w:t>
      </w:r>
      <w:r w:rsidRPr="00AD70DE">
        <w:rPr>
          <w:lang w:val="en-GB"/>
        </w:rPr>
        <w:t xml:space="preserve"> Resulting in death. If there are more than one AE only the AE leading to death (possibly related) will be characterised as “fatal”.</w:t>
      </w:r>
    </w:p>
    <w:p w:rsidR="009C32E7" w:rsidRPr="00AD70DE" w:rsidRDefault="009C32E7" w:rsidP="00AD70DE">
      <w:pPr>
        <w:rPr>
          <w:lang w:val="en-GB"/>
        </w:rPr>
      </w:pPr>
      <w:r w:rsidRPr="00AD70DE">
        <w:rPr>
          <w:u w:val="single"/>
          <w:lang w:val="en-GB"/>
        </w:rPr>
        <w:lastRenderedPageBreak/>
        <w:t>‘Unknown’:</w:t>
      </w:r>
      <w:r w:rsidRPr="00AD70DE">
        <w:rPr>
          <w:lang w:val="en-GB"/>
        </w:rPr>
        <w:t xml:space="preserve"> The outcome is unknown or implausible and the information cannot be supplemented or verified.</w:t>
      </w:r>
    </w:p>
    <w:p w:rsidR="009C32E7" w:rsidRPr="00AD70DE" w:rsidRDefault="009C32E7" w:rsidP="00AD70DE">
      <w:pPr>
        <w:tabs>
          <w:tab w:val="left" w:pos="1985"/>
        </w:tabs>
        <w:rPr>
          <w:b/>
          <w:u w:val="single"/>
          <w:lang w:val="en-GB"/>
        </w:rPr>
      </w:pPr>
      <w:r w:rsidRPr="00AD70DE">
        <w:rPr>
          <w:b/>
          <w:u w:val="single"/>
          <w:lang w:val="en-GB"/>
        </w:rPr>
        <w:t>Action taken with IMP</w:t>
      </w:r>
    </w:p>
    <w:p w:rsidR="009C32E7" w:rsidRPr="00AD70DE" w:rsidRDefault="009C32E7" w:rsidP="00AD70DE">
      <w:pPr>
        <w:tabs>
          <w:tab w:val="left" w:pos="1985"/>
        </w:tabs>
        <w:rPr>
          <w:lang w:val="en-GB"/>
        </w:rPr>
      </w:pPr>
      <w:r w:rsidRPr="00AD70DE">
        <w:rPr>
          <w:lang w:val="en-GB"/>
        </w:rPr>
        <w:t>The action taken with IMP will be assigned to one of the following categories:</w:t>
      </w:r>
    </w:p>
    <w:p w:rsidR="009C32E7" w:rsidRPr="00AD70DE" w:rsidRDefault="009C32E7" w:rsidP="00AD70DE">
      <w:pPr>
        <w:tabs>
          <w:tab w:val="left" w:pos="2410"/>
        </w:tabs>
        <w:ind w:left="2410" w:hanging="2013"/>
        <w:rPr>
          <w:lang w:val="en-GB"/>
        </w:rPr>
      </w:pPr>
      <w:r w:rsidRPr="00AD70DE">
        <w:rPr>
          <w:lang w:val="en-GB"/>
        </w:rPr>
        <w:t>‘Dose not changed’:</w:t>
      </w:r>
      <w:r w:rsidRPr="00AD70DE">
        <w:rPr>
          <w:lang w:val="en-GB"/>
        </w:rPr>
        <w:tab/>
      </w:r>
      <w:proofErr w:type="gramStart"/>
      <w:r w:rsidRPr="00AD70DE">
        <w:rPr>
          <w:lang w:val="en-GB"/>
        </w:rPr>
        <w:t>no</w:t>
      </w:r>
      <w:proofErr w:type="gramEnd"/>
      <w:r w:rsidRPr="00AD70DE">
        <w:rPr>
          <w:lang w:val="en-GB"/>
        </w:rPr>
        <w:t xml:space="preserve"> change in the dose of IMP.</w:t>
      </w:r>
    </w:p>
    <w:p w:rsidR="009C32E7" w:rsidRPr="00AD70DE" w:rsidRDefault="009C32E7" w:rsidP="00AD70DE">
      <w:pPr>
        <w:tabs>
          <w:tab w:val="left" w:pos="2410"/>
        </w:tabs>
        <w:ind w:left="2410" w:hanging="2013"/>
        <w:rPr>
          <w:lang w:val="en-GB"/>
        </w:rPr>
      </w:pPr>
      <w:r w:rsidRPr="00AD70DE">
        <w:rPr>
          <w:lang w:val="en-GB"/>
        </w:rPr>
        <w:t xml:space="preserve">‘Dose reduced’: </w:t>
      </w:r>
      <w:r w:rsidRPr="00AD70DE">
        <w:rPr>
          <w:lang w:val="en-GB"/>
        </w:rPr>
        <w:tab/>
        <w:t>reduction of IMP dose.</w:t>
      </w:r>
    </w:p>
    <w:p w:rsidR="009C32E7" w:rsidRPr="00AD70DE" w:rsidRDefault="009C32E7" w:rsidP="00AD70DE">
      <w:pPr>
        <w:tabs>
          <w:tab w:val="left" w:pos="2410"/>
        </w:tabs>
        <w:ind w:left="2410" w:hanging="2013"/>
        <w:rPr>
          <w:lang w:val="en-GB"/>
        </w:rPr>
      </w:pPr>
      <w:r w:rsidRPr="00AD70DE">
        <w:rPr>
          <w:lang w:val="en-GB"/>
        </w:rPr>
        <w:t xml:space="preserve">‘Dose increased’: </w:t>
      </w:r>
      <w:r w:rsidRPr="00AD70DE">
        <w:rPr>
          <w:lang w:val="en-GB"/>
        </w:rPr>
        <w:tab/>
        <w:t>increase in IMP dose.</w:t>
      </w:r>
    </w:p>
    <w:p w:rsidR="009C32E7" w:rsidRPr="00AD70DE" w:rsidRDefault="009C32E7" w:rsidP="00AD70DE">
      <w:pPr>
        <w:tabs>
          <w:tab w:val="left" w:pos="2410"/>
        </w:tabs>
        <w:ind w:left="2410" w:hanging="2013"/>
        <w:rPr>
          <w:lang w:val="en-GB"/>
        </w:rPr>
      </w:pPr>
      <w:r w:rsidRPr="00AD70DE">
        <w:rPr>
          <w:lang w:val="en-GB"/>
        </w:rPr>
        <w:t xml:space="preserve">‘Drug withdrawn’: </w:t>
      </w:r>
      <w:r w:rsidRPr="00AD70DE">
        <w:rPr>
          <w:lang w:val="en-GB"/>
        </w:rPr>
        <w:tab/>
        <w:t>discontinuation of IMP.</w:t>
      </w:r>
    </w:p>
    <w:p w:rsidR="009C32E7" w:rsidRPr="00AD70DE" w:rsidRDefault="009C32E7" w:rsidP="00AD70DE">
      <w:pPr>
        <w:tabs>
          <w:tab w:val="left" w:pos="2410"/>
        </w:tabs>
        <w:ind w:left="2410" w:hanging="2013"/>
        <w:rPr>
          <w:lang w:val="en-GB"/>
        </w:rPr>
      </w:pPr>
      <w:r w:rsidRPr="00AD70DE">
        <w:rPr>
          <w:lang w:val="en-GB"/>
        </w:rPr>
        <w:t xml:space="preserve">‘Unknown’: </w:t>
      </w:r>
      <w:r w:rsidRPr="00AD70DE">
        <w:rPr>
          <w:lang w:val="en-GB"/>
        </w:rPr>
        <w:tab/>
        <w:t>the information is unknown or implausible and it cannot be supplemented or verified.</w:t>
      </w:r>
    </w:p>
    <w:p w:rsidR="009C32E7" w:rsidRPr="00AD70DE" w:rsidRDefault="009C32E7" w:rsidP="00AD70DE">
      <w:pPr>
        <w:tabs>
          <w:tab w:val="left" w:pos="2410"/>
        </w:tabs>
        <w:ind w:left="2410" w:hanging="2013"/>
        <w:rPr>
          <w:lang w:val="en-GB"/>
        </w:rPr>
      </w:pPr>
      <w:r w:rsidRPr="00AD70DE">
        <w:rPr>
          <w:lang w:val="en-GB"/>
        </w:rPr>
        <w:t>‘Not applicable’:</w:t>
      </w:r>
      <w:r w:rsidRPr="00AD70DE">
        <w:rPr>
          <w:lang w:val="en-GB"/>
        </w:rPr>
        <w:tab/>
      </w:r>
      <w:proofErr w:type="gramStart"/>
      <w:r w:rsidRPr="00AD70DE">
        <w:rPr>
          <w:lang w:val="en-GB"/>
        </w:rPr>
        <w:t>No</w:t>
      </w:r>
      <w:proofErr w:type="gramEnd"/>
      <w:r w:rsidRPr="00AD70DE">
        <w:rPr>
          <w:lang w:val="en-GB"/>
        </w:rPr>
        <w:t xml:space="preserve"> answer possible (e.g. the participant is dead).</w:t>
      </w:r>
    </w:p>
    <w:p w:rsidR="009C32E7" w:rsidRPr="00AD70DE" w:rsidRDefault="009C32E7" w:rsidP="00AD70DE">
      <w:pPr>
        <w:tabs>
          <w:tab w:val="left" w:pos="2410"/>
        </w:tabs>
        <w:ind w:left="2410" w:hanging="2013"/>
        <w:rPr>
          <w:lang w:val="en-GB"/>
        </w:rPr>
      </w:pPr>
      <w:r w:rsidRPr="00AD70DE">
        <w:rPr>
          <w:lang w:val="en-GB"/>
        </w:rPr>
        <w:t>‘Countermeasures‘:</w:t>
      </w:r>
      <w:r w:rsidRPr="00AD70DE">
        <w:rPr>
          <w:lang w:val="en-GB"/>
        </w:rPr>
        <w:tab/>
        <w:t>Refers to the specific actions taken to treat or alleviate AE or to avoid their sequels.</w:t>
      </w:r>
    </w:p>
    <w:p w:rsidR="009C32E7" w:rsidRPr="00AD70DE" w:rsidRDefault="009C32E7" w:rsidP="00AD70DE">
      <w:pPr>
        <w:tabs>
          <w:tab w:val="left" w:pos="1985"/>
        </w:tabs>
        <w:rPr>
          <w:b/>
          <w:u w:val="single"/>
          <w:lang w:val="en-GB"/>
        </w:rPr>
      </w:pPr>
      <w:r w:rsidRPr="00AD70DE">
        <w:rPr>
          <w:b/>
          <w:u w:val="single"/>
          <w:lang w:val="en-GB"/>
        </w:rPr>
        <w:t>Countermeasures to AE</w:t>
      </w:r>
    </w:p>
    <w:p w:rsidR="009C32E7" w:rsidRPr="00AD70DE" w:rsidRDefault="009C32E7" w:rsidP="00AD70DE">
      <w:pPr>
        <w:tabs>
          <w:tab w:val="left" w:pos="2410"/>
        </w:tabs>
        <w:ind w:left="2013" w:hanging="2013"/>
        <w:rPr>
          <w:lang w:val="en-GB"/>
        </w:rPr>
      </w:pPr>
      <w:r w:rsidRPr="00AD70DE">
        <w:rPr>
          <w:lang w:val="en-GB"/>
        </w:rPr>
        <w:t>The following categories will be used to categorise the countermeasures to AE:</w:t>
      </w:r>
    </w:p>
    <w:p w:rsidR="009C32E7" w:rsidRPr="00AD70DE" w:rsidRDefault="009C32E7" w:rsidP="00AD70DE">
      <w:pPr>
        <w:tabs>
          <w:tab w:val="left" w:pos="2410"/>
        </w:tabs>
        <w:ind w:left="2410" w:hanging="2013"/>
        <w:rPr>
          <w:lang w:val="en-GB"/>
        </w:rPr>
      </w:pPr>
      <w:r w:rsidRPr="00AD70DE">
        <w:rPr>
          <w:lang w:val="en-GB"/>
        </w:rPr>
        <w:t>None:</w:t>
      </w:r>
      <w:r w:rsidRPr="00AD70DE">
        <w:rPr>
          <w:lang w:val="en-GB"/>
        </w:rPr>
        <w:tab/>
      </w:r>
      <w:proofErr w:type="gramStart"/>
      <w:r w:rsidRPr="00AD70DE">
        <w:rPr>
          <w:lang w:val="en-GB"/>
        </w:rPr>
        <w:t>no</w:t>
      </w:r>
      <w:proofErr w:type="gramEnd"/>
      <w:r w:rsidRPr="00AD70DE">
        <w:rPr>
          <w:lang w:val="en-GB"/>
        </w:rPr>
        <w:t xml:space="preserve"> action taken.</w:t>
      </w:r>
    </w:p>
    <w:p w:rsidR="009C32E7" w:rsidRPr="00AD70DE" w:rsidRDefault="009C32E7" w:rsidP="00AD70DE">
      <w:pPr>
        <w:tabs>
          <w:tab w:val="left" w:pos="2410"/>
        </w:tabs>
        <w:ind w:left="2410" w:hanging="2013"/>
        <w:rPr>
          <w:lang w:val="en-GB"/>
        </w:rPr>
      </w:pPr>
      <w:r w:rsidRPr="00AD70DE">
        <w:rPr>
          <w:lang w:val="en-GB"/>
        </w:rPr>
        <w:t>Drug treatment:</w:t>
      </w:r>
      <w:r w:rsidRPr="00AD70DE">
        <w:rPr>
          <w:lang w:val="en-GB"/>
        </w:rPr>
        <w:tab/>
        <w:t>newly prescribed medication or change in dose of a medication</w:t>
      </w:r>
    </w:p>
    <w:p w:rsidR="009C32E7" w:rsidRPr="00AD70DE" w:rsidRDefault="009C32E7" w:rsidP="00AD70DE">
      <w:pPr>
        <w:tabs>
          <w:tab w:val="left" w:pos="2410"/>
        </w:tabs>
        <w:ind w:left="2410" w:hanging="2013"/>
        <w:rPr>
          <w:lang w:val="en-GB"/>
        </w:rPr>
      </w:pPr>
      <w:r w:rsidRPr="00AD70DE">
        <w:rPr>
          <w:lang w:val="en-GB"/>
        </w:rPr>
        <w:t xml:space="preserve">Others: </w:t>
      </w:r>
      <w:r w:rsidRPr="00AD70DE">
        <w:rPr>
          <w:lang w:val="en-GB"/>
        </w:rPr>
        <w:tab/>
        <w:t>other countermeasures, e.g. a surgical procedure</w:t>
      </w:r>
    </w:p>
    <w:p w:rsidR="009C32E7" w:rsidRPr="00AD70DE" w:rsidRDefault="009C32E7" w:rsidP="00AD70DE">
      <w:pPr>
        <w:rPr>
          <w:b/>
          <w:u w:val="single"/>
          <w:lang w:val="en-GB"/>
        </w:rPr>
      </w:pPr>
      <w:r w:rsidRPr="00AD70DE">
        <w:rPr>
          <w:b/>
          <w:u w:val="single"/>
          <w:lang w:val="en-GB"/>
        </w:rPr>
        <w:t>Procedures for reporting of SUSAR</w:t>
      </w:r>
    </w:p>
    <w:p w:rsidR="009C32E7" w:rsidRPr="00AD70DE" w:rsidRDefault="009C32E7" w:rsidP="00AD70DE">
      <w:pPr>
        <w:rPr>
          <w:lang w:val="en-GB"/>
        </w:rPr>
      </w:pPr>
      <w:r w:rsidRPr="00AD70DE">
        <w:rPr>
          <w:lang w:val="en-GB"/>
        </w:rPr>
        <w:t>In accordance with the internal University regulations the PI of an Investigator Initiated Trial also acts as sponsor. All SAEs (including SUSARS) are documented on the international CIOMS form (VA KliPS-5 und SOP KliPS-5-01).</w:t>
      </w:r>
    </w:p>
    <w:p w:rsidR="009C32E7" w:rsidRPr="00AD70DE" w:rsidRDefault="009C32E7" w:rsidP="00AD70DE">
      <w:pPr>
        <w:rPr>
          <w:lang w:val="en-GB"/>
        </w:rPr>
      </w:pPr>
      <w:r w:rsidRPr="00AD70DE">
        <w:rPr>
          <w:lang w:val="en-GB"/>
        </w:rPr>
        <w:t>According to § 42 and § 63b AMG (</w:t>
      </w:r>
      <w:proofErr w:type="spellStart"/>
      <w:r w:rsidRPr="00AD70DE">
        <w:rPr>
          <w:lang w:val="en-GB"/>
        </w:rPr>
        <w:t>Arzneimittelgesetz</w:t>
      </w:r>
      <w:proofErr w:type="spellEnd"/>
      <w:r w:rsidRPr="00AD70DE">
        <w:rPr>
          <w:lang w:val="en-GB"/>
        </w:rPr>
        <w:t>/German Drug Law) serious adverse reactions fulfilling specified criteria have to be reported by the PI within 15 d to the EC, the competent authorities of the member states in whose territory the clinical trial is conducted, and to the Investigators participating in the trial. SUSARS that are fatal or life-threatening have to be reported even within 7 d (GCP-V §13).</w:t>
      </w:r>
    </w:p>
    <w:p w:rsidR="009C32E7" w:rsidRPr="00AD70DE" w:rsidRDefault="009C32E7" w:rsidP="00AD70DE">
      <w:pPr>
        <w:rPr>
          <w:b/>
          <w:u w:val="single"/>
          <w:lang w:val="en-GB"/>
        </w:rPr>
      </w:pPr>
      <w:r w:rsidRPr="00AD70DE">
        <w:rPr>
          <w:b/>
          <w:u w:val="single"/>
          <w:lang w:val="en-GB"/>
        </w:rPr>
        <w:t>References</w:t>
      </w:r>
    </w:p>
    <w:p w:rsidR="009C32E7" w:rsidRPr="00AD70DE" w:rsidRDefault="009C32E7" w:rsidP="00AD70DE">
      <w:pPr>
        <w:pStyle w:val="Listenabsatz"/>
        <w:numPr>
          <w:ilvl w:val="0"/>
          <w:numId w:val="7"/>
        </w:numPr>
        <w:jc w:val="both"/>
        <w:rPr>
          <w:lang w:val="en-GB"/>
        </w:rPr>
      </w:pPr>
      <w:r w:rsidRPr="00AD70DE">
        <w:rPr>
          <w:lang w:val="en-GB"/>
        </w:rPr>
        <w:t>Detailed guidance on the European database of Suspected Unexpected Serious Adverse Reactions (</w:t>
      </w:r>
      <w:proofErr w:type="spellStart"/>
      <w:r w:rsidRPr="00AD70DE">
        <w:rPr>
          <w:lang w:val="en-GB"/>
        </w:rPr>
        <w:t>Eudravigilance</w:t>
      </w:r>
      <w:proofErr w:type="spellEnd"/>
      <w:r w:rsidRPr="00AD70DE">
        <w:rPr>
          <w:lang w:val="en-GB"/>
        </w:rPr>
        <w:t xml:space="preserve"> – Clinical Trial Module) April 2004.</w:t>
      </w:r>
    </w:p>
    <w:p w:rsidR="009C32E7" w:rsidRPr="00AD70DE" w:rsidRDefault="009C32E7" w:rsidP="00AD70DE">
      <w:pPr>
        <w:pStyle w:val="Listenabsatz"/>
        <w:numPr>
          <w:ilvl w:val="0"/>
          <w:numId w:val="7"/>
        </w:numPr>
        <w:jc w:val="both"/>
        <w:rPr>
          <w:lang w:val="en-GB"/>
        </w:rPr>
      </w:pPr>
      <w:r w:rsidRPr="00AD70DE">
        <w:t xml:space="preserve">Verordnung über die Anwendung der Guten Klinischen Praxis bei der Durchführung von klinischen Prüfungen mit Arzneimitteln zur Anwendung am Menschen (GCP Verordnung-GCP-V), Bundesgesetzblatt Jahrgang 2004 Teil I Nr. 42. </w:t>
      </w:r>
      <w:proofErr w:type="spellStart"/>
      <w:r w:rsidRPr="00AD70DE">
        <w:rPr>
          <w:lang w:val="en-GB"/>
        </w:rPr>
        <w:t>Zuletzt</w:t>
      </w:r>
      <w:proofErr w:type="spellEnd"/>
      <w:r w:rsidRPr="00AD70DE">
        <w:rPr>
          <w:lang w:val="en-GB"/>
        </w:rPr>
        <w:t xml:space="preserve"> </w:t>
      </w:r>
      <w:proofErr w:type="spellStart"/>
      <w:r w:rsidRPr="00AD70DE">
        <w:rPr>
          <w:lang w:val="en-GB"/>
        </w:rPr>
        <w:t>geändert</w:t>
      </w:r>
      <w:proofErr w:type="spellEnd"/>
      <w:r w:rsidRPr="00AD70DE">
        <w:rPr>
          <w:lang w:val="en-GB"/>
        </w:rPr>
        <w:t xml:space="preserve"> </w:t>
      </w:r>
      <w:proofErr w:type="spellStart"/>
      <w:r w:rsidRPr="00AD70DE">
        <w:rPr>
          <w:lang w:val="en-GB"/>
        </w:rPr>
        <w:t>durch</w:t>
      </w:r>
      <w:proofErr w:type="spellEnd"/>
      <w:r w:rsidRPr="00AD70DE">
        <w:rPr>
          <w:lang w:val="en-GB"/>
        </w:rPr>
        <w:t xml:space="preserve"> Art. 8 G v. 19.10.2012 I 2192</w:t>
      </w:r>
    </w:p>
    <w:p w:rsidR="009C32E7" w:rsidRPr="00AD70DE" w:rsidRDefault="009C32E7" w:rsidP="00AD70DE">
      <w:pPr>
        <w:pStyle w:val="Listenabsatz"/>
        <w:numPr>
          <w:ilvl w:val="0"/>
          <w:numId w:val="7"/>
        </w:numPr>
        <w:jc w:val="both"/>
        <w:rPr>
          <w:lang w:val="en-GB"/>
        </w:rPr>
      </w:pPr>
      <w:r w:rsidRPr="00AD70DE">
        <w:rPr>
          <w:lang w:val="en-GB"/>
        </w:rPr>
        <w:lastRenderedPageBreak/>
        <w:t>Clinical Safety Data Management: Data elements for transmission of individual case safety reports, CPMP/ICH/287/95, The European Agency for the Evaluation of Medicinal products, London, 16. November 2000</w:t>
      </w:r>
    </w:p>
    <w:p w:rsidR="009C32E7" w:rsidRPr="00AD70DE" w:rsidRDefault="009C32E7" w:rsidP="00AD70DE">
      <w:pPr>
        <w:pStyle w:val="Listenabsatz"/>
        <w:numPr>
          <w:ilvl w:val="0"/>
          <w:numId w:val="7"/>
        </w:numPr>
        <w:jc w:val="both"/>
        <w:rPr>
          <w:lang w:val="en-GB"/>
        </w:rPr>
      </w:pPr>
      <w:r w:rsidRPr="00AD70DE">
        <w:rPr>
          <w:lang w:val="en-GB"/>
        </w:rPr>
        <w:t>Note for Guidance on Definitions and Standards for expedited reporting (CPMP/ICH/3945/03), The European Agency for the Evaluation of Medicinal products, London, November 2003</w:t>
      </w:r>
    </w:p>
    <w:p w:rsidR="009C32E7" w:rsidRPr="00AD70DE" w:rsidRDefault="009C32E7" w:rsidP="00AD70DE">
      <w:pPr>
        <w:spacing w:after="0" w:line="240" w:lineRule="auto"/>
        <w:rPr>
          <w:lang w:val="en-GB"/>
        </w:rPr>
      </w:pPr>
      <w:r w:rsidRPr="00AD70DE">
        <w:rPr>
          <w:lang w:val="en-GB"/>
        </w:rPr>
        <w:br w:type="page"/>
      </w:r>
    </w:p>
    <w:p w:rsidR="009C32E7" w:rsidRPr="00AD70DE" w:rsidRDefault="009C32E7" w:rsidP="00AD70DE">
      <w:pPr>
        <w:pStyle w:val="berschrift2"/>
        <w:spacing w:before="240"/>
        <w:ind w:left="567" w:hanging="567"/>
        <w:rPr>
          <w:color w:val="auto"/>
        </w:rPr>
      </w:pPr>
      <w:bookmarkStart w:id="3163" w:name="_Toc256000872"/>
      <w:bookmarkStart w:id="3164" w:name="_Toc256000586"/>
      <w:bookmarkStart w:id="3165" w:name="_Toc256002401"/>
      <w:bookmarkStart w:id="3166" w:name="_Toc256002304"/>
      <w:bookmarkStart w:id="3167" w:name="_Toc256002207"/>
      <w:bookmarkStart w:id="3168" w:name="_Toc256002110"/>
      <w:bookmarkStart w:id="3169" w:name="_Toc256002013"/>
      <w:bookmarkStart w:id="3170" w:name="_Toc256001823"/>
      <w:bookmarkStart w:id="3171" w:name="_Toc256001575"/>
      <w:bookmarkStart w:id="3172" w:name="_Toc256001347"/>
      <w:bookmarkStart w:id="3173" w:name="_Toc256001110"/>
      <w:bookmarkStart w:id="3174" w:name="_Toc37173120"/>
      <w:bookmarkStart w:id="3175" w:name="_Toc37243514"/>
      <w:r w:rsidRPr="00AD70DE">
        <w:rPr>
          <w:color w:val="auto"/>
        </w:rPr>
        <w:lastRenderedPageBreak/>
        <w:t xml:space="preserve">Responsibilities of the </w:t>
      </w:r>
      <w:bookmarkEnd w:id="3163"/>
      <w:bookmarkEnd w:id="3164"/>
      <w:r w:rsidRPr="00AD70DE">
        <w:rPr>
          <w:color w:val="auto"/>
        </w:rPr>
        <w:t>PI</w:t>
      </w:r>
      <w:bookmarkEnd w:id="3165"/>
      <w:bookmarkEnd w:id="3166"/>
      <w:bookmarkEnd w:id="3167"/>
      <w:bookmarkEnd w:id="3168"/>
      <w:bookmarkEnd w:id="3169"/>
      <w:bookmarkEnd w:id="3170"/>
      <w:bookmarkEnd w:id="3171"/>
      <w:bookmarkEnd w:id="3172"/>
      <w:bookmarkEnd w:id="3173"/>
      <w:bookmarkEnd w:id="3174"/>
      <w:bookmarkEnd w:id="3175"/>
    </w:p>
    <w:p w:rsidR="009C32E7" w:rsidRPr="00AD70DE" w:rsidRDefault="009C32E7" w:rsidP="00AD70DE">
      <w:pPr>
        <w:jc w:val="both"/>
        <w:rPr>
          <w:lang w:val="en-GB"/>
        </w:rPr>
      </w:pPr>
      <w:r w:rsidRPr="00AD70DE">
        <w:rPr>
          <w:lang w:val="en-GB"/>
        </w:rPr>
        <w:t>During the conduct of the study the PI is responsible for the following points. In accordance with GCP he or she should:</w:t>
      </w:r>
    </w:p>
    <w:p w:rsidR="009C32E7" w:rsidRPr="00AD70DE" w:rsidRDefault="009C32E7" w:rsidP="00AD70DE">
      <w:pPr>
        <w:jc w:val="both"/>
        <w:rPr>
          <w:b/>
          <w:lang w:val="en-GB"/>
        </w:rPr>
      </w:pPr>
      <w:r w:rsidRPr="00AD70DE">
        <w:rPr>
          <w:b/>
          <w:lang w:val="en-GB"/>
        </w:rPr>
        <w:t>Before the beginning of the study:</w:t>
      </w:r>
    </w:p>
    <w:p w:rsidR="009C32E7" w:rsidRPr="00AD70DE" w:rsidRDefault="009C32E7" w:rsidP="00AD70DE">
      <w:pPr>
        <w:pStyle w:val="Listenabsatz"/>
        <w:numPr>
          <w:ilvl w:val="0"/>
          <w:numId w:val="6"/>
        </w:numPr>
        <w:jc w:val="both"/>
        <w:rPr>
          <w:lang w:val="en-GB"/>
        </w:rPr>
      </w:pPr>
      <w:r w:rsidRPr="00AD70DE">
        <w:rPr>
          <w:lang w:val="en-GB"/>
        </w:rPr>
        <w:t>Have all study documents concerning the study drugs.</w:t>
      </w:r>
    </w:p>
    <w:p w:rsidR="009C32E7" w:rsidRPr="00AD70DE" w:rsidRDefault="009C32E7" w:rsidP="00AD70DE">
      <w:pPr>
        <w:pStyle w:val="Listenabsatz"/>
        <w:numPr>
          <w:ilvl w:val="0"/>
          <w:numId w:val="6"/>
        </w:numPr>
        <w:jc w:val="both"/>
        <w:rPr>
          <w:lang w:val="en-GB"/>
        </w:rPr>
      </w:pPr>
      <w:r w:rsidRPr="00AD70DE">
        <w:rPr>
          <w:lang w:val="en-GB"/>
        </w:rPr>
        <w:t>Ensure that the PI and his team will be available to conduct the study under good conditions.</w:t>
      </w:r>
    </w:p>
    <w:p w:rsidR="009C32E7" w:rsidRPr="00AD70DE" w:rsidRDefault="009C32E7" w:rsidP="00AD70DE">
      <w:pPr>
        <w:pStyle w:val="Listenabsatz"/>
        <w:numPr>
          <w:ilvl w:val="0"/>
          <w:numId w:val="6"/>
        </w:numPr>
        <w:jc w:val="both"/>
        <w:rPr>
          <w:lang w:val="en-GB"/>
        </w:rPr>
      </w:pPr>
      <w:r w:rsidRPr="00AD70DE">
        <w:rPr>
          <w:lang w:val="en-GB"/>
        </w:rPr>
        <w:t>Organise the technical facilities at disposition so that the study is carried out correctly.</w:t>
      </w:r>
    </w:p>
    <w:p w:rsidR="009C32E7" w:rsidRPr="00AD70DE" w:rsidRDefault="009C32E7" w:rsidP="00AD70DE">
      <w:pPr>
        <w:pStyle w:val="Listenabsatz"/>
        <w:numPr>
          <w:ilvl w:val="0"/>
          <w:numId w:val="6"/>
        </w:numPr>
        <w:jc w:val="both"/>
        <w:rPr>
          <w:lang w:val="en-GB"/>
        </w:rPr>
      </w:pPr>
      <w:r w:rsidRPr="00AD70DE">
        <w:rPr>
          <w:lang w:val="en-GB"/>
        </w:rPr>
        <w:t>Submit the protocol, the compound information sheet, and the information and informed consent form (as applicable) to the EC.</w:t>
      </w:r>
    </w:p>
    <w:p w:rsidR="009C32E7" w:rsidRPr="00AD70DE" w:rsidRDefault="009C32E7" w:rsidP="00AD70DE">
      <w:pPr>
        <w:pStyle w:val="Listenabsatz"/>
        <w:numPr>
          <w:ilvl w:val="0"/>
          <w:numId w:val="6"/>
        </w:numPr>
        <w:jc w:val="both"/>
        <w:rPr>
          <w:lang w:val="en-GB"/>
        </w:rPr>
      </w:pPr>
      <w:r w:rsidRPr="00AD70DE">
        <w:rPr>
          <w:lang w:val="en-GB"/>
        </w:rPr>
        <w:t>Ensure that the batches of study drugs are stored under good storage conditions in a specific place inaccessible to third parties.</w:t>
      </w:r>
    </w:p>
    <w:p w:rsidR="009C32E7" w:rsidRPr="00AD70DE" w:rsidRDefault="009C32E7" w:rsidP="00AD70DE">
      <w:pPr>
        <w:pStyle w:val="Listenabsatz"/>
        <w:numPr>
          <w:ilvl w:val="0"/>
          <w:numId w:val="6"/>
        </w:numPr>
        <w:jc w:val="both"/>
        <w:rPr>
          <w:lang w:val="en-GB"/>
        </w:rPr>
      </w:pPr>
      <w:r w:rsidRPr="00AD70DE">
        <w:rPr>
          <w:lang w:val="en-GB"/>
        </w:rPr>
        <w:t>Sign to confirm the agreement to carry out the clinical study protocol in compliance with ICH-GCP, GCP-V, and the AMG.</w:t>
      </w:r>
    </w:p>
    <w:p w:rsidR="009C32E7" w:rsidRPr="00AD70DE" w:rsidRDefault="009C32E7" w:rsidP="00AD70DE">
      <w:pPr>
        <w:pStyle w:val="Listenabsatz"/>
        <w:numPr>
          <w:ilvl w:val="0"/>
          <w:numId w:val="6"/>
        </w:numPr>
        <w:jc w:val="both"/>
        <w:rPr>
          <w:lang w:val="en-GB"/>
        </w:rPr>
      </w:pPr>
      <w:r w:rsidRPr="00AD70DE">
        <w:rPr>
          <w:lang w:val="en-GB"/>
        </w:rPr>
        <w:t>Supply each participant with the required information concerning the study drug and the study procedure before inclusion into the study.</w:t>
      </w:r>
    </w:p>
    <w:p w:rsidR="009C32E7" w:rsidRPr="00AD70DE" w:rsidRDefault="009C32E7" w:rsidP="00AD70DE">
      <w:pPr>
        <w:jc w:val="both"/>
        <w:rPr>
          <w:b/>
          <w:lang w:val="en-GB"/>
        </w:rPr>
      </w:pPr>
      <w:r w:rsidRPr="00AD70DE">
        <w:rPr>
          <w:b/>
          <w:lang w:val="en-GB"/>
        </w:rPr>
        <w:t>During the study</w:t>
      </w:r>
    </w:p>
    <w:p w:rsidR="009C32E7" w:rsidRPr="00AD70DE" w:rsidRDefault="009C32E7" w:rsidP="00AD70DE">
      <w:pPr>
        <w:pStyle w:val="Listenabsatz"/>
        <w:numPr>
          <w:ilvl w:val="0"/>
          <w:numId w:val="6"/>
        </w:numPr>
        <w:jc w:val="both"/>
        <w:rPr>
          <w:lang w:val="en-GB"/>
        </w:rPr>
      </w:pPr>
      <w:r w:rsidRPr="00AD70DE">
        <w:rPr>
          <w:lang w:val="en-GB"/>
        </w:rPr>
        <w:t>Ensure that the protocol and its appendices are faithfully followed. Notably, if treatment is discontinued for any participant, every effort will be made to obtain information about this participant as promptly as possible after discontinuation of treatment.</w:t>
      </w:r>
    </w:p>
    <w:p w:rsidR="009C32E7" w:rsidRPr="00AD70DE" w:rsidRDefault="009C32E7" w:rsidP="00AD70DE">
      <w:pPr>
        <w:pStyle w:val="Listenabsatz"/>
        <w:numPr>
          <w:ilvl w:val="0"/>
          <w:numId w:val="6"/>
        </w:numPr>
        <w:jc w:val="both"/>
        <w:rPr>
          <w:lang w:val="en-GB"/>
        </w:rPr>
      </w:pPr>
      <w:r w:rsidRPr="00AD70DE">
        <w:rPr>
          <w:lang w:val="en-GB"/>
        </w:rPr>
        <w:t>Give the participant any new information concerning the study drug which may modify his consent to participate in the study.</w:t>
      </w:r>
    </w:p>
    <w:p w:rsidR="009C32E7" w:rsidRPr="00AD70DE" w:rsidRDefault="009C32E7" w:rsidP="00AD70DE">
      <w:pPr>
        <w:pStyle w:val="Listenabsatz"/>
        <w:numPr>
          <w:ilvl w:val="0"/>
          <w:numId w:val="6"/>
        </w:numPr>
        <w:jc w:val="both"/>
        <w:rPr>
          <w:lang w:val="en-GB"/>
        </w:rPr>
      </w:pPr>
      <w:r w:rsidRPr="00AD70DE">
        <w:rPr>
          <w:lang w:val="en-GB"/>
        </w:rPr>
        <w:t>If there is a modification to the risk / benefit ratio, submit these to the EC.</w:t>
      </w:r>
    </w:p>
    <w:p w:rsidR="009C32E7" w:rsidRPr="00AD70DE" w:rsidRDefault="009C32E7" w:rsidP="00AD70DE">
      <w:pPr>
        <w:pStyle w:val="Listenabsatz"/>
        <w:numPr>
          <w:ilvl w:val="0"/>
          <w:numId w:val="6"/>
        </w:numPr>
        <w:jc w:val="both"/>
        <w:rPr>
          <w:lang w:val="en-GB"/>
        </w:rPr>
      </w:pPr>
      <w:r w:rsidRPr="00AD70DE">
        <w:rPr>
          <w:lang w:val="en-GB"/>
        </w:rPr>
        <w:t>Guarantee that the drugs will be administered exclusively within the context of the protocol.</w:t>
      </w:r>
    </w:p>
    <w:p w:rsidR="009C32E7" w:rsidRPr="00AD70DE" w:rsidRDefault="009C32E7" w:rsidP="00AD70DE">
      <w:pPr>
        <w:pStyle w:val="Listenabsatz"/>
        <w:numPr>
          <w:ilvl w:val="0"/>
          <w:numId w:val="6"/>
        </w:numPr>
        <w:jc w:val="both"/>
        <w:rPr>
          <w:lang w:val="en-GB"/>
        </w:rPr>
      </w:pPr>
      <w:r w:rsidRPr="00AD70DE">
        <w:rPr>
          <w:lang w:val="en-GB"/>
        </w:rPr>
        <w:t>Mark the participants’ files to indicate their participation in a clinical study, showing dates and data involved in the study.</w:t>
      </w:r>
    </w:p>
    <w:p w:rsidR="009C32E7" w:rsidRPr="00AD70DE" w:rsidRDefault="009C32E7" w:rsidP="00AD70DE">
      <w:pPr>
        <w:pStyle w:val="Listenabsatz"/>
        <w:numPr>
          <w:ilvl w:val="0"/>
          <w:numId w:val="6"/>
        </w:numPr>
        <w:jc w:val="both"/>
        <w:rPr>
          <w:lang w:val="en-GB"/>
        </w:rPr>
      </w:pPr>
      <w:r w:rsidRPr="00AD70DE">
        <w:rPr>
          <w:lang w:val="en-GB"/>
        </w:rPr>
        <w:t>Promptly establish a SAE report on the prepared SAE form in case of a SAE.</w:t>
      </w:r>
    </w:p>
    <w:p w:rsidR="009C32E7" w:rsidRPr="00AD70DE" w:rsidRDefault="009C32E7" w:rsidP="00AD70DE">
      <w:pPr>
        <w:pStyle w:val="Listenabsatz"/>
        <w:numPr>
          <w:ilvl w:val="0"/>
          <w:numId w:val="6"/>
        </w:numPr>
        <w:jc w:val="both"/>
        <w:rPr>
          <w:lang w:val="en-GB"/>
        </w:rPr>
      </w:pPr>
      <w:r w:rsidRPr="00AD70DE">
        <w:rPr>
          <w:lang w:val="en-GB"/>
        </w:rPr>
        <w:t xml:space="preserve">Document participants included in the study on a continuously updated list. </w:t>
      </w:r>
    </w:p>
    <w:p w:rsidR="009C32E7" w:rsidRPr="00AD70DE" w:rsidRDefault="009C32E7" w:rsidP="00AD70DE">
      <w:pPr>
        <w:pStyle w:val="Listenabsatz"/>
        <w:numPr>
          <w:ilvl w:val="0"/>
          <w:numId w:val="6"/>
        </w:numPr>
        <w:jc w:val="both"/>
        <w:rPr>
          <w:lang w:val="en-GB"/>
        </w:rPr>
      </w:pPr>
      <w:r w:rsidRPr="00AD70DE">
        <w:rPr>
          <w:lang w:val="en-GB"/>
        </w:rPr>
        <w:t>Document personnel involved in the study and their delegated duties on a continuously updated list.</w:t>
      </w:r>
    </w:p>
    <w:p w:rsidR="009C32E7" w:rsidRPr="00AD70DE" w:rsidRDefault="009C32E7" w:rsidP="00AD70DE">
      <w:pPr>
        <w:jc w:val="both"/>
        <w:rPr>
          <w:b/>
          <w:lang w:val="en-GB"/>
        </w:rPr>
      </w:pPr>
      <w:r w:rsidRPr="00AD70DE">
        <w:rPr>
          <w:b/>
          <w:lang w:val="en-GB"/>
        </w:rPr>
        <w:t>After the study</w:t>
      </w:r>
    </w:p>
    <w:p w:rsidR="009C32E7" w:rsidRPr="00AD70DE" w:rsidRDefault="009C32E7" w:rsidP="00AD70DE">
      <w:pPr>
        <w:pStyle w:val="Listenabsatz"/>
        <w:numPr>
          <w:ilvl w:val="0"/>
          <w:numId w:val="6"/>
        </w:numPr>
        <w:jc w:val="both"/>
        <w:rPr>
          <w:lang w:val="en-GB"/>
        </w:rPr>
      </w:pPr>
      <w:r w:rsidRPr="00AD70DE">
        <w:rPr>
          <w:lang w:val="en-GB"/>
        </w:rPr>
        <w:t>Retain the list of names of participants included in the study (to be attached to the study documentation).</w:t>
      </w:r>
    </w:p>
    <w:p w:rsidR="009C32E7" w:rsidRPr="00AD70DE" w:rsidRDefault="009C32E7" w:rsidP="00AD70DE">
      <w:pPr>
        <w:pStyle w:val="Listenabsatz"/>
        <w:numPr>
          <w:ilvl w:val="0"/>
          <w:numId w:val="6"/>
        </w:numPr>
        <w:jc w:val="both"/>
        <w:rPr>
          <w:lang w:val="en-GB"/>
        </w:rPr>
      </w:pPr>
      <w:r w:rsidRPr="00AD70DE">
        <w:rPr>
          <w:lang w:val="en-GB"/>
        </w:rPr>
        <w:t>Ensure that the participants’ files and all documents relating to the study are archived for at least 10 y after the end of the study (the patient identification list has to be archived for at least 15 y)</w:t>
      </w:r>
    </w:p>
    <w:p w:rsidR="009C32E7" w:rsidRPr="00AD70DE" w:rsidRDefault="009C32E7" w:rsidP="00AD70DE">
      <w:pPr>
        <w:pStyle w:val="Listenabsatz"/>
        <w:numPr>
          <w:ilvl w:val="0"/>
          <w:numId w:val="6"/>
        </w:numPr>
        <w:jc w:val="both"/>
        <w:rPr>
          <w:lang w:val="en-GB"/>
        </w:rPr>
      </w:pPr>
      <w:r w:rsidRPr="00AD70DE">
        <w:rPr>
          <w:lang w:val="en-GB"/>
        </w:rPr>
        <w:t>Date and sign the final report.</w:t>
      </w:r>
    </w:p>
    <w:p w:rsidR="009C32E7" w:rsidRPr="00AD70DE" w:rsidRDefault="009C32E7" w:rsidP="00AD70DE">
      <w:pPr>
        <w:pStyle w:val="Listenabsatz"/>
        <w:numPr>
          <w:ilvl w:val="0"/>
          <w:numId w:val="6"/>
        </w:numPr>
        <w:jc w:val="both"/>
        <w:rPr>
          <w:lang w:val="en-GB"/>
        </w:rPr>
      </w:pPr>
      <w:r w:rsidRPr="00AD70DE">
        <w:rPr>
          <w:lang w:val="en-GB"/>
        </w:rPr>
        <w:t>All corrections or additions to a final report must be made in the form of a justified amendment, signed and dated by the investigator.</w:t>
      </w:r>
    </w:p>
    <w:p w:rsidR="009C32E7" w:rsidRPr="00AD70DE" w:rsidRDefault="009C32E7" w:rsidP="00AD70DE">
      <w:pPr>
        <w:spacing w:after="0" w:line="240" w:lineRule="auto"/>
        <w:rPr>
          <w:lang w:val="en-GB"/>
        </w:rPr>
      </w:pPr>
      <w:r w:rsidRPr="00AD70DE">
        <w:rPr>
          <w:lang w:val="en-GB"/>
        </w:rPr>
        <w:br w:type="page"/>
      </w:r>
    </w:p>
    <w:p w:rsidR="009C32E7" w:rsidRPr="00AD70DE" w:rsidRDefault="009C32E7" w:rsidP="00AD70DE">
      <w:pPr>
        <w:pStyle w:val="berschrift2"/>
        <w:spacing w:before="240"/>
        <w:ind w:left="567" w:hanging="567"/>
        <w:rPr>
          <w:color w:val="auto"/>
        </w:rPr>
      </w:pPr>
      <w:bookmarkStart w:id="3176" w:name="_Toc256002402"/>
      <w:bookmarkStart w:id="3177" w:name="_Toc256002305"/>
      <w:bookmarkStart w:id="3178" w:name="_Toc256002208"/>
      <w:bookmarkStart w:id="3179" w:name="_Toc256002111"/>
      <w:bookmarkStart w:id="3180" w:name="_Toc256002014"/>
      <w:bookmarkStart w:id="3181" w:name="_Toc256001831"/>
      <w:bookmarkStart w:id="3182" w:name="_Toc256001577"/>
      <w:bookmarkStart w:id="3183" w:name="_Toc256001353"/>
      <w:bookmarkStart w:id="3184" w:name="_Toc256001111"/>
      <w:bookmarkStart w:id="3185" w:name="_Toc256000875"/>
      <w:bookmarkStart w:id="3186" w:name="_Toc256000595"/>
      <w:bookmarkStart w:id="3187" w:name="_Toc37173121"/>
      <w:bookmarkStart w:id="3188" w:name="_Toc37243515"/>
      <w:r w:rsidRPr="00AD70DE">
        <w:rPr>
          <w:color w:val="auto"/>
        </w:rPr>
        <w:lastRenderedPageBreak/>
        <w:t>Contraindicated drugs</w:t>
      </w:r>
      <w:bookmarkEnd w:id="3176"/>
      <w:bookmarkEnd w:id="3177"/>
      <w:bookmarkEnd w:id="3178"/>
      <w:bookmarkEnd w:id="3179"/>
      <w:bookmarkEnd w:id="3180"/>
      <w:bookmarkEnd w:id="3181"/>
      <w:bookmarkEnd w:id="3182"/>
      <w:bookmarkEnd w:id="3183"/>
      <w:bookmarkEnd w:id="3184"/>
      <w:bookmarkEnd w:id="3185"/>
      <w:bookmarkEnd w:id="3186"/>
      <w:bookmarkEnd w:id="3187"/>
      <w:bookmarkEnd w:id="3188"/>
    </w:p>
    <w:p w:rsidR="009C32E7" w:rsidRPr="00AD70DE" w:rsidRDefault="009C32E7" w:rsidP="00AD70DE">
      <w:pPr>
        <w:rPr>
          <w:lang w:val="en-US"/>
        </w:rPr>
      </w:pPr>
      <w:r w:rsidRPr="00AD70DE">
        <w:rPr>
          <w:lang w:val="en-US"/>
        </w:rPr>
        <w:t>Use of any medication (prescription medication, non-prescription medication including multivitamin or herbal preparations) with active ingredients except hormonal contraception and thyroid hormones is not allowed during the trial. However, if a medical emergency arises it will be specifically pointed out that the following drugs should not be combined.</w:t>
      </w:r>
    </w:p>
    <w:p w:rsidR="009C32E7" w:rsidRPr="00AD70DE" w:rsidRDefault="009C32E7" w:rsidP="00AD70DE">
      <w:pPr>
        <w:rPr>
          <w:lang w:val="en-US"/>
        </w:rPr>
      </w:pPr>
      <w:r w:rsidRPr="00AD70DE">
        <w:rPr>
          <w:lang w:val="en-US"/>
        </w:rPr>
        <w:t xml:space="preserve">HCQ: </w:t>
      </w:r>
    </w:p>
    <w:p w:rsidR="009C32E7" w:rsidRPr="00AD70DE" w:rsidRDefault="009C32E7" w:rsidP="00AD70DE">
      <w:pPr>
        <w:pStyle w:val="Listenabsatz"/>
        <w:numPr>
          <w:ilvl w:val="0"/>
          <w:numId w:val="33"/>
        </w:numPr>
        <w:rPr>
          <w:lang w:val="en-US"/>
        </w:rPr>
      </w:pPr>
      <w:r w:rsidRPr="00AD70DE">
        <w:rPr>
          <w:lang w:val="en-US"/>
        </w:rPr>
        <w:t>no contraindicated drugs</w:t>
      </w:r>
    </w:p>
    <w:p w:rsidR="009C32E7" w:rsidRPr="00AD70DE" w:rsidRDefault="009C32E7" w:rsidP="00AD70DE">
      <w:pPr>
        <w:pStyle w:val="Listenabsatz"/>
        <w:numPr>
          <w:ilvl w:val="0"/>
          <w:numId w:val="33"/>
        </w:numPr>
        <w:rPr>
          <w:lang w:val="en-US"/>
        </w:rPr>
      </w:pPr>
      <w:r w:rsidRPr="00AD70DE">
        <w:rPr>
          <w:lang w:val="en-US"/>
        </w:rPr>
        <w:t>use nephrotoxic or hepatotoxic drugs with caution within 5 half-lives/90 days after the intake of HCQ</w:t>
      </w:r>
    </w:p>
    <w:p w:rsidR="009C32E7" w:rsidRPr="00AD70DE" w:rsidRDefault="009C32E7" w:rsidP="00AD70DE">
      <w:pPr>
        <w:rPr>
          <w:lang w:val="en-US"/>
        </w:rPr>
      </w:pPr>
      <w:r w:rsidRPr="00AD70DE">
        <w:rPr>
          <w:lang w:val="en-US"/>
        </w:rPr>
        <w:t>Pantoprazole</w:t>
      </w:r>
    </w:p>
    <w:p w:rsidR="009C32E7" w:rsidRPr="00AD70DE" w:rsidRDefault="009C32E7" w:rsidP="00AD70DE">
      <w:pPr>
        <w:pStyle w:val="Listenabsatz"/>
        <w:numPr>
          <w:ilvl w:val="0"/>
          <w:numId w:val="33"/>
        </w:numPr>
        <w:rPr>
          <w:lang w:val="en-US"/>
        </w:rPr>
      </w:pPr>
      <w:r w:rsidRPr="00AD70DE">
        <w:rPr>
          <w:lang w:val="en-US"/>
        </w:rPr>
        <w:t>no contraindicated drugs</w:t>
      </w:r>
    </w:p>
    <w:p w:rsidR="009C32E7" w:rsidRPr="00AD70DE" w:rsidRDefault="009C32E7" w:rsidP="00AD70DE">
      <w:pPr>
        <w:rPr>
          <w:lang w:val="en-US"/>
        </w:rPr>
      </w:pPr>
    </w:p>
    <w:p w:rsidR="009C32E7" w:rsidRPr="005F084F" w:rsidRDefault="009C32E7" w:rsidP="00AD70DE">
      <w:pPr>
        <w:rPr>
          <w:lang w:val="en-US"/>
        </w:rPr>
      </w:pPr>
      <w:proofErr w:type="spellStart"/>
      <w:r w:rsidRPr="00AD70DE">
        <w:rPr>
          <w:lang w:val="en-US"/>
        </w:rPr>
        <w:t>Yohimbine</w:t>
      </w:r>
      <w:proofErr w:type="spellEnd"/>
      <w:r w:rsidRPr="00AD70DE">
        <w:rPr>
          <w:lang w:val="en-US"/>
        </w:rPr>
        <w:t xml:space="preserve"> and midazolam are only administered as </w:t>
      </w:r>
      <w:proofErr w:type="spellStart"/>
      <w:r w:rsidRPr="00AD70DE">
        <w:rPr>
          <w:lang w:val="en-US"/>
        </w:rPr>
        <w:t>microdosed</w:t>
      </w:r>
      <w:proofErr w:type="spellEnd"/>
      <w:r w:rsidRPr="00AD70DE">
        <w:rPr>
          <w:lang w:val="en-US"/>
        </w:rPr>
        <w:t xml:space="preserve"> drugs in this trial without pharmacological activity. Therefore contraindicated drugs are not relevant.</w:t>
      </w:r>
    </w:p>
    <w:p w:rsidR="00473BE4" w:rsidRDefault="00473BE4" w:rsidP="00AD70DE"/>
    <w:sectPr w:rsidR="00473BE4" w:rsidSect="008355A9">
      <w:pgSz w:w="11906" w:h="16838" w:code="9"/>
      <w:pgMar w:top="1417" w:right="1417" w:bottom="1134" w:left="1417" w:header="708" w:footer="708" w:gutter="0"/>
      <w:pgBorders>
        <w:bottom w:val="single" w:sz="2" w:space="1"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E0A" w:rsidRDefault="000B6E0A">
      <w:pPr>
        <w:spacing w:after="0" w:line="240" w:lineRule="auto"/>
      </w:pPr>
      <w:r>
        <w:separator/>
      </w:r>
    </w:p>
  </w:endnote>
  <w:endnote w:type="continuationSeparator" w:id="0">
    <w:p w:rsidR="000B6E0A" w:rsidRDefault="000B6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etaNormal-Roman">
    <w:panose1 w:val="020B0502030000020004"/>
    <w:charset w:val="00"/>
    <w:family w:val="swiss"/>
    <w:pitch w:val="variable"/>
    <w:sig w:usb0="8000002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AdvGulliv-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5A9" w:rsidRPr="008260BF" w:rsidRDefault="008355A9" w:rsidP="008355A9">
    <w:pPr>
      <w:pBdr>
        <w:bottom w:val="single" w:sz="6" w:space="1" w:color="auto"/>
      </w:pBdr>
      <w:autoSpaceDE w:val="0"/>
      <w:autoSpaceDN w:val="0"/>
      <w:adjustRightInd w:val="0"/>
      <w:spacing w:after="0"/>
      <w:rPr>
        <w:sz w:val="28"/>
        <w:szCs w:val="20"/>
      </w:rPr>
    </w:pPr>
  </w:p>
  <w:p w:rsidR="008355A9" w:rsidRPr="00542EF7" w:rsidRDefault="008355A9" w:rsidP="008355A9">
    <w:pPr>
      <w:tabs>
        <w:tab w:val="right" w:pos="9072"/>
      </w:tabs>
      <w:autoSpaceDE w:val="0"/>
      <w:autoSpaceDN w:val="0"/>
      <w:adjustRightInd w:val="0"/>
      <w:spacing w:after="0"/>
      <w:rPr>
        <w:rFonts w:cs="Calibri"/>
        <w:b/>
        <w:i/>
        <w:iCs/>
        <w:lang w:val="en-GB"/>
      </w:rPr>
    </w:pPr>
    <w:r w:rsidRPr="00542EF7">
      <w:rPr>
        <w:sz w:val="20"/>
        <w:szCs w:val="20"/>
        <w:lang w:val="en-GB"/>
      </w:rPr>
      <w:t xml:space="preserve">Clinical trial protocol </w:t>
    </w:r>
    <w:r w:rsidRPr="00542EF7">
      <w:rPr>
        <w:i/>
        <w:sz w:val="20"/>
        <w:szCs w:val="20"/>
        <w:lang w:val="en-GB"/>
      </w:rPr>
      <w:t>K724</w:t>
    </w:r>
    <w:r w:rsidRPr="00542EF7">
      <w:rPr>
        <w:sz w:val="20"/>
        <w:szCs w:val="20"/>
        <w:lang w:val="en-GB"/>
      </w:rPr>
      <w:tab/>
      <w:t xml:space="preserve">EudraCT No. </w:t>
    </w:r>
    <w:r w:rsidRPr="00542EF7">
      <w:rPr>
        <w:rFonts w:cs="Calibri"/>
        <w:b/>
        <w:i/>
        <w:iCs/>
        <w:lang w:val="en-GB"/>
      </w:rPr>
      <w:t>2020-001470-30</w:t>
    </w:r>
  </w:p>
  <w:p w:rsidR="008355A9" w:rsidRPr="008D25A5" w:rsidRDefault="008355A9" w:rsidP="008355A9">
    <w:pPr>
      <w:tabs>
        <w:tab w:val="right" w:pos="9072"/>
      </w:tabs>
      <w:autoSpaceDE w:val="0"/>
      <w:autoSpaceDN w:val="0"/>
      <w:adjustRightInd w:val="0"/>
      <w:spacing w:after="0"/>
      <w:rPr>
        <w:lang w:val="en-US"/>
      </w:rPr>
    </w:pPr>
    <w:r w:rsidRPr="00943B9A">
      <w:rPr>
        <w:sz w:val="20"/>
        <w:szCs w:val="20"/>
        <w:lang w:val="en-US"/>
      </w:rPr>
      <w:t>Version 2.</w:t>
    </w:r>
    <w:r w:rsidR="00AE1D5B" w:rsidRPr="00943B9A">
      <w:rPr>
        <w:sz w:val="20"/>
        <w:szCs w:val="20"/>
        <w:lang w:val="en-US"/>
      </w:rPr>
      <w:t>1</w:t>
    </w:r>
    <w:r w:rsidRPr="00943B9A">
      <w:rPr>
        <w:sz w:val="20"/>
        <w:szCs w:val="20"/>
        <w:lang w:val="en-US"/>
      </w:rPr>
      <w:t xml:space="preserve"> dated</w:t>
    </w:r>
    <w:r w:rsidRPr="00943B9A">
      <w:rPr>
        <w:i/>
        <w:sz w:val="20"/>
        <w:szCs w:val="20"/>
        <w:lang w:val="en-US"/>
      </w:rPr>
      <w:t xml:space="preserve"> </w:t>
    </w:r>
    <w:r w:rsidR="00AE1D5B" w:rsidRPr="00943B9A">
      <w:rPr>
        <w:sz w:val="20"/>
        <w:szCs w:val="20"/>
        <w:lang w:val="en-US"/>
      </w:rPr>
      <w:t>24</w:t>
    </w:r>
    <w:r w:rsidRPr="00943B9A">
      <w:rPr>
        <w:sz w:val="20"/>
        <w:szCs w:val="20"/>
        <w:lang w:val="en-US"/>
      </w:rPr>
      <w:t>.04.2020</w:t>
    </w:r>
    <w:r w:rsidRPr="00943B9A">
      <w:rPr>
        <w:rFonts w:cs="Calibri"/>
        <w:b/>
        <w:iCs/>
        <w:lang w:val="en-GB"/>
      </w:rPr>
      <w:tab/>
    </w:r>
    <w:r w:rsidRPr="00943B9A">
      <w:rPr>
        <w:rFonts w:cs="Calibri"/>
        <w:b/>
        <w:i/>
        <w:iCs/>
        <w:lang w:val="en-GB"/>
      </w:rPr>
      <w:t xml:space="preserve">CONFIDENTIAL </w:t>
    </w:r>
    <w:r w:rsidRPr="00943B9A">
      <w:rPr>
        <w:sz w:val="20"/>
        <w:szCs w:val="20"/>
        <w:lang w:val="en-US"/>
      </w:rPr>
      <w:t xml:space="preserve">page </w:t>
    </w:r>
    <w:r w:rsidRPr="00943B9A">
      <w:rPr>
        <w:b/>
        <w:bCs/>
        <w:sz w:val="20"/>
        <w:szCs w:val="20"/>
        <w:lang w:val="en-US"/>
      </w:rPr>
      <w:fldChar w:fldCharType="begin"/>
    </w:r>
    <w:r w:rsidRPr="00943B9A">
      <w:rPr>
        <w:b/>
        <w:bCs/>
        <w:sz w:val="20"/>
        <w:szCs w:val="20"/>
        <w:lang w:val="en-US"/>
      </w:rPr>
      <w:instrText>PAGE</w:instrText>
    </w:r>
    <w:r w:rsidRPr="00943B9A">
      <w:rPr>
        <w:b/>
        <w:bCs/>
        <w:sz w:val="20"/>
        <w:szCs w:val="20"/>
        <w:lang w:val="en-US"/>
      </w:rPr>
      <w:fldChar w:fldCharType="separate"/>
    </w:r>
    <w:r w:rsidR="007645B8">
      <w:rPr>
        <w:b/>
        <w:bCs/>
        <w:noProof/>
        <w:sz w:val="20"/>
        <w:szCs w:val="20"/>
        <w:lang w:val="en-US"/>
      </w:rPr>
      <w:t>4</w:t>
    </w:r>
    <w:r w:rsidRPr="00943B9A">
      <w:rPr>
        <w:b/>
        <w:bCs/>
        <w:sz w:val="20"/>
        <w:szCs w:val="20"/>
        <w:lang w:val="en-US"/>
      </w:rPr>
      <w:fldChar w:fldCharType="end"/>
    </w:r>
    <w:r w:rsidRPr="00943B9A">
      <w:rPr>
        <w:sz w:val="20"/>
        <w:szCs w:val="20"/>
        <w:lang w:val="en-US"/>
      </w:rPr>
      <w:t xml:space="preserve"> of </w:t>
    </w:r>
    <w:r w:rsidRPr="00943B9A">
      <w:rPr>
        <w:b/>
        <w:bCs/>
        <w:sz w:val="20"/>
        <w:szCs w:val="20"/>
        <w:lang w:val="en-US"/>
      </w:rPr>
      <w:fldChar w:fldCharType="begin"/>
    </w:r>
    <w:r w:rsidRPr="00943B9A">
      <w:rPr>
        <w:b/>
        <w:bCs/>
        <w:sz w:val="20"/>
        <w:szCs w:val="20"/>
        <w:lang w:val="en-US"/>
      </w:rPr>
      <w:instrText>NUMPAGES</w:instrText>
    </w:r>
    <w:r w:rsidRPr="00943B9A">
      <w:rPr>
        <w:b/>
        <w:bCs/>
        <w:sz w:val="20"/>
        <w:szCs w:val="20"/>
        <w:lang w:val="en-US"/>
      </w:rPr>
      <w:fldChar w:fldCharType="separate"/>
    </w:r>
    <w:r w:rsidR="007645B8">
      <w:rPr>
        <w:b/>
        <w:bCs/>
        <w:noProof/>
        <w:sz w:val="20"/>
        <w:szCs w:val="20"/>
        <w:lang w:val="en-US"/>
      </w:rPr>
      <w:t>56</w:t>
    </w:r>
    <w:r w:rsidRPr="00943B9A">
      <w:rPr>
        <w:b/>
        <w:bCs/>
        <w:sz w:val="20"/>
        <w:szCs w:val="20"/>
        <w:lang w:val="en-US"/>
      </w:rPr>
      <w:fldChar w:fldCharType="end"/>
    </w:r>
    <w:bookmarkStart w:id="0" w:name="_Toc358040021"/>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E0A" w:rsidRDefault="000B6E0A">
      <w:pPr>
        <w:spacing w:after="0" w:line="240" w:lineRule="auto"/>
      </w:pPr>
      <w:r>
        <w:separator/>
      </w:r>
    </w:p>
  </w:footnote>
  <w:footnote w:type="continuationSeparator" w:id="0">
    <w:p w:rsidR="000B6E0A" w:rsidRDefault="000B6E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E0A" w:rsidRDefault="000B6E0A" w:rsidP="008355A9">
    <w:pPr>
      <w:pStyle w:val="Kopfzeile"/>
    </w:pPr>
  </w:p>
  <w:p w:rsidR="000B6E0A" w:rsidRDefault="000B6E0A" w:rsidP="008355A9">
    <w:pPr>
      <w:pStyle w:val="Kopfzeile"/>
    </w:pPr>
  </w:p>
  <w:p w:rsidR="000B6E0A" w:rsidRDefault="000B6E0A" w:rsidP="008355A9">
    <w:pPr>
      <w:pStyle w:val="Kopfzeile"/>
    </w:pPr>
  </w:p>
  <w:p w:rsidR="000B6E0A" w:rsidRDefault="000B6E0A" w:rsidP="008355A9">
    <w:pPr>
      <w:pStyle w:val="Kopfzeile"/>
    </w:pPr>
  </w:p>
  <w:p w:rsidR="000B6E0A" w:rsidRDefault="000B6E0A" w:rsidP="008355A9">
    <w:pPr>
      <w:pStyle w:val="Kopfzeile"/>
    </w:pPr>
  </w:p>
  <w:p w:rsidR="000B6E0A" w:rsidRDefault="000B6E0A" w:rsidP="008355A9">
    <w:pPr>
      <w:pStyle w:val="Kopfzeile"/>
    </w:pPr>
  </w:p>
  <w:p w:rsidR="000B6E0A" w:rsidRDefault="000B6E0A" w:rsidP="008355A9">
    <w:pPr>
      <w:pStyle w:val="Kopfzeile"/>
    </w:pPr>
  </w:p>
  <w:p w:rsidR="000B6E0A" w:rsidRDefault="000B6E0A" w:rsidP="008355A9">
    <w:pPr>
      <w:pStyle w:val="Kopfzeile"/>
      <w:pBdr>
        <w:bottom w:val="single" w:sz="6" w:space="1" w:color="auto"/>
      </w:pBdr>
    </w:pPr>
  </w:p>
  <w:p w:rsidR="000B6E0A" w:rsidRPr="00EF0D90" w:rsidRDefault="000B6E0A" w:rsidP="008355A9">
    <w:pPr>
      <w:tabs>
        <w:tab w:val="left" w:pos="285"/>
      </w:tabs>
      <w:spacing w:line="200" w:lineRule="exact"/>
      <w:rPr>
        <w:rFonts w:ascii="MetaNormal-Roman" w:hAnsi="MetaNormal-Roman"/>
        <w:b/>
        <w:bCs/>
        <w:color w:val="545455"/>
        <w:sz w:val="17"/>
        <w:szCs w:val="17"/>
      </w:rPr>
    </w:pPr>
    <w:r w:rsidRPr="00EF0D90">
      <w:rPr>
        <w:rFonts w:ascii="MetaNormal-Roman" w:hAnsi="MetaNormal-Roman"/>
        <w:b/>
        <w:bCs/>
        <w:color w:val="545455"/>
        <w:sz w:val="17"/>
        <w:szCs w:val="17"/>
      </w:rPr>
      <w:t>Abteilung Klinische Pharmakologie und Pharmakoepidemiologie</w:t>
    </w:r>
  </w:p>
  <w:p w:rsidR="000B6E0A" w:rsidRPr="00700938" w:rsidRDefault="000B6E0A" w:rsidP="008355A9">
    <w:pPr>
      <w:pStyle w:val="Kopfzeile"/>
    </w:pPr>
    <w:r>
      <w:rPr>
        <w:noProof/>
        <w:lang w:val="en-US"/>
      </w:rPr>
      <w:drawing>
        <wp:anchor distT="0" distB="0" distL="114300" distR="114300" simplePos="0" relativeHeight="251659264" behindDoc="0" locked="0" layoutInCell="1" allowOverlap="1" wp14:anchorId="48383B0A" wp14:editId="303DCE05">
          <wp:simplePos x="0" y="0"/>
          <wp:positionH relativeFrom="page">
            <wp:posOffset>813435</wp:posOffset>
          </wp:positionH>
          <wp:positionV relativeFrom="page">
            <wp:posOffset>144145</wp:posOffset>
          </wp:positionV>
          <wp:extent cx="1619250" cy="161925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0962" name="Bild 2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5A9" w:rsidRDefault="008355A9" w:rsidP="008355A9">
    <w:pPr>
      <w:pStyle w:val="Kopfzeile"/>
    </w:pPr>
    <w:r>
      <w:rPr>
        <w:noProof/>
        <w:lang w:val="en-US"/>
      </w:rPr>
      <w:drawing>
        <wp:anchor distT="0" distB="0" distL="114300" distR="114300" simplePos="0" relativeHeight="251660288" behindDoc="1" locked="0" layoutInCell="1" allowOverlap="1" wp14:anchorId="0C4FF789" wp14:editId="72D80CA5">
          <wp:simplePos x="0" y="0"/>
          <wp:positionH relativeFrom="page">
            <wp:posOffset>6259140</wp:posOffset>
          </wp:positionH>
          <wp:positionV relativeFrom="page">
            <wp:posOffset>395021</wp:posOffset>
          </wp:positionV>
          <wp:extent cx="455669" cy="599846"/>
          <wp:effectExtent l="0" t="0" r="190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882347" name="Bild 2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070" cy="599058"/>
                  </a:xfrm>
                  <a:prstGeom prst="rect">
                    <a:avLst/>
                  </a:prstGeom>
                  <a:noFill/>
                </pic:spPr>
              </pic:pic>
            </a:graphicData>
          </a:graphic>
          <wp14:sizeRelH relativeFrom="page">
            <wp14:pctWidth>0</wp14:pctWidth>
          </wp14:sizeRelH>
          <wp14:sizeRelV relativeFrom="page">
            <wp14:pctHeight>0</wp14:pctHeight>
          </wp14:sizeRelV>
        </wp:anchor>
      </w:drawing>
    </w:r>
  </w:p>
  <w:p w:rsidR="008355A9" w:rsidRDefault="008355A9" w:rsidP="008355A9">
    <w:pPr>
      <w:pStyle w:val="Kopfzeile"/>
    </w:pPr>
  </w:p>
  <w:p w:rsidR="008355A9" w:rsidRDefault="008355A9" w:rsidP="008355A9">
    <w:pPr>
      <w:pStyle w:val="Kopfzeile"/>
    </w:pPr>
  </w:p>
  <w:p w:rsidR="008355A9" w:rsidRPr="008F1AD0" w:rsidRDefault="008355A9" w:rsidP="008355A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BC4C61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D76C62"/>
    <w:multiLevelType w:val="hybridMultilevel"/>
    <w:tmpl w:val="772C5FA8"/>
    <w:lvl w:ilvl="0" w:tplc="00FE8162">
      <w:start w:val="1"/>
      <w:numFmt w:val="bullet"/>
      <w:lvlText w:val=""/>
      <w:lvlJc w:val="left"/>
      <w:pPr>
        <w:ind w:left="360" w:hanging="360"/>
      </w:pPr>
      <w:rPr>
        <w:rFonts w:ascii="Symbol" w:hAnsi="Symbol" w:hint="default"/>
      </w:rPr>
    </w:lvl>
    <w:lvl w:ilvl="1" w:tplc="1A2C7F92">
      <w:start w:val="1"/>
      <w:numFmt w:val="bullet"/>
      <w:lvlText w:val="o"/>
      <w:lvlJc w:val="left"/>
      <w:pPr>
        <w:ind w:left="1080" w:hanging="360"/>
      </w:pPr>
      <w:rPr>
        <w:rFonts w:ascii="Courier New" w:hAnsi="Courier New" w:hint="default"/>
      </w:rPr>
    </w:lvl>
    <w:lvl w:ilvl="2" w:tplc="7298BFEA">
      <w:start w:val="1"/>
      <w:numFmt w:val="bullet"/>
      <w:lvlText w:val=""/>
      <w:lvlJc w:val="left"/>
      <w:pPr>
        <w:ind w:left="1800" w:hanging="360"/>
      </w:pPr>
      <w:rPr>
        <w:rFonts w:ascii="Wingdings" w:hAnsi="Wingdings" w:hint="default"/>
      </w:rPr>
    </w:lvl>
    <w:lvl w:ilvl="3" w:tplc="198EAB26" w:tentative="1">
      <w:start w:val="1"/>
      <w:numFmt w:val="bullet"/>
      <w:lvlText w:val=""/>
      <w:lvlJc w:val="left"/>
      <w:pPr>
        <w:ind w:left="2520" w:hanging="360"/>
      </w:pPr>
      <w:rPr>
        <w:rFonts w:ascii="Symbol" w:hAnsi="Symbol" w:hint="default"/>
      </w:rPr>
    </w:lvl>
    <w:lvl w:ilvl="4" w:tplc="6F92B07C" w:tentative="1">
      <w:start w:val="1"/>
      <w:numFmt w:val="bullet"/>
      <w:lvlText w:val="o"/>
      <w:lvlJc w:val="left"/>
      <w:pPr>
        <w:ind w:left="3240" w:hanging="360"/>
      </w:pPr>
      <w:rPr>
        <w:rFonts w:ascii="Courier New" w:hAnsi="Courier New" w:hint="default"/>
      </w:rPr>
    </w:lvl>
    <w:lvl w:ilvl="5" w:tplc="1ABE758E" w:tentative="1">
      <w:start w:val="1"/>
      <w:numFmt w:val="bullet"/>
      <w:lvlText w:val=""/>
      <w:lvlJc w:val="left"/>
      <w:pPr>
        <w:ind w:left="3960" w:hanging="360"/>
      </w:pPr>
      <w:rPr>
        <w:rFonts w:ascii="Wingdings" w:hAnsi="Wingdings" w:hint="default"/>
      </w:rPr>
    </w:lvl>
    <w:lvl w:ilvl="6" w:tplc="29A2B3AE" w:tentative="1">
      <w:start w:val="1"/>
      <w:numFmt w:val="bullet"/>
      <w:lvlText w:val=""/>
      <w:lvlJc w:val="left"/>
      <w:pPr>
        <w:ind w:left="4680" w:hanging="360"/>
      </w:pPr>
      <w:rPr>
        <w:rFonts w:ascii="Symbol" w:hAnsi="Symbol" w:hint="default"/>
      </w:rPr>
    </w:lvl>
    <w:lvl w:ilvl="7" w:tplc="91C01C36" w:tentative="1">
      <w:start w:val="1"/>
      <w:numFmt w:val="bullet"/>
      <w:lvlText w:val="o"/>
      <w:lvlJc w:val="left"/>
      <w:pPr>
        <w:ind w:left="5400" w:hanging="360"/>
      </w:pPr>
      <w:rPr>
        <w:rFonts w:ascii="Courier New" w:hAnsi="Courier New" w:hint="default"/>
      </w:rPr>
    </w:lvl>
    <w:lvl w:ilvl="8" w:tplc="AFE0AEAE" w:tentative="1">
      <w:start w:val="1"/>
      <w:numFmt w:val="bullet"/>
      <w:lvlText w:val=""/>
      <w:lvlJc w:val="left"/>
      <w:pPr>
        <w:ind w:left="6120" w:hanging="360"/>
      </w:pPr>
      <w:rPr>
        <w:rFonts w:ascii="Wingdings" w:hAnsi="Wingdings" w:hint="default"/>
      </w:rPr>
    </w:lvl>
  </w:abstractNum>
  <w:abstractNum w:abstractNumId="2">
    <w:nsid w:val="031850DB"/>
    <w:multiLevelType w:val="hybridMultilevel"/>
    <w:tmpl w:val="DF2C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3241BB"/>
    <w:multiLevelType w:val="hybridMultilevel"/>
    <w:tmpl w:val="AC12D0D0"/>
    <w:lvl w:ilvl="0" w:tplc="43209FF8">
      <w:start w:val="1"/>
      <w:numFmt w:val="bullet"/>
      <w:lvlText w:val=""/>
      <w:lvlJc w:val="left"/>
      <w:pPr>
        <w:ind w:left="720" w:hanging="360"/>
      </w:pPr>
      <w:rPr>
        <w:rFonts w:ascii="Symbol" w:hAnsi="Symbol" w:hint="default"/>
      </w:rPr>
    </w:lvl>
    <w:lvl w:ilvl="1" w:tplc="5C9C69F4">
      <w:numFmt w:val="decimal"/>
      <w:lvlText w:val=""/>
      <w:lvlJc w:val="left"/>
      <w:rPr>
        <w:rFonts w:cs="Times New Roman"/>
      </w:rPr>
    </w:lvl>
    <w:lvl w:ilvl="2" w:tplc="0E6E00A2">
      <w:numFmt w:val="decimal"/>
      <w:lvlText w:val=""/>
      <w:lvlJc w:val="left"/>
      <w:rPr>
        <w:rFonts w:cs="Times New Roman"/>
      </w:rPr>
    </w:lvl>
    <w:lvl w:ilvl="3" w:tplc="8A126B5A">
      <w:numFmt w:val="decimal"/>
      <w:lvlText w:val=""/>
      <w:lvlJc w:val="left"/>
      <w:rPr>
        <w:rFonts w:cs="Times New Roman"/>
      </w:rPr>
    </w:lvl>
    <w:lvl w:ilvl="4" w:tplc="B778144E">
      <w:numFmt w:val="decimal"/>
      <w:lvlText w:val=""/>
      <w:lvlJc w:val="left"/>
      <w:rPr>
        <w:rFonts w:cs="Times New Roman"/>
      </w:rPr>
    </w:lvl>
    <w:lvl w:ilvl="5" w:tplc="40205C94">
      <w:numFmt w:val="decimal"/>
      <w:lvlText w:val=""/>
      <w:lvlJc w:val="left"/>
      <w:rPr>
        <w:rFonts w:cs="Times New Roman"/>
      </w:rPr>
    </w:lvl>
    <w:lvl w:ilvl="6" w:tplc="27C4E7C6">
      <w:numFmt w:val="decimal"/>
      <w:lvlText w:val=""/>
      <w:lvlJc w:val="left"/>
      <w:rPr>
        <w:rFonts w:cs="Times New Roman"/>
      </w:rPr>
    </w:lvl>
    <w:lvl w:ilvl="7" w:tplc="573E4D84">
      <w:numFmt w:val="decimal"/>
      <w:lvlText w:val=""/>
      <w:lvlJc w:val="left"/>
      <w:rPr>
        <w:rFonts w:cs="Times New Roman"/>
      </w:rPr>
    </w:lvl>
    <w:lvl w:ilvl="8" w:tplc="3CB07C24">
      <w:numFmt w:val="decimal"/>
      <w:lvlText w:val=""/>
      <w:lvlJc w:val="left"/>
      <w:rPr>
        <w:rFonts w:cs="Times New Roman"/>
      </w:rPr>
    </w:lvl>
  </w:abstractNum>
  <w:abstractNum w:abstractNumId="4">
    <w:nsid w:val="0BEE5568"/>
    <w:multiLevelType w:val="hybridMultilevel"/>
    <w:tmpl w:val="8F009D96"/>
    <w:lvl w:ilvl="0" w:tplc="9EA81E84">
      <w:start w:val="1"/>
      <w:numFmt w:val="bullet"/>
      <w:lvlText w:val=""/>
      <w:lvlJc w:val="left"/>
      <w:pPr>
        <w:ind w:left="720" w:hanging="360"/>
      </w:pPr>
      <w:rPr>
        <w:rFonts w:ascii="Symbol" w:hAnsi="Symbol" w:hint="default"/>
      </w:rPr>
    </w:lvl>
    <w:lvl w:ilvl="1" w:tplc="F86CF08A" w:tentative="1">
      <w:start w:val="1"/>
      <w:numFmt w:val="bullet"/>
      <w:lvlText w:val="o"/>
      <w:lvlJc w:val="left"/>
      <w:pPr>
        <w:ind w:left="1440" w:hanging="360"/>
      </w:pPr>
      <w:rPr>
        <w:rFonts w:ascii="Courier New" w:hAnsi="Courier New" w:cs="Courier New" w:hint="default"/>
      </w:rPr>
    </w:lvl>
    <w:lvl w:ilvl="2" w:tplc="98AEAFDC" w:tentative="1">
      <w:start w:val="1"/>
      <w:numFmt w:val="bullet"/>
      <w:lvlText w:val=""/>
      <w:lvlJc w:val="left"/>
      <w:pPr>
        <w:ind w:left="2160" w:hanging="360"/>
      </w:pPr>
      <w:rPr>
        <w:rFonts w:ascii="Wingdings" w:hAnsi="Wingdings" w:hint="default"/>
      </w:rPr>
    </w:lvl>
    <w:lvl w:ilvl="3" w:tplc="FBE4F44E" w:tentative="1">
      <w:start w:val="1"/>
      <w:numFmt w:val="bullet"/>
      <w:lvlText w:val=""/>
      <w:lvlJc w:val="left"/>
      <w:pPr>
        <w:ind w:left="2880" w:hanging="360"/>
      </w:pPr>
      <w:rPr>
        <w:rFonts w:ascii="Symbol" w:hAnsi="Symbol" w:hint="default"/>
      </w:rPr>
    </w:lvl>
    <w:lvl w:ilvl="4" w:tplc="DF36B9AE" w:tentative="1">
      <w:start w:val="1"/>
      <w:numFmt w:val="bullet"/>
      <w:lvlText w:val="o"/>
      <w:lvlJc w:val="left"/>
      <w:pPr>
        <w:ind w:left="3600" w:hanging="360"/>
      </w:pPr>
      <w:rPr>
        <w:rFonts w:ascii="Courier New" w:hAnsi="Courier New" w:cs="Courier New" w:hint="default"/>
      </w:rPr>
    </w:lvl>
    <w:lvl w:ilvl="5" w:tplc="DC6C9DF8" w:tentative="1">
      <w:start w:val="1"/>
      <w:numFmt w:val="bullet"/>
      <w:lvlText w:val=""/>
      <w:lvlJc w:val="left"/>
      <w:pPr>
        <w:ind w:left="4320" w:hanging="360"/>
      </w:pPr>
      <w:rPr>
        <w:rFonts w:ascii="Wingdings" w:hAnsi="Wingdings" w:hint="default"/>
      </w:rPr>
    </w:lvl>
    <w:lvl w:ilvl="6" w:tplc="CCDE0692" w:tentative="1">
      <w:start w:val="1"/>
      <w:numFmt w:val="bullet"/>
      <w:lvlText w:val=""/>
      <w:lvlJc w:val="left"/>
      <w:pPr>
        <w:ind w:left="5040" w:hanging="360"/>
      </w:pPr>
      <w:rPr>
        <w:rFonts w:ascii="Symbol" w:hAnsi="Symbol" w:hint="default"/>
      </w:rPr>
    </w:lvl>
    <w:lvl w:ilvl="7" w:tplc="5FEC60D2" w:tentative="1">
      <w:start w:val="1"/>
      <w:numFmt w:val="bullet"/>
      <w:lvlText w:val="o"/>
      <w:lvlJc w:val="left"/>
      <w:pPr>
        <w:ind w:left="5760" w:hanging="360"/>
      </w:pPr>
      <w:rPr>
        <w:rFonts w:ascii="Courier New" w:hAnsi="Courier New" w:cs="Courier New" w:hint="default"/>
      </w:rPr>
    </w:lvl>
    <w:lvl w:ilvl="8" w:tplc="B3B6FB14" w:tentative="1">
      <w:start w:val="1"/>
      <w:numFmt w:val="bullet"/>
      <w:lvlText w:val=""/>
      <w:lvlJc w:val="left"/>
      <w:pPr>
        <w:ind w:left="6480" w:hanging="360"/>
      </w:pPr>
      <w:rPr>
        <w:rFonts w:ascii="Wingdings" w:hAnsi="Wingdings" w:hint="default"/>
      </w:rPr>
    </w:lvl>
  </w:abstractNum>
  <w:abstractNum w:abstractNumId="5">
    <w:nsid w:val="1B414A7E"/>
    <w:multiLevelType w:val="hybridMultilevel"/>
    <w:tmpl w:val="00CAABAC"/>
    <w:lvl w:ilvl="0" w:tplc="775C63DA">
      <w:start w:val="1"/>
      <w:numFmt w:val="bullet"/>
      <w:lvlText w:val=""/>
      <w:lvlJc w:val="left"/>
      <w:pPr>
        <w:ind w:left="720" w:hanging="360"/>
      </w:pPr>
      <w:rPr>
        <w:rFonts w:ascii="Symbol" w:hAnsi="Symbol" w:hint="default"/>
      </w:rPr>
    </w:lvl>
    <w:lvl w:ilvl="1" w:tplc="10E8D010" w:tentative="1">
      <w:start w:val="1"/>
      <w:numFmt w:val="bullet"/>
      <w:lvlText w:val="o"/>
      <w:lvlJc w:val="left"/>
      <w:pPr>
        <w:ind w:left="1440" w:hanging="360"/>
      </w:pPr>
      <w:rPr>
        <w:rFonts w:ascii="Courier New" w:hAnsi="Courier New" w:cs="Courier New" w:hint="default"/>
      </w:rPr>
    </w:lvl>
    <w:lvl w:ilvl="2" w:tplc="B5D88C26" w:tentative="1">
      <w:start w:val="1"/>
      <w:numFmt w:val="bullet"/>
      <w:lvlText w:val=""/>
      <w:lvlJc w:val="left"/>
      <w:pPr>
        <w:ind w:left="2160" w:hanging="360"/>
      </w:pPr>
      <w:rPr>
        <w:rFonts w:ascii="Wingdings" w:hAnsi="Wingdings" w:hint="default"/>
      </w:rPr>
    </w:lvl>
    <w:lvl w:ilvl="3" w:tplc="EF123580" w:tentative="1">
      <w:start w:val="1"/>
      <w:numFmt w:val="bullet"/>
      <w:lvlText w:val=""/>
      <w:lvlJc w:val="left"/>
      <w:pPr>
        <w:ind w:left="2880" w:hanging="360"/>
      </w:pPr>
      <w:rPr>
        <w:rFonts w:ascii="Symbol" w:hAnsi="Symbol" w:hint="default"/>
      </w:rPr>
    </w:lvl>
    <w:lvl w:ilvl="4" w:tplc="FBB4B2F8" w:tentative="1">
      <w:start w:val="1"/>
      <w:numFmt w:val="bullet"/>
      <w:lvlText w:val="o"/>
      <w:lvlJc w:val="left"/>
      <w:pPr>
        <w:ind w:left="3600" w:hanging="360"/>
      </w:pPr>
      <w:rPr>
        <w:rFonts w:ascii="Courier New" w:hAnsi="Courier New" w:cs="Courier New" w:hint="default"/>
      </w:rPr>
    </w:lvl>
    <w:lvl w:ilvl="5" w:tplc="7EA64A2A" w:tentative="1">
      <w:start w:val="1"/>
      <w:numFmt w:val="bullet"/>
      <w:lvlText w:val=""/>
      <w:lvlJc w:val="left"/>
      <w:pPr>
        <w:ind w:left="4320" w:hanging="360"/>
      </w:pPr>
      <w:rPr>
        <w:rFonts w:ascii="Wingdings" w:hAnsi="Wingdings" w:hint="default"/>
      </w:rPr>
    </w:lvl>
    <w:lvl w:ilvl="6" w:tplc="BFFE1474" w:tentative="1">
      <w:start w:val="1"/>
      <w:numFmt w:val="bullet"/>
      <w:lvlText w:val=""/>
      <w:lvlJc w:val="left"/>
      <w:pPr>
        <w:ind w:left="5040" w:hanging="360"/>
      </w:pPr>
      <w:rPr>
        <w:rFonts w:ascii="Symbol" w:hAnsi="Symbol" w:hint="default"/>
      </w:rPr>
    </w:lvl>
    <w:lvl w:ilvl="7" w:tplc="088E78CE" w:tentative="1">
      <w:start w:val="1"/>
      <w:numFmt w:val="bullet"/>
      <w:lvlText w:val="o"/>
      <w:lvlJc w:val="left"/>
      <w:pPr>
        <w:ind w:left="5760" w:hanging="360"/>
      </w:pPr>
      <w:rPr>
        <w:rFonts w:ascii="Courier New" w:hAnsi="Courier New" w:cs="Courier New" w:hint="default"/>
      </w:rPr>
    </w:lvl>
    <w:lvl w:ilvl="8" w:tplc="D9FE654E" w:tentative="1">
      <w:start w:val="1"/>
      <w:numFmt w:val="bullet"/>
      <w:lvlText w:val=""/>
      <w:lvlJc w:val="left"/>
      <w:pPr>
        <w:ind w:left="6480" w:hanging="360"/>
      </w:pPr>
      <w:rPr>
        <w:rFonts w:ascii="Wingdings" w:hAnsi="Wingdings" w:hint="default"/>
      </w:rPr>
    </w:lvl>
  </w:abstractNum>
  <w:abstractNum w:abstractNumId="6">
    <w:nsid w:val="1C272AE2"/>
    <w:multiLevelType w:val="multilevel"/>
    <w:tmpl w:val="FDA64D6A"/>
    <w:lvl w:ilvl="0">
      <w:start w:val="8"/>
      <w:numFmt w:val="decimal"/>
      <w:lvlText w:val="%1."/>
      <w:lvlJc w:val="left"/>
      <w:pPr>
        <w:ind w:left="357" w:hanging="357"/>
      </w:pPr>
      <w:rPr>
        <w:rFonts w:cs="Times New Roman"/>
      </w:rPr>
    </w:lvl>
    <w:lvl w:ilvl="1">
      <w:start w:val="5"/>
      <w:numFmt w:val="decimal"/>
      <w:lvlText w:val="%1.%2."/>
      <w:lvlJc w:val="left"/>
      <w:pPr>
        <w:ind w:left="357" w:hanging="357"/>
      </w:pPr>
      <w:rPr>
        <w:rFonts w:cs="Times New Roman"/>
        <w:b w:val="0"/>
        <w:bCs w:val="0"/>
        <w:i w:val="0"/>
        <w:iCs w:val="0"/>
        <w:caps w:val="0"/>
        <w:smallCaps w:val="0"/>
        <w:strike w:val="0"/>
        <w:dstrike w:val="0"/>
        <w:vanish w:val="0"/>
        <w:webHidden w:val="0"/>
        <w:color w:val="000000"/>
        <w:spacing w:val="0"/>
        <w:kern w:val="0"/>
        <w:position w:val="0"/>
        <w:sz w:val="28"/>
        <w:u w:val="none"/>
        <w:effect w:val="none"/>
        <w:vertAlign w:val="baseline"/>
        <w:specVanish w:val="0"/>
      </w:rPr>
    </w:lvl>
    <w:lvl w:ilvl="2">
      <w:start w:val="1"/>
      <w:numFmt w:val="decimal"/>
      <w:lvlText w:val="%1.%2.%3."/>
      <w:lvlJc w:val="left"/>
      <w:pPr>
        <w:ind w:left="357" w:hanging="357"/>
      </w:pPr>
      <w:rPr>
        <w:rFonts w:cs="Times New Roman"/>
        <w:sz w:val="28"/>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7">
    <w:nsid w:val="1E50231F"/>
    <w:multiLevelType w:val="hybridMultilevel"/>
    <w:tmpl w:val="C0422D56"/>
    <w:lvl w:ilvl="0" w:tplc="0FA6B518">
      <w:start w:val="1"/>
      <w:numFmt w:val="bullet"/>
      <w:lvlText w:val=""/>
      <w:lvlJc w:val="left"/>
      <w:pPr>
        <w:ind w:left="360" w:hanging="360"/>
      </w:pPr>
      <w:rPr>
        <w:rFonts w:ascii="Symbol" w:hAnsi="Symbol" w:hint="default"/>
      </w:rPr>
    </w:lvl>
    <w:lvl w:ilvl="1" w:tplc="03424DDC">
      <w:start w:val="1"/>
      <w:numFmt w:val="bullet"/>
      <w:lvlText w:val="o"/>
      <w:lvlJc w:val="left"/>
      <w:pPr>
        <w:ind w:left="1080" w:hanging="360"/>
      </w:pPr>
      <w:rPr>
        <w:rFonts w:ascii="Courier New" w:hAnsi="Courier New" w:cs="Courier New" w:hint="default"/>
      </w:rPr>
    </w:lvl>
    <w:lvl w:ilvl="2" w:tplc="6CB86CC2" w:tentative="1">
      <w:start w:val="1"/>
      <w:numFmt w:val="bullet"/>
      <w:lvlText w:val=""/>
      <w:lvlJc w:val="left"/>
      <w:pPr>
        <w:ind w:left="1800" w:hanging="360"/>
      </w:pPr>
      <w:rPr>
        <w:rFonts w:ascii="Wingdings" w:hAnsi="Wingdings" w:hint="default"/>
      </w:rPr>
    </w:lvl>
    <w:lvl w:ilvl="3" w:tplc="BBAC4E30" w:tentative="1">
      <w:start w:val="1"/>
      <w:numFmt w:val="bullet"/>
      <w:lvlText w:val=""/>
      <w:lvlJc w:val="left"/>
      <w:pPr>
        <w:ind w:left="2520" w:hanging="360"/>
      </w:pPr>
      <w:rPr>
        <w:rFonts w:ascii="Symbol" w:hAnsi="Symbol" w:hint="default"/>
      </w:rPr>
    </w:lvl>
    <w:lvl w:ilvl="4" w:tplc="04904656" w:tentative="1">
      <w:start w:val="1"/>
      <w:numFmt w:val="bullet"/>
      <w:lvlText w:val="o"/>
      <w:lvlJc w:val="left"/>
      <w:pPr>
        <w:ind w:left="3240" w:hanging="360"/>
      </w:pPr>
      <w:rPr>
        <w:rFonts w:ascii="Courier New" w:hAnsi="Courier New" w:cs="Courier New" w:hint="default"/>
      </w:rPr>
    </w:lvl>
    <w:lvl w:ilvl="5" w:tplc="A6E2CB3A" w:tentative="1">
      <w:start w:val="1"/>
      <w:numFmt w:val="bullet"/>
      <w:lvlText w:val=""/>
      <w:lvlJc w:val="left"/>
      <w:pPr>
        <w:ind w:left="3960" w:hanging="360"/>
      </w:pPr>
      <w:rPr>
        <w:rFonts w:ascii="Wingdings" w:hAnsi="Wingdings" w:hint="default"/>
      </w:rPr>
    </w:lvl>
    <w:lvl w:ilvl="6" w:tplc="05D65E54" w:tentative="1">
      <w:start w:val="1"/>
      <w:numFmt w:val="bullet"/>
      <w:lvlText w:val=""/>
      <w:lvlJc w:val="left"/>
      <w:pPr>
        <w:ind w:left="4680" w:hanging="360"/>
      </w:pPr>
      <w:rPr>
        <w:rFonts w:ascii="Symbol" w:hAnsi="Symbol" w:hint="default"/>
      </w:rPr>
    </w:lvl>
    <w:lvl w:ilvl="7" w:tplc="34C022CE" w:tentative="1">
      <w:start w:val="1"/>
      <w:numFmt w:val="bullet"/>
      <w:lvlText w:val="o"/>
      <w:lvlJc w:val="left"/>
      <w:pPr>
        <w:ind w:left="5400" w:hanging="360"/>
      </w:pPr>
      <w:rPr>
        <w:rFonts w:ascii="Courier New" w:hAnsi="Courier New" w:cs="Courier New" w:hint="default"/>
      </w:rPr>
    </w:lvl>
    <w:lvl w:ilvl="8" w:tplc="BD46B842" w:tentative="1">
      <w:start w:val="1"/>
      <w:numFmt w:val="bullet"/>
      <w:lvlText w:val=""/>
      <w:lvlJc w:val="left"/>
      <w:pPr>
        <w:ind w:left="6120" w:hanging="360"/>
      </w:pPr>
      <w:rPr>
        <w:rFonts w:ascii="Wingdings" w:hAnsi="Wingdings" w:hint="default"/>
      </w:rPr>
    </w:lvl>
  </w:abstractNum>
  <w:abstractNum w:abstractNumId="8">
    <w:nsid w:val="20910473"/>
    <w:multiLevelType w:val="hybridMultilevel"/>
    <w:tmpl w:val="97F4F7DE"/>
    <w:lvl w:ilvl="0" w:tplc="7FD210E6">
      <w:start w:val="1"/>
      <w:numFmt w:val="decimal"/>
      <w:lvlText w:val="%1."/>
      <w:lvlJc w:val="left"/>
      <w:pPr>
        <w:ind w:left="720" w:hanging="360"/>
      </w:pPr>
      <w:rPr>
        <w:rFonts w:cs="Times New Roman"/>
      </w:rPr>
    </w:lvl>
    <w:lvl w:ilvl="1" w:tplc="BE7E63F2">
      <w:start w:val="1"/>
      <w:numFmt w:val="lowerLetter"/>
      <w:lvlText w:val="%2."/>
      <w:lvlJc w:val="left"/>
      <w:pPr>
        <w:ind w:left="1440" w:hanging="360"/>
      </w:pPr>
      <w:rPr>
        <w:rFonts w:cs="Times New Roman"/>
      </w:rPr>
    </w:lvl>
    <w:lvl w:ilvl="2" w:tplc="977AC666" w:tentative="1">
      <w:start w:val="1"/>
      <w:numFmt w:val="lowerRoman"/>
      <w:lvlText w:val="%3."/>
      <w:lvlJc w:val="right"/>
      <w:pPr>
        <w:ind w:left="2160" w:hanging="180"/>
      </w:pPr>
      <w:rPr>
        <w:rFonts w:cs="Times New Roman"/>
      </w:rPr>
    </w:lvl>
    <w:lvl w:ilvl="3" w:tplc="D3AC053E" w:tentative="1">
      <w:start w:val="1"/>
      <w:numFmt w:val="decimal"/>
      <w:lvlText w:val="%4."/>
      <w:lvlJc w:val="left"/>
      <w:pPr>
        <w:ind w:left="2880" w:hanging="360"/>
      </w:pPr>
      <w:rPr>
        <w:rFonts w:cs="Times New Roman"/>
      </w:rPr>
    </w:lvl>
    <w:lvl w:ilvl="4" w:tplc="97169562" w:tentative="1">
      <w:start w:val="1"/>
      <w:numFmt w:val="lowerLetter"/>
      <w:lvlText w:val="%5."/>
      <w:lvlJc w:val="left"/>
      <w:pPr>
        <w:ind w:left="3600" w:hanging="360"/>
      </w:pPr>
      <w:rPr>
        <w:rFonts w:cs="Times New Roman"/>
      </w:rPr>
    </w:lvl>
    <w:lvl w:ilvl="5" w:tplc="684CB506" w:tentative="1">
      <w:start w:val="1"/>
      <w:numFmt w:val="lowerRoman"/>
      <w:lvlText w:val="%6."/>
      <w:lvlJc w:val="right"/>
      <w:pPr>
        <w:ind w:left="4320" w:hanging="180"/>
      </w:pPr>
      <w:rPr>
        <w:rFonts w:cs="Times New Roman"/>
      </w:rPr>
    </w:lvl>
    <w:lvl w:ilvl="6" w:tplc="154C67DE" w:tentative="1">
      <w:start w:val="1"/>
      <w:numFmt w:val="decimal"/>
      <w:lvlText w:val="%7."/>
      <w:lvlJc w:val="left"/>
      <w:pPr>
        <w:ind w:left="5040" w:hanging="360"/>
      </w:pPr>
      <w:rPr>
        <w:rFonts w:cs="Times New Roman"/>
      </w:rPr>
    </w:lvl>
    <w:lvl w:ilvl="7" w:tplc="39084354" w:tentative="1">
      <w:start w:val="1"/>
      <w:numFmt w:val="lowerLetter"/>
      <w:lvlText w:val="%8."/>
      <w:lvlJc w:val="left"/>
      <w:pPr>
        <w:ind w:left="5760" w:hanging="360"/>
      </w:pPr>
      <w:rPr>
        <w:rFonts w:cs="Times New Roman"/>
      </w:rPr>
    </w:lvl>
    <w:lvl w:ilvl="8" w:tplc="39BA06F6" w:tentative="1">
      <w:start w:val="1"/>
      <w:numFmt w:val="lowerRoman"/>
      <w:lvlText w:val="%9."/>
      <w:lvlJc w:val="right"/>
      <w:pPr>
        <w:ind w:left="6480" w:hanging="180"/>
      </w:pPr>
      <w:rPr>
        <w:rFonts w:cs="Times New Roman"/>
      </w:rPr>
    </w:lvl>
  </w:abstractNum>
  <w:abstractNum w:abstractNumId="9">
    <w:nsid w:val="21020DEC"/>
    <w:multiLevelType w:val="multilevel"/>
    <w:tmpl w:val="2FFC4162"/>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2513757"/>
    <w:multiLevelType w:val="hybridMultilevel"/>
    <w:tmpl w:val="A1F607BC"/>
    <w:lvl w:ilvl="0" w:tplc="AEF0D0F6">
      <w:start w:val="1"/>
      <w:numFmt w:val="bullet"/>
      <w:lvlText w:val=""/>
      <w:lvlJc w:val="left"/>
      <w:pPr>
        <w:ind w:left="360" w:hanging="360"/>
      </w:pPr>
      <w:rPr>
        <w:rFonts w:ascii="Symbol" w:hAnsi="Symbol" w:hint="default"/>
      </w:rPr>
    </w:lvl>
    <w:lvl w:ilvl="1" w:tplc="036CB0A8" w:tentative="1">
      <w:start w:val="1"/>
      <w:numFmt w:val="bullet"/>
      <w:lvlText w:val="o"/>
      <w:lvlJc w:val="left"/>
      <w:pPr>
        <w:ind w:left="1080" w:hanging="360"/>
      </w:pPr>
      <w:rPr>
        <w:rFonts w:ascii="Courier New" w:hAnsi="Courier New" w:hint="default"/>
      </w:rPr>
    </w:lvl>
    <w:lvl w:ilvl="2" w:tplc="AA4E0186" w:tentative="1">
      <w:start w:val="1"/>
      <w:numFmt w:val="bullet"/>
      <w:lvlText w:val=""/>
      <w:lvlJc w:val="left"/>
      <w:pPr>
        <w:ind w:left="1800" w:hanging="360"/>
      </w:pPr>
      <w:rPr>
        <w:rFonts w:ascii="Wingdings" w:hAnsi="Wingdings" w:hint="default"/>
      </w:rPr>
    </w:lvl>
    <w:lvl w:ilvl="3" w:tplc="B4A84786" w:tentative="1">
      <w:start w:val="1"/>
      <w:numFmt w:val="bullet"/>
      <w:lvlText w:val=""/>
      <w:lvlJc w:val="left"/>
      <w:pPr>
        <w:ind w:left="2520" w:hanging="360"/>
      </w:pPr>
      <w:rPr>
        <w:rFonts w:ascii="Symbol" w:hAnsi="Symbol" w:hint="default"/>
      </w:rPr>
    </w:lvl>
    <w:lvl w:ilvl="4" w:tplc="2B98D888" w:tentative="1">
      <w:start w:val="1"/>
      <w:numFmt w:val="bullet"/>
      <w:lvlText w:val="o"/>
      <w:lvlJc w:val="left"/>
      <w:pPr>
        <w:ind w:left="3240" w:hanging="360"/>
      </w:pPr>
      <w:rPr>
        <w:rFonts w:ascii="Courier New" w:hAnsi="Courier New" w:hint="default"/>
      </w:rPr>
    </w:lvl>
    <w:lvl w:ilvl="5" w:tplc="54E40F98" w:tentative="1">
      <w:start w:val="1"/>
      <w:numFmt w:val="bullet"/>
      <w:lvlText w:val=""/>
      <w:lvlJc w:val="left"/>
      <w:pPr>
        <w:ind w:left="3960" w:hanging="360"/>
      </w:pPr>
      <w:rPr>
        <w:rFonts w:ascii="Wingdings" w:hAnsi="Wingdings" w:hint="default"/>
      </w:rPr>
    </w:lvl>
    <w:lvl w:ilvl="6" w:tplc="93E4F9F6" w:tentative="1">
      <w:start w:val="1"/>
      <w:numFmt w:val="bullet"/>
      <w:lvlText w:val=""/>
      <w:lvlJc w:val="left"/>
      <w:pPr>
        <w:ind w:left="4680" w:hanging="360"/>
      </w:pPr>
      <w:rPr>
        <w:rFonts w:ascii="Symbol" w:hAnsi="Symbol" w:hint="default"/>
      </w:rPr>
    </w:lvl>
    <w:lvl w:ilvl="7" w:tplc="E11EEC52" w:tentative="1">
      <w:start w:val="1"/>
      <w:numFmt w:val="bullet"/>
      <w:lvlText w:val="o"/>
      <w:lvlJc w:val="left"/>
      <w:pPr>
        <w:ind w:left="5400" w:hanging="360"/>
      </w:pPr>
      <w:rPr>
        <w:rFonts w:ascii="Courier New" w:hAnsi="Courier New" w:hint="default"/>
      </w:rPr>
    </w:lvl>
    <w:lvl w:ilvl="8" w:tplc="CB227F26" w:tentative="1">
      <w:start w:val="1"/>
      <w:numFmt w:val="bullet"/>
      <w:lvlText w:val=""/>
      <w:lvlJc w:val="left"/>
      <w:pPr>
        <w:ind w:left="6120" w:hanging="360"/>
      </w:pPr>
      <w:rPr>
        <w:rFonts w:ascii="Wingdings" w:hAnsi="Wingdings" w:hint="default"/>
      </w:rPr>
    </w:lvl>
  </w:abstractNum>
  <w:abstractNum w:abstractNumId="11">
    <w:nsid w:val="2CCE1317"/>
    <w:multiLevelType w:val="hybridMultilevel"/>
    <w:tmpl w:val="2F728D26"/>
    <w:lvl w:ilvl="0" w:tplc="75F6E9C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F8125B"/>
    <w:multiLevelType w:val="hybridMultilevel"/>
    <w:tmpl w:val="E19A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AE58A9"/>
    <w:multiLevelType w:val="hybridMultilevel"/>
    <w:tmpl w:val="20920546"/>
    <w:lvl w:ilvl="0" w:tplc="04090001">
      <w:start w:val="1"/>
      <w:numFmt w:val="bullet"/>
      <w:lvlText w:val=""/>
      <w:lvlJc w:val="left"/>
      <w:pPr>
        <w:ind w:left="720" w:hanging="360"/>
      </w:pPr>
      <w:rPr>
        <w:rFonts w:ascii="Symbol" w:hAnsi="Symbol" w:hint="default"/>
      </w:rPr>
    </w:lvl>
    <w:lvl w:ilvl="1" w:tplc="C2BE8D2C">
      <w:start w:val="1"/>
      <w:numFmt w:val="lowerLetter"/>
      <w:lvlText w:val="%2."/>
      <w:lvlJc w:val="left"/>
      <w:pPr>
        <w:ind w:left="1440" w:hanging="360"/>
      </w:pPr>
      <w:rPr>
        <w:rFonts w:cs="Times New Roman"/>
      </w:rPr>
    </w:lvl>
    <w:lvl w:ilvl="2" w:tplc="7C6E0AF0" w:tentative="1">
      <w:start w:val="1"/>
      <w:numFmt w:val="lowerRoman"/>
      <w:lvlText w:val="%3."/>
      <w:lvlJc w:val="right"/>
      <w:pPr>
        <w:ind w:left="2160" w:hanging="180"/>
      </w:pPr>
      <w:rPr>
        <w:rFonts w:cs="Times New Roman"/>
      </w:rPr>
    </w:lvl>
    <w:lvl w:ilvl="3" w:tplc="03C03A44" w:tentative="1">
      <w:start w:val="1"/>
      <w:numFmt w:val="decimal"/>
      <w:lvlText w:val="%4."/>
      <w:lvlJc w:val="left"/>
      <w:pPr>
        <w:ind w:left="2880" w:hanging="360"/>
      </w:pPr>
      <w:rPr>
        <w:rFonts w:cs="Times New Roman"/>
      </w:rPr>
    </w:lvl>
    <w:lvl w:ilvl="4" w:tplc="AC04B9FA" w:tentative="1">
      <w:start w:val="1"/>
      <w:numFmt w:val="lowerLetter"/>
      <w:lvlText w:val="%5."/>
      <w:lvlJc w:val="left"/>
      <w:pPr>
        <w:ind w:left="3600" w:hanging="360"/>
      </w:pPr>
      <w:rPr>
        <w:rFonts w:cs="Times New Roman"/>
      </w:rPr>
    </w:lvl>
    <w:lvl w:ilvl="5" w:tplc="33F6C49E" w:tentative="1">
      <w:start w:val="1"/>
      <w:numFmt w:val="lowerRoman"/>
      <w:lvlText w:val="%6."/>
      <w:lvlJc w:val="right"/>
      <w:pPr>
        <w:ind w:left="4320" w:hanging="180"/>
      </w:pPr>
      <w:rPr>
        <w:rFonts w:cs="Times New Roman"/>
      </w:rPr>
    </w:lvl>
    <w:lvl w:ilvl="6" w:tplc="933A8E36" w:tentative="1">
      <w:start w:val="1"/>
      <w:numFmt w:val="decimal"/>
      <w:lvlText w:val="%7."/>
      <w:lvlJc w:val="left"/>
      <w:pPr>
        <w:ind w:left="5040" w:hanging="360"/>
      </w:pPr>
      <w:rPr>
        <w:rFonts w:cs="Times New Roman"/>
      </w:rPr>
    </w:lvl>
    <w:lvl w:ilvl="7" w:tplc="2D52FD36" w:tentative="1">
      <w:start w:val="1"/>
      <w:numFmt w:val="lowerLetter"/>
      <w:lvlText w:val="%8."/>
      <w:lvlJc w:val="left"/>
      <w:pPr>
        <w:ind w:left="5760" w:hanging="360"/>
      </w:pPr>
      <w:rPr>
        <w:rFonts w:cs="Times New Roman"/>
      </w:rPr>
    </w:lvl>
    <w:lvl w:ilvl="8" w:tplc="9BE41DFE" w:tentative="1">
      <w:start w:val="1"/>
      <w:numFmt w:val="lowerRoman"/>
      <w:lvlText w:val="%9."/>
      <w:lvlJc w:val="right"/>
      <w:pPr>
        <w:ind w:left="6480" w:hanging="180"/>
      </w:pPr>
      <w:rPr>
        <w:rFonts w:cs="Times New Roman"/>
      </w:rPr>
    </w:lvl>
  </w:abstractNum>
  <w:abstractNum w:abstractNumId="14">
    <w:nsid w:val="366E6A29"/>
    <w:multiLevelType w:val="hybridMultilevel"/>
    <w:tmpl w:val="97F4F7DE"/>
    <w:lvl w:ilvl="0" w:tplc="E9AE66A2">
      <w:start w:val="1"/>
      <w:numFmt w:val="decimal"/>
      <w:lvlText w:val="%1."/>
      <w:lvlJc w:val="left"/>
      <w:pPr>
        <w:ind w:left="720" w:hanging="360"/>
      </w:pPr>
      <w:rPr>
        <w:rFonts w:cs="Times New Roman"/>
      </w:rPr>
    </w:lvl>
    <w:lvl w:ilvl="1" w:tplc="C2BE8D2C">
      <w:start w:val="1"/>
      <w:numFmt w:val="lowerLetter"/>
      <w:lvlText w:val="%2."/>
      <w:lvlJc w:val="left"/>
      <w:pPr>
        <w:ind w:left="1440" w:hanging="360"/>
      </w:pPr>
      <w:rPr>
        <w:rFonts w:cs="Times New Roman"/>
      </w:rPr>
    </w:lvl>
    <w:lvl w:ilvl="2" w:tplc="7C6E0AF0" w:tentative="1">
      <w:start w:val="1"/>
      <w:numFmt w:val="lowerRoman"/>
      <w:lvlText w:val="%3."/>
      <w:lvlJc w:val="right"/>
      <w:pPr>
        <w:ind w:left="2160" w:hanging="180"/>
      </w:pPr>
      <w:rPr>
        <w:rFonts w:cs="Times New Roman"/>
      </w:rPr>
    </w:lvl>
    <w:lvl w:ilvl="3" w:tplc="03C03A44" w:tentative="1">
      <w:start w:val="1"/>
      <w:numFmt w:val="decimal"/>
      <w:lvlText w:val="%4."/>
      <w:lvlJc w:val="left"/>
      <w:pPr>
        <w:ind w:left="2880" w:hanging="360"/>
      </w:pPr>
      <w:rPr>
        <w:rFonts w:cs="Times New Roman"/>
      </w:rPr>
    </w:lvl>
    <w:lvl w:ilvl="4" w:tplc="AC04B9FA" w:tentative="1">
      <w:start w:val="1"/>
      <w:numFmt w:val="lowerLetter"/>
      <w:lvlText w:val="%5."/>
      <w:lvlJc w:val="left"/>
      <w:pPr>
        <w:ind w:left="3600" w:hanging="360"/>
      </w:pPr>
      <w:rPr>
        <w:rFonts w:cs="Times New Roman"/>
      </w:rPr>
    </w:lvl>
    <w:lvl w:ilvl="5" w:tplc="33F6C49E" w:tentative="1">
      <w:start w:val="1"/>
      <w:numFmt w:val="lowerRoman"/>
      <w:lvlText w:val="%6."/>
      <w:lvlJc w:val="right"/>
      <w:pPr>
        <w:ind w:left="4320" w:hanging="180"/>
      </w:pPr>
      <w:rPr>
        <w:rFonts w:cs="Times New Roman"/>
      </w:rPr>
    </w:lvl>
    <w:lvl w:ilvl="6" w:tplc="933A8E36" w:tentative="1">
      <w:start w:val="1"/>
      <w:numFmt w:val="decimal"/>
      <w:lvlText w:val="%7."/>
      <w:lvlJc w:val="left"/>
      <w:pPr>
        <w:ind w:left="5040" w:hanging="360"/>
      </w:pPr>
      <w:rPr>
        <w:rFonts w:cs="Times New Roman"/>
      </w:rPr>
    </w:lvl>
    <w:lvl w:ilvl="7" w:tplc="2D52FD36" w:tentative="1">
      <w:start w:val="1"/>
      <w:numFmt w:val="lowerLetter"/>
      <w:lvlText w:val="%8."/>
      <w:lvlJc w:val="left"/>
      <w:pPr>
        <w:ind w:left="5760" w:hanging="360"/>
      </w:pPr>
      <w:rPr>
        <w:rFonts w:cs="Times New Roman"/>
      </w:rPr>
    </w:lvl>
    <w:lvl w:ilvl="8" w:tplc="9BE41DFE" w:tentative="1">
      <w:start w:val="1"/>
      <w:numFmt w:val="lowerRoman"/>
      <w:lvlText w:val="%9."/>
      <w:lvlJc w:val="right"/>
      <w:pPr>
        <w:ind w:left="6480" w:hanging="180"/>
      </w:pPr>
      <w:rPr>
        <w:rFonts w:cs="Times New Roman"/>
      </w:rPr>
    </w:lvl>
  </w:abstractNum>
  <w:abstractNum w:abstractNumId="15">
    <w:nsid w:val="3AE7627D"/>
    <w:multiLevelType w:val="hybridMultilevel"/>
    <w:tmpl w:val="5EE2A2A4"/>
    <w:lvl w:ilvl="0" w:tplc="0F46320C">
      <w:start w:val="125"/>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D3E3F86"/>
    <w:multiLevelType w:val="hybridMultilevel"/>
    <w:tmpl w:val="7FD0D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8F4EFF"/>
    <w:multiLevelType w:val="hybridMultilevel"/>
    <w:tmpl w:val="F8B4C712"/>
    <w:lvl w:ilvl="0" w:tplc="97A889A6">
      <w:start w:val="1"/>
      <w:numFmt w:val="lowerLetter"/>
      <w:lvlText w:val="%1)"/>
      <w:lvlJc w:val="left"/>
      <w:pPr>
        <w:ind w:left="1042" w:hanging="360"/>
      </w:pPr>
      <w:rPr>
        <w:rFonts w:ascii="Calibri" w:eastAsia="MS Mincho" w:hAnsi="Calibri" w:cs="Times"/>
      </w:rPr>
    </w:lvl>
    <w:lvl w:ilvl="1" w:tplc="105CF8DA">
      <w:start w:val="1"/>
      <w:numFmt w:val="bullet"/>
      <w:lvlText w:val="o"/>
      <w:lvlJc w:val="left"/>
      <w:pPr>
        <w:ind w:left="1762" w:hanging="360"/>
      </w:pPr>
      <w:rPr>
        <w:rFonts w:ascii="Courier New" w:hAnsi="Courier New" w:hint="default"/>
      </w:rPr>
    </w:lvl>
    <w:lvl w:ilvl="2" w:tplc="6284000E" w:tentative="1">
      <w:start w:val="1"/>
      <w:numFmt w:val="bullet"/>
      <w:lvlText w:val=""/>
      <w:lvlJc w:val="left"/>
      <w:pPr>
        <w:ind w:left="2482" w:hanging="360"/>
      </w:pPr>
      <w:rPr>
        <w:rFonts w:ascii="Wingdings" w:hAnsi="Wingdings" w:hint="default"/>
      </w:rPr>
    </w:lvl>
    <w:lvl w:ilvl="3" w:tplc="67A22A2E" w:tentative="1">
      <w:start w:val="1"/>
      <w:numFmt w:val="bullet"/>
      <w:lvlText w:val=""/>
      <w:lvlJc w:val="left"/>
      <w:pPr>
        <w:ind w:left="3202" w:hanging="360"/>
      </w:pPr>
      <w:rPr>
        <w:rFonts w:ascii="Symbol" w:hAnsi="Symbol" w:hint="default"/>
      </w:rPr>
    </w:lvl>
    <w:lvl w:ilvl="4" w:tplc="7854A0D2" w:tentative="1">
      <w:start w:val="1"/>
      <w:numFmt w:val="bullet"/>
      <w:lvlText w:val="o"/>
      <w:lvlJc w:val="left"/>
      <w:pPr>
        <w:ind w:left="3922" w:hanging="360"/>
      </w:pPr>
      <w:rPr>
        <w:rFonts w:ascii="Courier New" w:hAnsi="Courier New" w:hint="default"/>
      </w:rPr>
    </w:lvl>
    <w:lvl w:ilvl="5" w:tplc="28C221E6" w:tentative="1">
      <w:start w:val="1"/>
      <w:numFmt w:val="bullet"/>
      <w:lvlText w:val=""/>
      <w:lvlJc w:val="left"/>
      <w:pPr>
        <w:ind w:left="4642" w:hanging="360"/>
      </w:pPr>
      <w:rPr>
        <w:rFonts w:ascii="Wingdings" w:hAnsi="Wingdings" w:hint="default"/>
      </w:rPr>
    </w:lvl>
    <w:lvl w:ilvl="6" w:tplc="E99C8D32" w:tentative="1">
      <w:start w:val="1"/>
      <w:numFmt w:val="bullet"/>
      <w:lvlText w:val=""/>
      <w:lvlJc w:val="left"/>
      <w:pPr>
        <w:ind w:left="5362" w:hanging="360"/>
      </w:pPr>
      <w:rPr>
        <w:rFonts w:ascii="Symbol" w:hAnsi="Symbol" w:hint="default"/>
      </w:rPr>
    </w:lvl>
    <w:lvl w:ilvl="7" w:tplc="40929D68" w:tentative="1">
      <w:start w:val="1"/>
      <w:numFmt w:val="bullet"/>
      <w:lvlText w:val="o"/>
      <w:lvlJc w:val="left"/>
      <w:pPr>
        <w:ind w:left="6082" w:hanging="360"/>
      </w:pPr>
      <w:rPr>
        <w:rFonts w:ascii="Courier New" w:hAnsi="Courier New" w:hint="default"/>
      </w:rPr>
    </w:lvl>
    <w:lvl w:ilvl="8" w:tplc="0DF8342E" w:tentative="1">
      <w:start w:val="1"/>
      <w:numFmt w:val="bullet"/>
      <w:lvlText w:val=""/>
      <w:lvlJc w:val="left"/>
      <w:pPr>
        <w:ind w:left="6802" w:hanging="360"/>
      </w:pPr>
      <w:rPr>
        <w:rFonts w:ascii="Wingdings" w:hAnsi="Wingdings" w:hint="default"/>
      </w:rPr>
    </w:lvl>
  </w:abstractNum>
  <w:abstractNum w:abstractNumId="18">
    <w:nsid w:val="415935B9"/>
    <w:multiLevelType w:val="hybridMultilevel"/>
    <w:tmpl w:val="97F4F7DE"/>
    <w:lvl w:ilvl="0" w:tplc="C1823DB2">
      <w:start w:val="1"/>
      <w:numFmt w:val="decimal"/>
      <w:lvlText w:val="%1."/>
      <w:lvlJc w:val="left"/>
      <w:pPr>
        <w:ind w:left="360" w:hanging="360"/>
      </w:pPr>
      <w:rPr>
        <w:rFonts w:cs="Times New Roman"/>
      </w:rPr>
    </w:lvl>
    <w:lvl w:ilvl="1" w:tplc="611242D6">
      <w:start w:val="1"/>
      <w:numFmt w:val="lowerLetter"/>
      <w:lvlText w:val="%2."/>
      <w:lvlJc w:val="left"/>
      <w:pPr>
        <w:ind w:left="1080" w:hanging="360"/>
      </w:pPr>
      <w:rPr>
        <w:rFonts w:cs="Times New Roman"/>
      </w:rPr>
    </w:lvl>
    <w:lvl w:ilvl="2" w:tplc="9CFE4076" w:tentative="1">
      <w:start w:val="1"/>
      <w:numFmt w:val="lowerRoman"/>
      <w:lvlText w:val="%3."/>
      <w:lvlJc w:val="right"/>
      <w:pPr>
        <w:ind w:left="1800" w:hanging="180"/>
      </w:pPr>
      <w:rPr>
        <w:rFonts w:cs="Times New Roman"/>
      </w:rPr>
    </w:lvl>
    <w:lvl w:ilvl="3" w:tplc="61DE117C" w:tentative="1">
      <w:start w:val="1"/>
      <w:numFmt w:val="decimal"/>
      <w:lvlText w:val="%4."/>
      <w:lvlJc w:val="left"/>
      <w:pPr>
        <w:ind w:left="2520" w:hanging="360"/>
      </w:pPr>
      <w:rPr>
        <w:rFonts w:cs="Times New Roman"/>
      </w:rPr>
    </w:lvl>
    <w:lvl w:ilvl="4" w:tplc="11E83AA6" w:tentative="1">
      <w:start w:val="1"/>
      <w:numFmt w:val="lowerLetter"/>
      <w:lvlText w:val="%5."/>
      <w:lvlJc w:val="left"/>
      <w:pPr>
        <w:ind w:left="3240" w:hanging="360"/>
      </w:pPr>
      <w:rPr>
        <w:rFonts w:cs="Times New Roman"/>
      </w:rPr>
    </w:lvl>
    <w:lvl w:ilvl="5" w:tplc="844CD9C0" w:tentative="1">
      <w:start w:val="1"/>
      <w:numFmt w:val="lowerRoman"/>
      <w:lvlText w:val="%6."/>
      <w:lvlJc w:val="right"/>
      <w:pPr>
        <w:ind w:left="3960" w:hanging="180"/>
      </w:pPr>
      <w:rPr>
        <w:rFonts w:cs="Times New Roman"/>
      </w:rPr>
    </w:lvl>
    <w:lvl w:ilvl="6" w:tplc="26CCE810" w:tentative="1">
      <w:start w:val="1"/>
      <w:numFmt w:val="decimal"/>
      <w:lvlText w:val="%7."/>
      <w:lvlJc w:val="left"/>
      <w:pPr>
        <w:ind w:left="4680" w:hanging="360"/>
      </w:pPr>
      <w:rPr>
        <w:rFonts w:cs="Times New Roman"/>
      </w:rPr>
    </w:lvl>
    <w:lvl w:ilvl="7" w:tplc="41AA734A" w:tentative="1">
      <w:start w:val="1"/>
      <w:numFmt w:val="lowerLetter"/>
      <w:lvlText w:val="%8."/>
      <w:lvlJc w:val="left"/>
      <w:pPr>
        <w:ind w:left="5400" w:hanging="360"/>
      </w:pPr>
      <w:rPr>
        <w:rFonts w:cs="Times New Roman"/>
      </w:rPr>
    </w:lvl>
    <w:lvl w:ilvl="8" w:tplc="481CF1A4" w:tentative="1">
      <w:start w:val="1"/>
      <w:numFmt w:val="lowerRoman"/>
      <w:lvlText w:val="%9."/>
      <w:lvlJc w:val="right"/>
      <w:pPr>
        <w:ind w:left="6120" w:hanging="180"/>
      </w:pPr>
      <w:rPr>
        <w:rFonts w:cs="Times New Roman"/>
      </w:rPr>
    </w:lvl>
  </w:abstractNum>
  <w:abstractNum w:abstractNumId="19">
    <w:nsid w:val="480A6680"/>
    <w:multiLevelType w:val="hybridMultilevel"/>
    <w:tmpl w:val="BDC85254"/>
    <w:lvl w:ilvl="0" w:tplc="C1823DB2">
      <w:start w:val="1"/>
      <w:numFmt w:val="decimal"/>
      <w:lvlText w:val="%1."/>
      <w:lvlJc w:val="left"/>
      <w:pPr>
        <w:ind w:left="720" w:hanging="360"/>
      </w:pPr>
      <w:rPr>
        <w:rFonts w:cs="Times New Roman"/>
      </w:rPr>
    </w:lvl>
    <w:lvl w:ilvl="1" w:tplc="611242D6">
      <w:start w:val="1"/>
      <w:numFmt w:val="lowerLetter"/>
      <w:lvlText w:val="%2."/>
      <w:lvlJc w:val="left"/>
      <w:pPr>
        <w:ind w:left="1440" w:hanging="360"/>
      </w:pPr>
      <w:rPr>
        <w:rFonts w:cs="Times New Roman"/>
      </w:rPr>
    </w:lvl>
    <w:lvl w:ilvl="2" w:tplc="9CFE4076" w:tentative="1">
      <w:start w:val="1"/>
      <w:numFmt w:val="lowerRoman"/>
      <w:lvlText w:val="%3."/>
      <w:lvlJc w:val="right"/>
      <w:pPr>
        <w:ind w:left="2160" w:hanging="180"/>
      </w:pPr>
      <w:rPr>
        <w:rFonts w:cs="Times New Roman"/>
      </w:rPr>
    </w:lvl>
    <w:lvl w:ilvl="3" w:tplc="61DE117C" w:tentative="1">
      <w:start w:val="1"/>
      <w:numFmt w:val="decimal"/>
      <w:lvlText w:val="%4."/>
      <w:lvlJc w:val="left"/>
      <w:pPr>
        <w:ind w:left="2880" w:hanging="360"/>
      </w:pPr>
      <w:rPr>
        <w:rFonts w:cs="Times New Roman"/>
      </w:rPr>
    </w:lvl>
    <w:lvl w:ilvl="4" w:tplc="11E83AA6" w:tentative="1">
      <w:start w:val="1"/>
      <w:numFmt w:val="lowerLetter"/>
      <w:lvlText w:val="%5."/>
      <w:lvlJc w:val="left"/>
      <w:pPr>
        <w:ind w:left="3600" w:hanging="360"/>
      </w:pPr>
      <w:rPr>
        <w:rFonts w:cs="Times New Roman"/>
      </w:rPr>
    </w:lvl>
    <w:lvl w:ilvl="5" w:tplc="844CD9C0" w:tentative="1">
      <w:start w:val="1"/>
      <w:numFmt w:val="lowerRoman"/>
      <w:lvlText w:val="%6."/>
      <w:lvlJc w:val="right"/>
      <w:pPr>
        <w:ind w:left="4320" w:hanging="180"/>
      </w:pPr>
      <w:rPr>
        <w:rFonts w:cs="Times New Roman"/>
      </w:rPr>
    </w:lvl>
    <w:lvl w:ilvl="6" w:tplc="26CCE810" w:tentative="1">
      <w:start w:val="1"/>
      <w:numFmt w:val="decimal"/>
      <w:lvlText w:val="%7."/>
      <w:lvlJc w:val="left"/>
      <w:pPr>
        <w:ind w:left="5040" w:hanging="360"/>
      </w:pPr>
      <w:rPr>
        <w:rFonts w:cs="Times New Roman"/>
      </w:rPr>
    </w:lvl>
    <w:lvl w:ilvl="7" w:tplc="41AA734A" w:tentative="1">
      <w:start w:val="1"/>
      <w:numFmt w:val="lowerLetter"/>
      <w:lvlText w:val="%8."/>
      <w:lvlJc w:val="left"/>
      <w:pPr>
        <w:ind w:left="5760" w:hanging="360"/>
      </w:pPr>
      <w:rPr>
        <w:rFonts w:cs="Times New Roman"/>
      </w:rPr>
    </w:lvl>
    <w:lvl w:ilvl="8" w:tplc="481CF1A4" w:tentative="1">
      <w:start w:val="1"/>
      <w:numFmt w:val="lowerRoman"/>
      <w:lvlText w:val="%9."/>
      <w:lvlJc w:val="right"/>
      <w:pPr>
        <w:ind w:left="6480" w:hanging="180"/>
      </w:pPr>
      <w:rPr>
        <w:rFonts w:cs="Times New Roman"/>
      </w:rPr>
    </w:lvl>
  </w:abstractNum>
  <w:abstractNum w:abstractNumId="20">
    <w:nsid w:val="4EDA51AE"/>
    <w:multiLevelType w:val="hybridMultilevel"/>
    <w:tmpl w:val="F8B4C712"/>
    <w:lvl w:ilvl="0" w:tplc="97A889A6">
      <w:start w:val="1"/>
      <w:numFmt w:val="lowerLetter"/>
      <w:lvlText w:val="%1)"/>
      <w:lvlJc w:val="left"/>
      <w:pPr>
        <w:ind w:left="1042" w:hanging="360"/>
      </w:pPr>
      <w:rPr>
        <w:rFonts w:ascii="Calibri" w:eastAsia="MS Mincho" w:hAnsi="Calibri" w:cs="Times"/>
      </w:rPr>
    </w:lvl>
    <w:lvl w:ilvl="1" w:tplc="105CF8DA">
      <w:start w:val="1"/>
      <w:numFmt w:val="bullet"/>
      <w:lvlText w:val="o"/>
      <w:lvlJc w:val="left"/>
      <w:pPr>
        <w:ind w:left="1762" w:hanging="360"/>
      </w:pPr>
      <w:rPr>
        <w:rFonts w:ascii="Courier New" w:hAnsi="Courier New" w:hint="default"/>
      </w:rPr>
    </w:lvl>
    <w:lvl w:ilvl="2" w:tplc="6284000E" w:tentative="1">
      <w:start w:val="1"/>
      <w:numFmt w:val="bullet"/>
      <w:lvlText w:val=""/>
      <w:lvlJc w:val="left"/>
      <w:pPr>
        <w:ind w:left="2482" w:hanging="360"/>
      </w:pPr>
      <w:rPr>
        <w:rFonts w:ascii="Wingdings" w:hAnsi="Wingdings" w:hint="default"/>
      </w:rPr>
    </w:lvl>
    <w:lvl w:ilvl="3" w:tplc="67A22A2E" w:tentative="1">
      <w:start w:val="1"/>
      <w:numFmt w:val="bullet"/>
      <w:lvlText w:val=""/>
      <w:lvlJc w:val="left"/>
      <w:pPr>
        <w:ind w:left="3202" w:hanging="360"/>
      </w:pPr>
      <w:rPr>
        <w:rFonts w:ascii="Symbol" w:hAnsi="Symbol" w:hint="default"/>
      </w:rPr>
    </w:lvl>
    <w:lvl w:ilvl="4" w:tplc="7854A0D2" w:tentative="1">
      <w:start w:val="1"/>
      <w:numFmt w:val="bullet"/>
      <w:lvlText w:val="o"/>
      <w:lvlJc w:val="left"/>
      <w:pPr>
        <w:ind w:left="3922" w:hanging="360"/>
      </w:pPr>
      <w:rPr>
        <w:rFonts w:ascii="Courier New" w:hAnsi="Courier New" w:hint="default"/>
      </w:rPr>
    </w:lvl>
    <w:lvl w:ilvl="5" w:tplc="28C221E6" w:tentative="1">
      <w:start w:val="1"/>
      <w:numFmt w:val="bullet"/>
      <w:lvlText w:val=""/>
      <w:lvlJc w:val="left"/>
      <w:pPr>
        <w:ind w:left="4642" w:hanging="360"/>
      </w:pPr>
      <w:rPr>
        <w:rFonts w:ascii="Wingdings" w:hAnsi="Wingdings" w:hint="default"/>
      </w:rPr>
    </w:lvl>
    <w:lvl w:ilvl="6" w:tplc="E99C8D32" w:tentative="1">
      <w:start w:val="1"/>
      <w:numFmt w:val="bullet"/>
      <w:lvlText w:val=""/>
      <w:lvlJc w:val="left"/>
      <w:pPr>
        <w:ind w:left="5362" w:hanging="360"/>
      </w:pPr>
      <w:rPr>
        <w:rFonts w:ascii="Symbol" w:hAnsi="Symbol" w:hint="default"/>
      </w:rPr>
    </w:lvl>
    <w:lvl w:ilvl="7" w:tplc="40929D68" w:tentative="1">
      <w:start w:val="1"/>
      <w:numFmt w:val="bullet"/>
      <w:lvlText w:val="o"/>
      <w:lvlJc w:val="left"/>
      <w:pPr>
        <w:ind w:left="6082" w:hanging="360"/>
      </w:pPr>
      <w:rPr>
        <w:rFonts w:ascii="Courier New" w:hAnsi="Courier New" w:hint="default"/>
      </w:rPr>
    </w:lvl>
    <w:lvl w:ilvl="8" w:tplc="0DF8342E" w:tentative="1">
      <w:start w:val="1"/>
      <w:numFmt w:val="bullet"/>
      <w:lvlText w:val=""/>
      <w:lvlJc w:val="left"/>
      <w:pPr>
        <w:ind w:left="6802" w:hanging="360"/>
      </w:pPr>
      <w:rPr>
        <w:rFonts w:ascii="Wingdings" w:hAnsi="Wingdings" w:hint="default"/>
      </w:rPr>
    </w:lvl>
  </w:abstractNum>
  <w:abstractNum w:abstractNumId="21">
    <w:nsid w:val="4FE83F87"/>
    <w:multiLevelType w:val="singleLevel"/>
    <w:tmpl w:val="5AC4AB44"/>
    <w:lvl w:ilvl="0">
      <w:numFmt w:val="bullet"/>
      <w:lvlText w:val="-"/>
      <w:lvlJc w:val="left"/>
      <w:pPr>
        <w:tabs>
          <w:tab w:val="num" w:pos="360"/>
        </w:tabs>
        <w:ind w:left="357" w:hanging="357"/>
      </w:pPr>
      <w:rPr>
        <w:rFonts w:hint="default"/>
      </w:rPr>
    </w:lvl>
  </w:abstractNum>
  <w:abstractNum w:abstractNumId="22">
    <w:nsid w:val="501D264A"/>
    <w:multiLevelType w:val="hybridMultilevel"/>
    <w:tmpl w:val="1960F012"/>
    <w:lvl w:ilvl="0" w:tplc="C1823DB2">
      <w:start w:val="1"/>
      <w:numFmt w:val="decimal"/>
      <w:lvlText w:val="%1."/>
      <w:lvlJc w:val="left"/>
      <w:pPr>
        <w:ind w:left="720" w:hanging="360"/>
      </w:pPr>
      <w:rPr>
        <w:rFonts w:cs="Times New Roman"/>
      </w:rPr>
    </w:lvl>
    <w:lvl w:ilvl="1" w:tplc="611242D6">
      <w:start w:val="1"/>
      <w:numFmt w:val="lowerLetter"/>
      <w:lvlText w:val="%2."/>
      <w:lvlJc w:val="left"/>
      <w:pPr>
        <w:ind w:left="1440" w:hanging="360"/>
      </w:pPr>
      <w:rPr>
        <w:rFonts w:cs="Times New Roman"/>
      </w:rPr>
    </w:lvl>
    <w:lvl w:ilvl="2" w:tplc="9CFE4076" w:tentative="1">
      <w:start w:val="1"/>
      <w:numFmt w:val="lowerRoman"/>
      <w:lvlText w:val="%3."/>
      <w:lvlJc w:val="right"/>
      <w:pPr>
        <w:ind w:left="2160" w:hanging="180"/>
      </w:pPr>
      <w:rPr>
        <w:rFonts w:cs="Times New Roman"/>
      </w:rPr>
    </w:lvl>
    <w:lvl w:ilvl="3" w:tplc="61DE117C" w:tentative="1">
      <w:start w:val="1"/>
      <w:numFmt w:val="decimal"/>
      <w:lvlText w:val="%4."/>
      <w:lvlJc w:val="left"/>
      <w:pPr>
        <w:ind w:left="2880" w:hanging="360"/>
      </w:pPr>
      <w:rPr>
        <w:rFonts w:cs="Times New Roman"/>
      </w:rPr>
    </w:lvl>
    <w:lvl w:ilvl="4" w:tplc="11E83AA6" w:tentative="1">
      <w:start w:val="1"/>
      <w:numFmt w:val="lowerLetter"/>
      <w:lvlText w:val="%5."/>
      <w:lvlJc w:val="left"/>
      <w:pPr>
        <w:ind w:left="3600" w:hanging="360"/>
      </w:pPr>
      <w:rPr>
        <w:rFonts w:cs="Times New Roman"/>
      </w:rPr>
    </w:lvl>
    <w:lvl w:ilvl="5" w:tplc="844CD9C0" w:tentative="1">
      <w:start w:val="1"/>
      <w:numFmt w:val="lowerRoman"/>
      <w:lvlText w:val="%6."/>
      <w:lvlJc w:val="right"/>
      <w:pPr>
        <w:ind w:left="4320" w:hanging="180"/>
      </w:pPr>
      <w:rPr>
        <w:rFonts w:cs="Times New Roman"/>
      </w:rPr>
    </w:lvl>
    <w:lvl w:ilvl="6" w:tplc="26CCE810" w:tentative="1">
      <w:start w:val="1"/>
      <w:numFmt w:val="decimal"/>
      <w:lvlText w:val="%7."/>
      <w:lvlJc w:val="left"/>
      <w:pPr>
        <w:ind w:left="5040" w:hanging="360"/>
      </w:pPr>
      <w:rPr>
        <w:rFonts w:cs="Times New Roman"/>
      </w:rPr>
    </w:lvl>
    <w:lvl w:ilvl="7" w:tplc="41AA734A" w:tentative="1">
      <w:start w:val="1"/>
      <w:numFmt w:val="lowerLetter"/>
      <w:lvlText w:val="%8."/>
      <w:lvlJc w:val="left"/>
      <w:pPr>
        <w:ind w:left="5760" w:hanging="360"/>
      </w:pPr>
      <w:rPr>
        <w:rFonts w:cs="Times New Roman"/>
      </w:rPr>
    </w:lvl>
    <w:lvl w:ilvl="8" w:tplc="481CF1A4" w:tentative="1">
      <w:start w:val="1"/>
      <w:numFmt w:val="lowerRoman"/>
      <w:lvlText w:val="%9."/>
      <w:lvlJc w:val="right"/>
      <w:pPr>
        <w:ind w:left="6480" w:hanging="180"/>
      </w:pPr>
      <w:rPr>
        <w:rFonts w:cs="Times New Roman"/>
      </w:rPr>
    </w:lvl>
  </w:abstractNum>
  <w:abstractNum w:abstractNumId="23">
    <w:nsid w:val="52485AF5"/>
    <w:multiLevelType w:val="hybridMultilevel"/>
    <w:tmpl w:val="5E44C86C"/>
    <w:lvl w:ilvl="0" w:tplc="CF80DA76">
      <w:start w:val="1"/>
      <w:numFmt w:val="bullet"/>
      <w:lvlText w:val=""/>
      <w:lvlJc w:val="left"/>
      <w:pPr>
        <w:ind w:left="720" w:hanging="360"/>
      </w:pPr>
      <w:rPr>
        <w:rFonts w:ascii="Symbol" w:hAnsi="Symbol" w:hint="default"/>
      </w:rPr>
    </w:lvl>
    <w:lvl w:ilvl="1" w:tplc="9B2A0F5A" w:tentative="1">
      <w:start w:val="1"/>
      <w:numFmt w:val="bullet"/>
      <w:lvlText w:val="o"/>
      <w:lvlJc w:val="left"/>
      <w:pPr>
        <w:ind w:left="1440" w:hanging="360"/>
      </w:pPr>
      <w:rPr>
        <w:rFonts w:ascii="Courier New" w:hAnsi="Courier New" w:cs="Courier New" w:hint="default"/>
      </w:rPr>
    </w:lvl>
    <w:lvl w:ilvl="2" w:tplc="4C76D0F6" w:tentative="1">
      <w:start w:val="1"/>
      <w:numFmt w:val="bullet"/>
      <w:lvlText w:val=""/>
      <w:lvlJc w:val="left"/>
      <w:pPr>
        <w:ind w:left="2160" w:hanging="360"/>
      </w:pPr>
      <w:rPr>
        <w:rFonts w:ascii="Wingdings" w:hAnsi="Wingdings" w:hint="default"/>
      </w:rPr>
    </w:lvl>
    <w:lvl w:ilvl="3" w:tplc="15966AE2" w:tentative="1">
      <w:start w:val="1"/>
      <w:numFmt w:val="bullet"/>
      <w:lvlText w:val=""/>
      <w:lvlJc w:val="left"/>
      <w:pPr>
        <w:ind w:left="2880" w:hanging="360"/>
      </w:pPr>
      <w:rPr>
        <w:rFonts w:ascii="Symbol" w:hAnsi="Symbol" w:hint="default"/>
      </w:rPr>
    </w:lvl>
    <w:lvl w:ilvl="4" w:tplc="D3FAD484" w:tentative="1">
      <w:start w:val="1"/>
      <w:numFmt w:val="bullet"/>
      <w:lvlText w:val="o"/>
      <w:lvlJc w:val="left"/>
      <w:pPr>
        <w:ind w:left="3600" w:hanging="360"/>
      </w:pPr>
      <w:rPr>
        <w:rFonts w:ascii="Courier New" w:hAnsi="Courier New" w:cs="Courier New" w:hint="default"/>
      </w:rPr>
    </w:lvl>
    <w:lvl w:ilvl="5" w:tplc="6D76A936" w:tentative="1">
      <w:start w:val="1"/>
      <w:numFmt w:val="bullet"/>
      <w:lvlText w:val=""/>
      <w:lvlJc w:val="left"/>
      <w:pPr>
        <w:ind w:left="4320" w:hanging="360"/>
      </w:pPr>
      <w:rPr>
        <w:rFonts w:ascii="Wingdings" w:hAnsi="Wingdings" w:hint="default"/>
      </w:rPr>
    </w:lvl>
    <w:lvl w:ilvl="6" w:tplc="2834B5EE" w:tentative="1">
      <w:start w:val="1"/>
      <w:numFmt w:val="bullet"/>
      <w:lvlText w:val=""/>
      <w:lvlJc w:val="left"/>
      <w:pPr>
        <w:ind w:left="5040" w:hanging="360"/>
      </w:pPr>
      <w:rPr>
        <w:rFonts w:ascii="Symbol" w:hAnsi="Symbol" w:hint="default"/>
      </w:rPr>
    </w:lvl>
    <w:lvl w:ilvl="7" w:tplc="24B21C32" w:tentative="1">
      <w:start w:val="1"/>
      <w:numFmt w:val="bullet"/>
      <w:lvlText w:val="o"/>
      <w:lvlJc w:val="left"/>
      <w:pPr>
        <w:ind w:left="5760" w:hanging="360"/>
      </w:pPr>
      <w:rPr>
        <w:rFonts w:ascii="Courier New" w:hAnsi="Courier New" w:cs="Courier New" w:hint="default"/>
      </w:rPr>
    </w:lvl>
    <w:lvl w:ilvl="8" w:tplc="F862637A" w:tentative="1">
      <w:start w:val="1"/>
      <w:numFmt w:val="bullet"/>
      <w:lvlText w:val=""/>
      <w:lvlJc w:val="left"/>
      <w:pPr>
        <w:ind w:left="6480" w:hanging="360"/>
      </w:pPr>
      <w:rPr>
        <w:rFonts w:ascii="Wingdings" w:hAnsi="Wingdings" w:hint="default"/>
      </w:rPr>
    </w:lvl>
  </w:abstractNum>
  <w:abstractNum w:abstractNumId="24">
    <w:nsid w:val="52CA5D93"/>
    <w:multiLevelType w:val="hybridMultilevel"/>
    <w:tmpl w:val="1BD88694"/>
    <w:lvl w:ilvl="0" w:tplc="E948F604">
      <w:start w:val="1"/>
      <w:numFmt w:val="bullet"/>
      <w:lvlText w:val=""/>
      <w:lvlJc w:val="left"/>
      <w:pPr>
        <w:ind w:left="360" w:hanging="360"/>
      </w:pPr>
      <w:rPr>
        <w:rFonts w:ascii="Symbol" w:hAnsi="Symbol" w:hint="default"/>
      </w:rPr>
    </w:lvl>
    <w:lvl w:ilvl="1" w:tplc="9ADE9FC6" w:tentative="1">
      <w:start w:val="1"/>
      <w:numFmt w:val="bullet"/>
      <w:lvlText w:val="o"/>
      <w:lvlJc w:val="left"/>
      <w:pPr>
        <w:ind w:left="1080" w:hanging="360"/>
      </w:pPr>
      <w:rPr>
        <w:rFonts w:ascii="Courier New" w:hAnsi="Courier New" w:hint="default"/>
      </w:rPr>
    </w:lvl>
    <w:lvl w:ilvl="2" w:tplc="1EEC84FE" w:tentative="1">
      <w:start w:val="1"/>
      <w:numFmt w:val="bullet"/>
      <w:lvlText w:val=""/>
      <w:lvlJc w:val="left"/>
      <w:pPr>
        <w:ind w:left="1800" w:hanging="360"/>
      </w:pPr>
      <w:rPr>
        <w:rFonts w:ascii="Wingdings" w:hAnsi="Wingdings" w:hint="default"/>
      </w:rPr>
    </w:lvl>
    <w:lvl w:ilvl="3" w:tplc="7484752E" w:tentative="1">
      <w:start w:val="1"/>
      <w:numFmt w:val="bullet"/>
      <w:lvlText w:val=""/>
      <w:lvlJc w:val="left"/>
      <w:pPr>
        <w:ind w:left="2520" w:hanging="360"/>
      </w:pPr>
      <w:rPr>
        <w:rFonts w:ascii="Symbol" w:hAnsi="Symbol" w:hint="default"/>
      </w:rPr>
    </w:lvl>
    <w:lvl w:ilvl="4" w:tplc="E9588054" w:tentative="1">
      <w:start w:val="1"/>
      <w:numFmt w:val="bullet"/>
      <w:lvlText w:val="o"/>
      <w:lvlJc w:val="left"/>
      <w:pPr>
        <w:ind w:left="3240" w:hanging="360"/>
      </w:pPr>
      <w:rPr>
        <w:rFonts w:ascii="Courier New" w:hAnsi="Courier New" w:hint="default"/>
      </w:rPr>
    </w:lvl>
    <w:lvl w:ilvl="5" w:tplc="9EE42A8E" w:tentative="1">
      <w:start w:val="1"/>
      <w:numFmt w:val="bullet"/>
      <w:lvlText w:val=""/>
      <w:lvlJc w:val="left"/>
      <w:pPr>
        <w:ind w:left="3960" w:hanging="360"/>
      </w:pPr>
      <w:rPr>
        <w:rFonts w:ascii="Wingdings" w:hAnsi="Wingdings" w:hint="default"/>
      </w:rPr>
    </w:lvl>
    <w:lvl w:ilvl="6" w:tplc="DF86A46A" w:tentative="1">
      <w:start w:val="1"/>
      <w:numFmt w:val="bullet"/>
      <w:lvlText w:val=""/>
      <w:lvlJc w:val="left"/>
      <w:pPr>
        <w:ind w:left="4680" w:hanging="360"/>
      </w:pPr>
      <w:rPr>
        <w:rFonts w:ascii="Symbol" w:hAnsi="Symbol" w:hint="default"/>
      </w:rPr>
    </w:lvl>
    <w:lvl w:ilvl="7" w:tplc="1E62E7CE" w:tentative="1">
      <w:start w:val="1"/>
      <w:numFmt w:val="bullet"/>
      <w:lvlText w:val="o"/>
      <w:lvlJc w:val="left"/>
      <w:pPr>
        <w:ind w:left="5400" w:hanging="360"/>
      </w:pPr>
      <w:rPr>
        <w:rFonts w:ascii="Courier New" w:hAnsi="Courier New" w:hint="default"/>
      </w:rPr>
    </w:lvl>
    <w:lvl w:ilvl="8" w:tplc="6480E45C" w:tentative="1">
      <w:start w:val="1"/>
      <w:numFmt w:val="bullet"/>
      <w:lvlText w:val=""/>
      <w:lvlJc w:val="left"/>
      <w:pPr>
        <w:ind w:left="6120" w:hanging="360"/>
      </w:pPr>
      <w:rPr>
        <w:rFonts w:ascii="Wingdings" w:hAnsi="Wingdings" w:hint="default"/>
      </w:rPr>
    </w:lvl>
  </w:abstractNum>
  <w:abstractNum w:abstractNumId="25">
    <w:nsid w:val="54E22DD0"/>
    <w:multiLevelType w:val="hybridMultilevel"/>
    <w:tmpl w:val="7A8830DC"/>
    <w:lvl w:ilvl="0" w:tplc="96F60656">
      <w:start w:val="1"/>
      <w:numFmt w:val="bullet"/>
      <w:lvlText w:val=""/>
      <w:lvlJc w:val="left"/>
      <w:pPr>
        <w:ind w:left="360" w:hanging="360"/>
      </w:pPr>
      <w:rPr>
        <w:rFonts w:ascii="Symbol" w:hAnsi="Symbol" w:hint="default"/>
      </w:rPr>
    </w:lvl>
    <w:lvl w:ilvl="1" w:tplc="8FECB244" w:tentative="1">
      <w:start w:val="1"/>
      <w:numFmt w:val="bullet"/>
      <w:lvlText w:val="o"/>
      <w:lvlJc w:val="left"/>
      <w:pPr>
        <w:ind w:left="1080" w:hanging="360"/>
      </w:pPr>
      <w:rPr>
        <w:rFonts w:ascii="Courier New" w:hAnsi="Courier New" w:cs="Courier New" w:hint="default"/>
      </w:rPr>
    </w:lvl>
    <w:lvl w:ilvl="2" w:tplc="84FADCDC" w:tentative="1">
      <w:start w:val="1"/>
      <w:numFmt w:val="bullet"/>
      <w:lvlText w:val=""/>
      <w:lvlJc w:val="left"/>
      <w:pPr>
        <w:ind w:left="1800" w:hanging="360"/>
      </w:pPr>
      <w:rPr>
        <w:rFonts w:ascii="Wingdings" w:hAnsi="Wingdings" w:hint="default"/>
      </w:rPr>
    </w:lvl>
    <w:lvl w:ilvl="3" w:tplc="8A58B804" w:tentative="1">
      <w:start w:val="1"/>
      <w:numFmt w:val="bullet"/>
      <w:lvlText w:val=""/>
      <w:lvlJc w:val="left"/>
      <w:pPr>
        <w:ind w:left="2520" w:hanging="360"/>
      </w:pPr>
      <w:rPr>
        <w:rFonts w:ascii="Symbol" w:hAnsi="Symbol" w:hint="default"/>
      </w:rPr>
    </w:lvl>
    <w:lvl w:ilvl="4" w:tplc="12F23E9C" w:tentative="1">
      <w:start w:val="1"/>
      <w:numFmt w:val="bullet"/>
      <w:lvlText w:val="o"/>
      <w:lvlJc w:val="left"/>
      <w:pPr>
        <w:ind w:left="3240" w:hanging="360"/>
      </w:pPr>
      <w:rPr>
        <w:rFonts w:ascii="Courier New" w:hAnsi="Courier New" w:cs="Courier New" w:hint="default"/>
      </w:rPr>
    </w:lvl>
    <w:lvl w:ilvl="5" w:tplc="3A8C7AD2" w:tentative="1">
      <w:start w:val="1"/>
      <w:numFmt w:val="bullet"/>
      <w:lvlText w:val=""/>
      <w:lvlJc w:val="left"/>
      <w:pPr>
        <w:ind w:left="3960" w:hanging="360"/>
      </w:pPr>
      <w:rPr>
        <w:rFonts w:ascii="Wingdings" w:hAnsi="Wingdings" w:hint="default"/>
      </w:rPr>
    </w:lvl>
    <w:lvl w:ilvl="6" w:tplc="4A46C25A" w:tentative="1">
      <w:start w:val="1"/>
      <w:numFmt w:val="bullet"/>
      <w:lvlText w:val=""/>
      <w:lvlJc w:val="left"/>
      <w:pPr>
        <w:ind w:left="4680" w:hanging="360"/>
      </w:pPr>
      <w:rPr>
        <w:rFonts w:ascii="Symbol" w:hAnsi="Symbol" w:hint="default"/>
      </w:rPr>
    </w:lvl>
    <w:lvl w:ilvl="7" w:tplc="78E201D4" w:tentative="1">
      <w:start w:val="1"/>
      <w:numFmt w:val="bullet"/>
      <w:lvlText w:val="o"/>
      <w:lvlJc w:val="left"/>
      <w:pPr>
        <w:ind w:left="5400" w:hanging="360"/>
      </w:pPr>
      <w:rPr>
        <w:rFonts w:ascii="Courier New" w:hAnsi="Courier New" w:cs="Courier New" w:hint="default"/>
      </w:rPr>
    </w:lvl>
    <w:lvl w:ilvl="8" w:tplc="5F466032" w:tentative="1">
      <w:start w:val="1"/>
      <w:numFmt w:val="bullet"/>
      <w:lvlText w:val=""/>
      <w:lvlJc w:val="left"/>
      <w:pPr>
        <w:ind w:left="6120" w:hanging="360"/>
      </w:pPr>
      <w:rPr>
        <w:rFonts w:ascii="Wingdings" w:hAnsi="Wingdings" w:hint="default"/>
      </w:rPr>
    </w:lvl>
  </w:abstractNum>
  <w:abstractNum w:abstractNumId="26">
    <w:nsid w:val="5602639A"/>
    <w:multiLevelType w:val="hybridMultilevel"/>
    <w:tmpl w:val="894A7442"/>
    <w:lvl w:ilvl="0" w:tplc="04090001">
      <w:start w:val="1"/>
      <w:numFmt w:val="bullet"/>
      <w:lvlText w:val=""/>
      <w:lvlJc w:val="left"/>
      <w:pPr>
        <w:ind w:left="720" w:hanging="360"/>
      </w:pPr>
      <w:rPr>
        <w:rFonts w:ascii="Symbol" w:hAnsi="Symbol" w:hint="default"/>
      </w:rPr>
    </w:lvl>
    <w:lvl w:ilvl="1" w:tplc="2FE4CDAA">
      <w:start w:val="1"/>
      <w:numFmt w:val="lowerLetter"/>
      <w:lvlText w:val="%2."/>
      <w:lvlJc w:val="left"/>
      <w:pPr>
        <w:ind w:left="1440" w:hanging="360"/>
      </w:pPr>
      <w:rPr>
        <w:rFonts w:cs="Times New Roman"/>
      </w:rPr>
    </w:lvl>
    <w:lvl w:ilvl="2" w:tplc="8DD80BA0" w:tentative="1">
      <w:start w:val="1"/>
      <w:numFmt w:val="lowerRoman"/>
      <w:lvlText w:val="%3."/>
      <w:lvlJc w:val="right"/>
      <w:pPr>
        <w:ind w:left="2160" w:hanging="180"/>
      </w:pPr>
      <w:rPr>
        <w:rFonts w:cs="Times New Roman"/>
      </w:rPr>
    </w:lvl>
    <w:lvl w:ilvl="3" w:tplc="727676D2" w:tentative="1">
      <w:start w:val="1"/>
      <w:numFmt w:val="decimal"/>
      <w:lvlText w:val="%4."/>
      <w:lvlJc w:val="left"/>
      <w:pPr>
        <w:ind w:left="2880" w:hanging="360"/>
      </w:pPr>
      <w:rPr>
        <w:rFonts w:cs="Times New Roman"/>
      </w:rPr>
    </w:lvl>
    <w:lvl w:ilvl="4" w:tplc="F9C0EBA2" w:tentative="1">
      <w:start w:val="1"/>
      <w:numFmt w:val="lowerLetter"/>
      <w:lvlText w:val="%5."/>
      <w:lvlJc w:val="left"/>
      <w:pPr>
        <w:ind w:left="3600" w:hanging="360"/>
      </w:pPr>
      <w:rPr>
        <w:rFonts w:cs="Times New Roman"/>
      </w:rPr>
    </w:lvl>
    <w:lvl w:ilvl="5" w:tplc="61B03B8C" w:tentative="1">
      <w:start w:val="1"/>
      <w:numFmt w:val="lowerRoman"/>
      <w:lvlText w:val="%6."/>
      <w:lvlJc w:val="right"/>
      <w:pPr>
        <w:ind w:left="4320" w:hanging="180"/>
      </w:pPr>
      <w:rPr>
        <w:rFonts w:cs="Times New Roman"/>
      </w:rPr>
    </w:lvl>
    <w:lvl w:ilvl="6" w:tplc="D3B0A186" w:tentative="1">
      <w:start w:val="1"/>
      <w:numFmt w:val="decimal"/>
      <w:lvlText w:val="%7."/>
      <w:lvlJc w:val="left"/>
      <w:pPr>
        <w:ind w:left="5040" w:hanging="360"/>
      </w:pPr>
      <w:rPr>
        <w:rFonts w:cs="Times New Roman"/>
      </w:rPr>
    </w:lvl>
    <w:lvl w:ilvl="7" w:tplc="FA961994" w:tentative="1">
      <w:start w:val="1"/>
      <w:numFmt w:val="lowerLetter"/>
      <w:lvlText w:val="%8."/>
      <w:lvlJc w:val="left"/>
      <w:pPr>
        <w:ind w:left="5760" w:hanging="360"/>
      </w:pPr>
      <w:rPr>
        <w:rFonts w:cs="Times New Roman"/>
      </w:rPr>
    </w:lvl>
    <w:lvl w:ilvl="8" w:tplc="C144EF1E" w:tentative="1">
      <w:start w:val="1"/>
      <w:numFmt w:val="lowerRoman"/>
      <w:lvlText w:val="%9."/>
      <w:lvlJc w:val="right"/>
      <w:pPr>
        <w:ind w:left="6480" w:hanging="180"/>
      </w:pPr>
      <w:rPr>
        <w:rFonts w:cs="Times New Roman"/>
      </w:rPr>
    </w:lvl>
  </w:abstractNum>
  <w:abstractNum w:abstractNumId="27">
    <w:nsid w:val="5B3A0440"/>
    <w:multiLevelType w:val="hybridMultilevel"/>
    <w:tmpl w:val="8ED4E1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BAA5F07"/>
    <w:multiLevelType w:val="hybridMultilevel"/>
    <w:tmpl w:val="9490D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7837A8"/>
    <w:multiLevelType w:val="hybridMultilevel"/>
    <w:tmpl w:val="B3CC1A4E"/>
    <w:lvl w:ilvl="0" w:tplc="6024B940">
      <w:numFmt w:val="bullet"/>
      <w:pStyle w:val="Aufzhlungszeichen3"/>
      <w:lvlText w:val="•"/>
      <w:lvlJc w:val="left"/>
      <w:pPr>
        <w:ind w:left="1068" w:hanging="360"/>
      </w:pPr>
      <w:rPr>
        <w:rFonts w:ascii="Calibri" w:eastAsia="Times New Roman" w:hAnsi="Calibri" w:hint="default"/>
      </w:rPr>
    </w:lvl>
    <w:lvl w:ilvl="1" w:tplc="552AA2F6" w:tentative="1">
      <w:start w:val="1"/>
      <w:numFmt w:val="bullet"/>
      <w:lvlText w:val="o"/>
      <w:lvlJc w:val="left"/>
      <w:pPr>
        <w:ind w:left="1788" w:hanging="360"/>
      </w:pPr>
      <w:rPr>
        <w:rFonts w:ascii="Courier New" w:hAnsi="Courier New" w:hint="default"/>
      </w:rPr>
    </w:lvl>
    <w:lvl w:ilvl="2" w:tplc="2F623238" w:tentative="1">
      <w:start w:val="1"/>
      <w:numFmt w:val="bullet"/>
      <w:lvlText w:val=""/>
      <w:lvlJc w:val="left"/>
      <w:pPr>
        <w:ind w:left="2508" w:hanging="360"/>
      </w:pPr>
      <w:rPr>
        <w:rFonts w:ascii="Wingdings" w:hAnsi="Wingdings" w:hint="default"/>
      </w:rPr>
    </w:lvl>
    <w:lvl w:ilvl="3" w:tplc="1890ADFC" w:tentative="1">
      <w:start w:val="1"/>
      <w:numFmt w:val="bullet"/>
      <w:lvlText w:val=""/>
      <w:lvlJc w:val="left"/>
      <w:pPr>
        <w:ind w:left="3228" w:hanging="360"/>
      </w:pPr>
      <w:rPr>
        <w:rFonts w:ascii="Symbol" w:hAnsi="Symbol" w:hint="default"/>
      </w:rPr>
    </w:lvl>
    <w:lvl w:ilvl="4" w:tplc="4CB6344E" w:tentative="1">
      <w:start w:val="1"/>
      <w:numFmt w:val="bullet"/>
      <w:lvlText w:val="o"/>
      <w:lvlJc w:val="left"/>
      <w:pPr>
        <w:ind w:left="3948" w:hanging="360"/>
      </w:pPr>
      <w:rPr>
        <w:rFonts w:ascii="Courier New" w:hAnsi="Courier New" w:hint="default"/>
      </w:rPr>
    </w:lvl>
    <w:lvl w:ilvl="5" w:tplc="F31AF1FC" w:tentative="1">
      <w:start w:val="1"/>
      <w:numFmt w:val="bullet"/>
      <w:lvlText w:val=""/>
      <w:lvlJc w:val="left"/>
      <w:pPr>
        <w:ind w:left="4668" w:hanging="360"/>
      </w:pPr>
      <w:rPr>
        <w:rFonts w:ascii="Wingdings" w:hAnsi="Wingdings" w:hint="default"/>
      </w:rPr>
    </w:lvl>
    <w:lvl w:ilvl="6" w:tplc="13122092" w:tentative="1">
      <w:start w:val="1"/>
      <w:numFmt w:val="bullet"/>
      <w:lvlText w:val=""/>
      <w:lvlJc w:val="left"/>
      <w:pPr>
        <w:ind w:left="5388" w:hanging="360"/>
      </w:pPr>
      <w:rPr>
        <w:rFonts w:ascii="Symbol" w:hAnsi="Symbol" w:hint="default"/>
      </w:rPr>
    </w:lvl>
    <w:lvl w:ilvl="7" w:tplc="F0E2A270" w:tentative="1">
      <w:start w:val="1"/>
      <w:numFmt w:val="bullet"/>
      <w:lvlText w:val="o"/>
      <w:lvlJc w:val="left"/>
      <w:pPr>
        <w:ind w:left="6108" w:hanging="360"/>
      </w:pPr>
      <w:rPr>
        <w:rFonts w:ascii="Courier New" w:hAnsi="Courier New" w:hint="default"/>
      </w:rPr>
    </w:lvl>
    <w:lvl w:ilvl="8" w:tplc="152219A8" w:tentative="1">
      <w:start w:val="1"/>
      <w:numFmt w:val="bullet"/>
      <w:lvlText w:val=""/>
      <w:lvlJc w:val="left"/>
      <w:pPr>
        <w:ind w:left="6828" w:hanging="360"/>
      </w:pPr>
      <w:rPr>
        <w:rFonts w:ascii="Wingdings" w:hAnsi="Wingdings" w:hint="default"/>
      </w:rPr>
    </w:lvl>
  </w:abstractNum>
  <w:abstractNum w:abstractNumId="30">
    <w:nsid w:val="5D833F28"/>
    <w:multiLevelType w:val="hybridMultilevel"/>
    <w:tmpl w:val="99EA3B86"/>
    <w:lvl w:ilvl="0" w:tplc="A7BAF836">
      <w:start w:val="4"/>
      <w:numFmt w:val="bullet"/>
      <w:lvlText w:val="-"/>
      <w:lvlJc w:val="left"/>
      <w:pPr>
        <w:ind w:left="360" w:hanging="360"/>
      </w:pPr>
      <w:rPr>
        <w:rFonts w:ascii="Calibri" w:eastAsia="Times New Roman" w:hAnsi="Calibri" w:hint="default"/>
      </w:rPr>
    </w:lvl>
    <w:lvl w:ilvl="1" w:tplc="C7D24A58" w:tentative="1">
      <w:start w:val="1"/>
      <w:numFmt w:val="bullet"/>
      <w:lvlText w:val="o"/>
      <w:lvlJc w:val="left"/>
      <w:pPr>
        <w:ind w:left="1080" w:hanging="360"/>
      </w:pPr>
      <w:rPr>
        <w:rFonts w:ascii="Courier New" w:hAnsi="Courier New" w:hint="default"/>
      </w:rPr>
    </w:lvl>
    <w:lvl w:ilvl="2" w:tplc="88C8DB4E" w:tentative="1">
      <w:start w:val="1"/>
      <w:numFmt w:val="bullet"/>
      <w:lvlText w:val=""/>
      <w:lvlJc w:val="left"/>
      <w:pPr>
        <w:ind w:left="1800" w:hanging="360"/>
      </w:pPr>
      <w:rPr>
        <w:rFonts w:ascii="Wingdings" w:hAnsi="Wingdings" w:hint="default"/>
      </w:rPr>
    </w:lvl>
    <w:lvl w:ilvl="3" w:tplc="FDB844CA" w:tentative="1">
      <w:start w:val="1"/>
      <w:numFmt w:val="bullet"/>
      <w:lvlText w:val=""/>
      <w:lvlJc w:val="left"/>
      <w:pPr>
        <w:ind w:left="2520" w:hanging="360"/>
      </w:pPr>
      <w:rPr>
        <w:rFonts w:ascii="Symbol" w:hAnsi="Symbol" w:hint="default"/>
      </w:rPr>
    </w:lvl>
    <w:lvl w:ilvl="4" w:tplc="763A2248" w:tentative="1">
      <w:start w:val="1"/>
      <w:numFmt w:val="bullet"/>
      <w:lvlText w:val="o"/>
      <w:lvlJc w:val="left"/>
      <w:pPr>
        <w:ind w:left="3240" w:hanging="360"/>
      </w:pPr>
      <w:rPr>
        <w:rFonts w:ascii="Courier New" w:hAnsi="Courier New" w:hint="default"/>
      </w:rPr>
    </w:lvl>
    <w:lvl w:ilvl="5" w:tplc="B0FE9FD0" w:tentative="1">
      <w:start w:val="1"/>
      <w:numFmt w:val="bullet"/>
      <w:lvlText w:val=""/>
      <w:lvlJc w:val="left"/>
      <w:pPr>
        <w:ind w:left="3960" w:hanging="360"/>
      </w:pPr>
      <w:rPr>
        <w:rFonts w:ascii="Wingdings" w:hAnsi="Wingdings" w:hint="default"/>
      </w:rPr>
    </w:lvl>
    <w:lvl w:ilvl="6" w:tplc="970AD466" w:tentative="1">
      <w:start w:val="1"/>
      <w:numFmt w:val="bullet"/>
      <w:lvlText w:val=""/>
      <w:lvlJc w:val="left"/>
      <w:pPr>
        <w:ind w:left="4680" w:hanging="360"/>
      </w:pPr>
      <w:rPr>
        <w:rFonts w:ascii="Symbol" w:hAnsi="Symbol" w:hint="default"/>
      </w:rPr>
    </w:lvl>
    <w:lvl w:ilvl="7" w:tplc="F7B2259C" w:tentative="1">
      <w:start w:val="1"/>
      <w:numFmt w:val="bullet"/>
      <w:lvlText w:val="o"/>
      <w:lvlJc w:val="left"/>
      <w:pPr>
        <w:ind w:left="5400" w:hanging="360"/>
      </w:pPr>
      <w:rPr>
        <w:rFonts w:ascii="Courier New" w:hAnsi="Courier New" w:hint="default"/>
      </w:rPr>
    </w:lvl>
    <w:lvl w:ilvl="8" w:tplc="387AEC54" w:tentative="1">
      <w:start w:val="1"/>
      <w:numFmt w:val="bullet"/>
      <w:lvlText w:val=""/>
      <w:lvlJc w:val="left"/>
      <w:pPr>
        <w:ind w:left="6120" w:hanging="360"/>
      </w:pPr>
      <w:rPr>
        <w:rFonts w:ascii="Wingdings" w:hAnsi="Wingdings" w:hint="default"/>
      </w:rPr>
    </w:lvl>
  </w:abstractNum>
  <w:abstractNum w:abstractNumId="31">
    <w:nsid w:val="612C2B4C"/>
    <w:multiLevelType w:val="hybridMultilevel"/>
    <w:tmpl w:val="776C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022D0B"/>
    <w:multiLevelType w:val="hybridMultilevel"/>
    <w:tmpl w:val="7CCE7F24"/>
    <w:lvl w:ilvl="0" w:tplc="1B5611F6">
      <w:start w:val="1"/>
      <w:numFmt w:val="bullet"/>
      <w:lvlText w:val=""/>
      <w:lvlJc w:val="left"/>
      <w:pPr>
        <w:ind w:left="1080" w:hanging="360"/>
      </w:pPr>
      <w:rPr>
        <w:rFonts w:ascii="Symbol" w:hAnsi="Symbol" w:hint="default"/>
      </w:rPr>
    </w:lvl>
    <w:lvl w:ilvl="1" w:tplc="69D8E424" w:tentative="1">
      <w:start w:val="1"/>
      <w:numFmt w:val="bullet"/>
      <w:lvlText w:val="o"/>
      <w:lvlJc w:val="left"/>
      <w:pPr>
        <w:ind w:left="1800" w:hanging="360"/>
      </w:pPr>
      <w:rPr>
        <w:rFonts w:ascii="Courier New" w:hAnsi="Courier New" w:hint="default"/>
      </w:rPr>
    </w:lvl>
    <w:lvl w:ilvl="2" w:tplc="EE70FEFE">
      <w:start w:val="1"/>
      <w:numFmt w:val="bullet"/>
      <w:lvlText w:val=""/>
      <w:lvlJc w:val="left"/>
      <w:pPr>
        <w:ind w:left="2520" w:hanging="360"/>
      </w:pPr>
      <w:rPr>
        <w:rFonts w:ascii="Wingdings" w:hAnsi="Wingdings" w:hint="default"/>
      </w:rPr>
    </w:lvl>
    <w:lvl w:ilvl="3" w:tplc="F718DE9A" w:tentative="1">
      <w:start w:val="1"/>
      <w:numFmt w:val="bullet"/>
      <w:lvlText w:val=""/>
      <w:lvlJc w:val="left"/>
      <w:pPr>
        <w:ind w:left="3240" w:hanging="360"/>
      </w:pPr>
      <w:rPr>
        <w:rFonts w:ascii="Symbol" w:hAnsi="Symbol" w:hint="default"/>
      </w:rPr>
    </w:lvl>
    <w:lvl w:ilvl="4" w:tplc="7EBA0DB6" w:tentative="1">
      <w:start w:val="1"/>
      <w:numFmt w:val="bullet"/>
      <w:lvlText w:val="o"/>
      <w:lvlJc w:val="left"/>
      <w:pPr>
        <w:ind w:left="3960" w:hanging="360"/>
      </w:pPr>
      <w:rPr>
        <w:rFonts w:ascii="Courier New" w:hAnsi="Courier New" w:hint="default"/>
      </w:rPr>
    </w:lvl>
    <w:lvl w:ilvl="5" w:tplc="791C9D60" w:tentative="1">
      <w:start w:val="1"/>
      <w:numFmt w:val="bullet"/>
      <w:lvlText w:val=""/>
      <w:lvlJc w:val="left"/>
      <w:pPr>
        <w:ind w:left="4680" w:hanging="360"/>
      </w:pPr>
      <w:rPr>
        <w:rFonts w:ascii="Wingdings" w:hAnsi="Wingdings" w:hint="default"/>
      </w:rPr>
    </w:lvl>
    <w:lvl w:ilvl="6" w:tplc="D3921AA0" w:tentative="1">
      <w:start w:val="1"/>
      <w:numFmt w:val="bullet"/>
      <w:lvlText w:val=""/>
      <w:lvlJc w:val="left"/>
      <w:pPr>
        <w:ind w:left="5400" w:hanging="360"/>
      </w:pPr>
      <w:rPr>
        <w:rFonts w:ascii="Symbol" w:hAnsi="Symbol" w:hint="default"/>
      </w:rPr>
    </w:lvl>
    <w:lvl w:ilvl="7" w:tplc="F1EEF2D4" w:tentative="1">
      <w:start w:val="1"/>
      <w:numFmt w:val="bullet"/>
      <w:lvlText w:val="o"/>
      <w:lvlJc w:val="left"/>
      <w:pPr>
        <w:ind w:left="6120" w:hanging="360"/>
      </w:pPr>
      <w:rPr>
        <w:rFonts w:ascii="Courier New" w:hAnsi="Courier New" w:hint="default"/>
      </w:rPr>
    </w:lvl>
    <w:lvl w:ilvl="8" w:tplc="75C6C920" w:tentative="1">
      <w:start w:val="1"/>
      <w:numFmt w:val="bullet"/>
      <w:lvlText w:val=""/>
      <w:lvlJc w:val="left"/>
      <w:pPr>
        <w:ind w:left="6840" w:hanging="360"/>
      </w:pPr>
      <w:rPr>
        <w:rFonts w:ascii="Wingdings" w:hAnsi="Wingdings" w:hint="default"/>
      </w:rPr>
    </w:lvl>
  </w:abstractNum>
  <w:abstractNum w:abstractNumId="33">
    <w:nsid w:val="666D3FD5"/>
    <w:multiLevelType w:val="hybridMultilevel"/>
    <w:tmpl w:val="97F4F7DE"/>
    <w:lvl w:ilvl="0" w:tplc="D34EE7E0">
      <w:start w:val="1"/>
      <w:numFmt w:val="decimal"/>
      <w:lvlText w:val="%1."/>
      <w:lvlJc w:val="left"/>
      <w:pPr>
        <w:ind w:left="720" w:hanging="360"/>
      </w:pPr>
      <w:rPr>
        <w:rFonts w:cs="Times New Roman"/>
      </w:rPr>
    </w:lvl>
    <w:lvl w:ilvl="1" w:tplc="2FE4CDAA">
      <w:start w:val="1"/>
      <w:numFmt w:val="lowerLetter"/>
      <w:lvlText w:val="%2."/>
      <w:lvlJc w:val="left"/>
      <w:pPr>
        <w:ind w:left="1440" w:hanging="360"/>
      </w:pPr>
      <w:rPr>
        <w:rFonts w:cs="Times New Roman"/>
      </w:rPr>
    </w:lvl>
    <w:lvl w:ilvl="2" w:tplc="8DD80BA0" w:tentative="1">
      <w:start w:val="1"/>
      <w:numFmt w:val="lowerRoman"/>
      <w:lvlText w:val="%3."/>
      <w:lvlJc w:val="right"/>
      <w:pPr>
        <w:ind w:left="2160" w:hanging="180"/>
      </w:pPr>
      <w:rPr>
        <w:rFonts w:cs="Times New Roman"/>
      </w:rPr>
    </w:lvl>
    <w:lvl w:ilvl="3" w:tplc="727676D2" w:tentative="1">
      <w:start w:val="1"/>
      <w:numFmt w:val="decimal"/>
      <w:lvlText w:val="%4."/>
      <w:lvlJc w:val="left"/>
      <w:pPr>
        <w:ind w:left="2880" w:hanging="360"/>
      </w:pPr>
      <w:rPr>
        <w:rFonts w:cs="Times New Roman"/>
      </w:rPr>
    </w:lvl>
    <w:lvl w:ilvl="4" w:tplc="F9C0EBA2" w:tentative="1">
      <w:start w:val="1"/>
      <w:numFmt w:val="lowerLetter"/>
      <w:lvlText w:val="%5."/>
      <w:lvlJc w:val="left"/>
      <w:pPr>
        <w:ind w:left="3600" w:hanging="360"/>
      </w:pPr>
      <w:rPr>
        <w:rFonts w:cs="Times New Roman"/>
      </w:rPr>
    </w:lvl>
    <w:lvl w:ilvl="5" w:tplc="61B03B8C" w:tentative="1">
      <w:start w:val="1"/>
      <w:numFmt w:val="lowerRoman"/>
      <w:lvlText w:val="%6."/>
      <w:lvlJc w:val="right"/>
      <w:pPr>
        <w:ind w:left="4320" w:hanging="180"/>
      </w:pPr>
      <w:rPr>
        <w:rFonts w:cs="Times New Roman"/>
      </w:rPr>
    </w:lvl>
    <w:lvl w:ilvl="6" w:tplc="D3B0A186" w:tentative="1">
      <w:start w:val="1"/>
      <w:numFmt w:val="decimal"/>
      <w:lvlText w:val="%7."/>
      <w:lvlJc w:val="left"/>
      <w:pPr>
        <w:ind w:left="5040" w:hanging="360"/>
      </w:pPr>
      <w:rPr>
        <w:rFonts w:cs="Times New Roman"/>
      </w:rPr>
    </w:lvl>
    <w:lvl w:ilvl="7" w:tplc="FA961994" w:tentative="1">
      <w:start w:val="1"/>
      <w:numFmt w:val="lowerLetter"/>
      <w:lvlText w:val="%8."/>
      <w:lvlJc w:val="left"/>
      <w:pPr>
        <w:ind w:left="5760" w:hanging="360"/>
      </w:pPr>
      <w:rPr>
        <w:rFonts w:cs="Times New Roman"/>
      </w:rPr>
    </w:lvl>
    <w:lvl w:ilvl="8" w:tplc="C144EF1E" w:tentative="1">
      <w:start w:val="1"/>
      <w:numFmt w:val="lowerRoman"/>
      <w:lvlText w:val="%9."/>
      <w:lvlJc w:val="right"/>
      <w:pPr>
        <w:ind w:left="6480" w:hanging="180"/>
      </w:pPr>
      <w:rPr>
        <w:rFonts w:cs="Times New Roman"/>
      </w:rPr>
    </w:lvl>
  </w:abstractNum>
  <w:abstractNum w:abstractNumId="34">
    <w:nsid w:val="7E2E718D"/>
    <w:multiLevelType w:val="multilevel"/>
    <w:tmpl w:val="B790B824"/>
    <w:lvl w:ilvl="0">
      <w:start w:val="2"/>
      <w:numFmt w:val="decimal"/>
      <w:pStyle w:val="Aufzhlungszeichen2"/>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34"/>
  </w:num>
  <w:num w:numId="2">
    <w:abstractNumId w:val="29"/>
  </w:num>
  <w:num w:numId="3">
    <w:abstractNumId w:val="9"/>
  </w:num>
  <w:num w:numId="4">
    <w:abstractNumId w:val="21"/>
  </w:num>
  <w:num w:numId="5">
    <w:abstractNumId w:val="5"/>
  </w:num>
  <w:num w:numId="6">
    <w:abstractNumId w:val="4"/>
  </w:num>
  <w:num w:numId="7">
    <w:abstractNumId w:val="23"/>
  </w:num>
  <w:num w:numId="8">
    <w:abstractNumId w:val="7"/>
  </w:num>
  <w:num w:numId="9">
    <w:abstractNumId w:val="25"/>
  </w:num>
  <w:num w:numId="10">
    <w:abstractNumId w:val="0"/>
  </w:num>
  <w:num w:numId="11">
    <w:abstractNumId w:val="22"/>
  </w:num>
  <w:num w:numId="12">
    <w:abstractNumId w:val="24"/>
  </w:num>
  <w:num w:numId="13">
    <w:abstractNumId w:val="1"/>
  </w:num>
  <w:num w:numId="14">
    <w:abstractNumId w:val="3"/>
  </w:num>
  <w:num w:numId="15">
    <w:abstractNumId w:val="30"/>
  </w:num>
  <w:num w:numId="16">
    <w:abstractNumId w:val="8"/>
  </w:num>
  <w:num w:numId="17">
    <w:abstractNumId w:val="32"/>
  </w:num>
  <w:num w:numId="18">
    <w:abstractNumId w:val="17"/>
  </w:num>
  <w:num w:numId="19">
    <w:abstractNumId w:val="14"/>
  </w:num>
  <w:num w:numId="20">
    <w:abstractNumId w:val="33"/>
  </w:num>
  <w:num w:numId="21">
    <w:abstractNumId w:val="10"/>
  </w:num>
  <w:num w:numId="22">
    <w:abstractNumId w:val="18"/>
  </w:num>
  <w:num w:numId="23">
    <w:abstractNumId w:val="11"/>
  </w:num>
  <w:num w:numId="24">
    <w:abstractNumId w:val="15"/>
  </w:num>
  <w:num w:numId="25">
    <w:abstractNumId w:val="27"/>
  </w:num>
  <w:num w:numId="26">
    <w:abstractNumId w:val="20"/>
  </w:num>
  <w:num w:numId="27">
    <w:abstractNumId w:val="2"/>
  </w:num>
  <w:num w:numId="28">
    <w:abstractNumId w:val="13"/>
  </w:num>
  <w:num w:numId="29">
    <w:abstractNumId w:val="26"/>
  </w:num>
  <w:num w:numId="30">
    <w:abstractNumId w:val="6"/>
  </w:num>
  <w:num w:numId="31">
    <w:abstractNumId w:val="31"/>
  </w:num>
  <w:num w:numId="32">
    <w:abstractNumId w:val="28"/>
  </w:num>
  <w:num w:numId="33">
    <w:abstractNumId w:val="12"/>
  </w:num>
  <w:num w:numId="34">
    <w:abstractNumId w:val="16"/>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C32E7"/>
    <w:rsid w:val="00093E06"/>
    <w:rsid w:val="000B6E0A"/>
    <w:rsid w:val="000C3542"/>
    <w:rsid w:val="001446C3"/>
    <w:rsid w:val="001B4A46"/>
    <w:rsid w:val="001C64BC"/>
    <w:rsid w:val="00315532"/>
    <w:rsid w:val="00473BE4"/>
    <w:rsid w:val="005541AA"/>
    <w:rsid w:val="00692C91"/>
    <w:rsid w:val="006A0533"/>
    <w:rsid w:val="007645B8"/>
    <w:rsid w:val="007764F2"/>
    <w:rsid w:val="00795845"/>
    <w:rsid w:val="007B7C6A"/>
    <w:rsid w:val="007D533F"/>
    <w:rsid w:val="00833801"/>
    <w:rsid w:val="008355A9"/>
    <w:rsid w:val="008557A5"/>
    <w:rsid w:val="008D491D"/>
    <w:rsid w:val="00943B9A"/>
    <w:rsid w:val="009C32E7"/>
    <w:rsid w:val="00AD706A"/>
    <w:rsid w:val="00AD70DE"/>
    <w:rsid w:val="00AE1D5B"/>
    <w:rsid w:val="00AF45A5"/>
    <w:rsid w:val="00C40CB1"/>
    <w:rsid w:val="00C91CB3"/>
    <w:rsid w:val="00DC121A"/>
    <w:rsid w:val="00EE4BD1"/>
    <w:rsid w:val="00EF7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Bullet" w:uiPriority="99"/>
    <w:lsdException w:name="List 2" w:uiPriority="99"/>
    <w:lsdException w:name="List Bullet 2" w:uiPriority="99"/>
    <w:lsdException w:name="List Bullet 3" w:uiPriority="99"/>
    <w:lsdException w:name="Title" w:uiPriority="99" w:qFormat="1"/>
    <w:lsdException w:name="Default Paragraph Font" w:uiPriority="1"/>
    <w:lsdException w:name="Body Text" w:uiPriority="99"/>
    <w:lsdException w:name="Body Text Indent" w:uiPriority="99"/>
    <w:lsdException w:name="Subtitle" w:qFormat="1"/>
    <w:lsdException w:name="Body Text First Indent" w:uiPriority="99"/>
    <w:lsdException w:name="Body Text First Indent 2"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Standard">
    <w:name w:val="Normal"/>
    <w:qFormat/>
    <w:rsid w:val="009C32E7"/>
    <w:pPr>
      <w:spacing w:after="160" w:line="259" w:lineRule="auto"/>
    </w:pPr>
    <w:rPr>
      <w:rFonts w:ascii="Calibri" w:eastAsia="Calibri" w:hAnsi="Calibri"/>
      <w:sz w:val="22"/>
      <w:szCs w:val="22"/>
      <w:lang w:val="de-DE"/>
    </w:rPr>
  </w:style>
  <w:style w:type="paragraph" w:styleId="berschrift1">
    <w:name w:val="heading 1"/>
    <w:basedOn w:val="Standard"/>
    <w:next w:val="Standard"/>
    <w:link w:val="berschrift1Zchn"/>
    <w:uiPriority w:val="99"/>
    <w:qFormat/>
    <w:rsid w:val="009C32E7"/>
    <w:pPr>
      <w:keepNext/>
      <w:keepLines/>
      <w:numPr>
        <w:numId w:val="3"/>
      </w:numPr>
      <w:spacing w:before="240" w:after="0"/>
      <w:jc w:val="both"/>
      <w:outlineLvl w:val="0"/>
    </w:pPr>
    <w:rPr>
      <w:rFonts w:eastAsia="Times New Roman"/>
      <w:color w:val="000000"/>
      <w:sz w:val="32"/>
      <w:szCs w:val="32"/>
      <w:lang w:val="en-GB"/>
    </w:rPr>
  </w:style>
  <w:style w:type="paragraph" w:styleId="berschrift2">
    <w:name w:val="heading 2"/>
    <w:basedOn w:val="Standard"/>
    <w:next w:val="Standard"/>
    <w:link w:val="berschrift2Zchn"/>
    <w:uiPriority w:val="99"/>
    <w:qFormat/>
    <w:rsid w:val="009C32E7"/>
    <w:pPr>
      <w:keepNext/>
      <w:keepLines/>
      <w:numPr>
        <w:ilvl w:val="1"/>
        <w:numId w:val="3"/>
      </w:numPr>
      <w:spacing w:before="40"/>
      <w:jc w:val="both"/>
      <w:outlineLvl w:val="1"/>
    </w:pPr>
    <w:rPr>
      <w:rFonts w:eastAsia="Times New Roman"/>
      <w:color w:val="000000"/>
      <w:sz w:val="28"/>
      <w:szCs w:val="24"/>
      <w:lang w:val="en-GB"/>
    </w:rPr>
  </w:style>
  <w:style w:type="paragraph" w:styleId="berschrift3">
    <w:name w:val="heading 3"/>
    <w:basedOn w:val="Standard"/>
    <w:next w:val="Standard"/>
    <w:link w:val="berschrift3Zchn"/>
    <w:uiPriority w:val="99"/>
    <w:qFormat/>
    <w:rsid w:val="009C32E7"/>
    <w:pPr>
      <w:keepNext/>
      <w:keepLines/>
      <w:spacing w:before="320" w:after="120"/>
      <w:outlineLvl w:val="2"/>
    </w:pPr>
    <w:rPr>
      <w:rFonts w:ascii="MetaNormal-Roman" w:eastAsia="Times New Roman" w:hAnsi="MetaNormal-Roman"/>
      <w:b/>
      <w:bCs/>
      <w:lang w:val="en-GB"/>
    </w:rPr>
  </w:style>
  <w:style w:type="paragraph" w:styleId="berschrift4">
    <w:name w:val="heading 4"/>
    <w:basedOn w:val="Standard"/>
    <w:next w:val="Standard"/>
    <w:link w:val="berschrift4Zchn"/>
    <w:uiPriority w:val="99"/>
    <w:qFormat/>
    <w:rsid w:val="009C32E7"/>
    <w:pPr>
      <w:keepNext/>
      <w:keepLines/>
      <w:spacing w:before="200" w:after="0"/>
      <w:outlineLvl w:val="3"/>
    </w:pPr>
    <w:rPr>
      <w:rFonts w:ascii="Cambria" w:eastAsia="Times New Roman" w:hAnsi="Cambria"/>
      <w:b/>
      <w:bCs/>
      <w:i/>
      <w:iCs/>
      <w:color w:val="4F81BD"/>
    </w:rPr>
  </w:style>
  <w:style w:type="paragraph" w:styleId="berschrift5">
    <w:name w:val="heading 5"/>
    <w:basedOn w:val="Standard"/>
    <w:next w:val="Standard"/>
    <w:link w:val="berschrift5Zchn"/>
    <w:uiPriority w:val="99"/>
    <w:qFormat/>
    <w:rsid w:val="009C32E7"/>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9"/>
    <w:qFormat/>
    <w:rsid w:val="009C32E7"/>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9"/>
    <w:unhideWhenUsed/>
    <w:qFormat/>
    <w:rsid w:val="009C32E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9"/>
    <w:unhideWhenUsed/>
    <w:qFormat/>
    <w:rsid w:val="009C32E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9"/>
    <w:unhideWhenUsed/>
    <w:qFormat/>
    <w:rsid w:val="009C32E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9C32E7"/>
    <w:rPr>
      <w:rFonts w:ascii="Calibri" w:hAnsi="Calibri"/>
      <w:color w:val="000000"/>
      <w:sz w:val="32"/>
      <w:szCs w:val="32"/>
      <w:lang w:val="en-GB"/>
    </w:rPr>
  </w:style>
  <w:style w:type="character" w:customStyle="1" w:styleId="berschrift2Zchn">
    <w:name w:val="Überschrift 2 Zchn"/>
    <w:basedOn w:val="Absatz-Standardschriftart"/>
    <w:link w:val="berschrift2"/>
    <w:uiPriority w:val="99"/>
    <w:rsid w:val="009C32E7"/>
    <w:rPr>
      <w:rFonts w:ascii="Calibri" w:hAnsi="Calibri"/>
      <w:color w:val="000000"/>
      <w:sz w:val="28"/>
      <w:szCs w:val="24"/>
      <w:lang w:val="en-GB"/>
    </w:rPr>
  </w:style>
  <w:style w:type="character" w:customStyle="1" w:styleId="berschrift3Zchn">
    <w:name w:val="Überschrift 3 Zchn"/>
    <w:basedOn w:val="Absatz-Standardschriftart"/>
    <w:link w:val="berschrift3"/>
    <w:uiPriority w:val="99"/>
    <w:rsid w:val="009C32E7"/>
    <w:rPr>
      <w:rFonts w:ascii="MetaNormal-Roman" w:hAnsi="MetaNormal-Roman"/>
      <w:b/>
      <w:bCs/>
      <w:sz w:val="22"/>
      <w:szCs w:val="22"/>
      <w:lang w:val="en-GB"/>
    </w:rPr>
  </w:style>
  <w:style w:type="character" w:customStyle="1" w:styleId="berschrift4Zchn">
    <w:name w:val="Überschrift 4 Zchn"/>
    <w:basedOn w:val="Absatz-Standardschriftart"/>
    <w:link w:val="berschrift4"/>
    <w:uiPriority w:val="99"/>
    <w:rsid w:val="009C32E7"/>
    <w:rPr>
      <w:rFonts w:ascii="Cambria" w:hAnsi="Cambria"/>
      <w:b/>
      <w:bCs/>
      <w:i/>
      <w:iCs/>
      <w:color w:val="4F81BD"/>
      <w:sz w:val="22"/>
      <w:szCs w:val="22"/>
      <w:lang w:val="de-DE"/>
    </w:rPr>
  </w:style>
  <w:style w:type="character" w:customStyle="1" w:styleId="berschrift5Zchn">
    <w:name w:val="Überschrift 5 Zchn"/>
    <w:basedOn w:val="Absatz-Standardschriftart"/>
    <w:link w:val="berschrift5"/>
    <w:uiPriority w:val="99"/>
    <w:rsid w:val="009C32E7"/>
    <w:rPr>
      <w:rFonts w:ascii="Cambria" w:hAnsi="Cambria"/>
      <w:color w:val="243F60"/>
      <w:sz w:val="22"/>
      <w:szCs w:val="22"/>
      <w:lang w:val="de-DE"/>
    </w:rPr>
  </w:style>
  <w:style w:type="character" w:customStyle="1" w:styleId="berschrift6Zchn">
    <w:name w:val="Überschrift 6 Zchn"/>
    <w:basedOn w:val="Absatz-Standardschriftart"/>
    <w:link w:val="berschrift6"/>
    <w:uiPriority w:val="99"/>
    <w:rsid w:val="009C32E7"/>
    <w:rPr>
      <w:rFonts w:ascii="Cambria" w:hAnsi="Cambria"/>
      <w:i/>
      <w:iCs/>
      <w:color w:val="243F60"/>
      <w:sz w:val="22"/>
      <w:szCs w:val="22"/>
      <w:lang w:val="de-DE"/>
    </w:rPr>
  </w:style>
  <w:style w:type="character" w:customStyle="1" w:styleId="berschrift7Zchn">
    <w:name w:val="Überschrift 7 Zchn"/>
    <w:basedOn w:val="Absatz-Standardschriftart"/>
    <w:link w:val="berschrift7"/>
    <w:uiPriority w:val="99"/>
    <w:rsid w:val="009C32E7"/>
    <w:rPr>
      <w:rFonts w:asciiTheme="majorHAnsi" w:eastAsiaTheme="majorEastAsia" w:hAnsiTheme="majorHAnsi" w:cstheme="majorBidi"/>
      <w:i/>
      <w:iCs/>
      <w:color w:val="404040" w:themeColor="text1" w:themeTint="BF"/>
      <w:sz w:val="22"/>
      <w:szCs w:val="22"/>
      <w:lang w:val="de-DE"/>
    </w:rPr>
  </w:style>
  <w:style w:type="character" w:customStyle="1" w:styleId="berschrift8Zchn">
    <w:name w:val="Überschrift 8 Zchn"/>
    <w:basedOn w:val="Absatz-Standardschriftart"/>
    <w:link w:val="berschrift8"/>
    <w:uiPriority w:val="99"/>
    <w:rsid w:val="009C32E7"/>
    <w:rPr>
      <w:rFonts w:asciiTheme="majorHAnsi" w:eastAsiaTheme="majorEastAsia" w:hAnsiTheme="majorHAnsi" w:cstheme="majorBidi"/>
      <w:color w:val="404040" w:themeColor="text1" w:themeTint="BF"/>
      <w:lang w:val="de-DE"/>
    </w:rPr>
  </w:style>
  <w:style w:type="character" w:customStyle="1" w:styleId="berschrift9Zchn">
    <w:name w:val="Überschrift 9 Zchn"/>
    <w:basedOn w:val="Absatz-Standardschriftart"/>
    <w:link w:val="berschrift9"/>
    <w:uiPriority w:val="99"/>
    <w:rsid w:val="009C32E7"/>
    <w:rPr>
      <w:rFonts w:asciiTheme="majorHAnsi" w:eastAsiaTheme="majorEastAsia" w:hAnsiTheme="majorHAnsi" w:cstheme="majorBidi"/>
      <w:i/>
      <w:iCs/>
      <w:color w:val="404040" w:themeColor="text1" w:themeTint="BF"/>
      <w:lang w:val="de-DE"/>
    </w:rPr>
  </w:style>
  <w:style w:type="paragraph" w:styleId="Listenabsatz">
    <w:name w:val="List Paragraph"/>
    <w:basedOn w:val="Standard"/>
    <w:uiPriority w:val="99"/>
    <w:qFormat/>
    <w:rsid w:val="009C32E7"/>
    <w:pPr>
      <w:ind w:left="720"/>
      <w:contextualSpacing/>
    </w:pPr>
  </w:style>
  <w:style w:type="paragraph" w:styleId="Sprechblasentext">
    <w:name w:val="Balloon Text"/>
    <w:basedOn w:val="Standard"/>
    <w:link w:val="SprechblasentextZchn"/>
    <w:uiPriority w:val="99"/>
    <w:rsid w:val="009C32E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9C32E7"/>
    <w:rPr>
      <w:rFonts w:ascii="Tahoma" w:eastAsia="Calibri" w:hAnsi="Tahoma" w:cs="Tahoma"/>
      <w:sz w:val="16"/>
      <w:szCs w:val="16"/>
      <w:lang w:val="de-DE"/>
    </w:rPr>
  </w:style>
  <w:style w:type="paragraph" w:styleId="Kopfzeile">
    <w:name w:val="header"/>
    <w:basedOn w:val="Standard"/>
    <w:link w:val="KopfzeileZchn"/>
    <w:uiPriority w:val="99"/>
    <w:rsid w:val="009C32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32E7"/>
    <w:rPr>
      <w:rFonts w:ascii="Calibri" w:eastAsia="Calibri" w:hAnsi="Calibri"/>
      <w:sz w:val="22"/>
      <w:szCs w:val="22"/>
      <w:lang w:val="de-DE"/>
    </w:rPr>
  </w:style>
  <w:style w:type="paragraph" w:styleId="Fuzeile">
    <w:name w:val="footer"/>
    <w:basedOn w:val="Standard"/>
    <w:link w:val="FuzeileZchn"/>
    <w:uiPriority w:val="99"/>
    <w:rsid w:val="009C32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32E7"/>
    <w:rPr>
      <w:rFonts w:ascii="Calibri" w:eastAsia="Calibri" w:hAnsi="Calibri"/>
      <w:sz w:val="22"/>
      <w:szCs w:val="22"/>
      <w:lang w:val="de-DE"/>
    </w:rPr>
  </w:style>
  <w:style w:type="character" w:styleId="Kommentarzeichen">
    <w:name w:val="annotation reference"/>
    <w:basedOn w:val="Absatz-Standardschriftart"/>
    <w:rsid w:val="009C32E7"/>
    <w:rPr>
      <w:rFonts w:cs="Times New Roman"/>
      <w:sz w:val="16"/>
      <w:szCs w:val="16"/>
    </w:rPr>
  </w:style>
  <w:style w:type="paragraph" w:styleId="Kommentartext">
    <w:name w:val="annotation text"/>
    <w:basedOn w:val="Standard"/>
    <w:link w:val="KommentartextZchn"/>
    <w:uiPriority w:val="99"/>
    <w:rsid w:val="009C32E7"/>
    <w:pPr>
      <w:spacing w:line="240" w:lineRule="auto"/>
    </w:pPr>
    <w:rPr>
      <w:sz w:val="20"/>
      <w:szCs w:val="20"/>
    </w:rPr>
  </w:style>
  <w:style w:type="character" w:customStyle="1" w:styleId="KommentartextZchn">
    <w:name w:val="Kommentartext Zchn"/>
    <w:basedOn w:val="Absatz-Standardschriftart"/>
    <w:link w:val="Kommentartext"/>
    <w:uiPriority w:val="99"/>
    <w:rsid w:val="009C32E7"/>
    <w:rPr>
      <w:rFonts w:ascii="Calibri" w:eastAsia="Calibri" w:hAnsi="Calibri"/>
      <w:lang w:val="de-DE"/>
    </w:rPr>
  </w:style>
  <w:style w:type="paragraph" w:styleId="Kommentarthema">
    <w:name w:val="annotation subject"/>
    <w:basedOn w:val="Kommentartext"/>
    <w:next w:val="Kommentartext"/>
    <w:link w:val="KommentarthemaZchn"/>
    <w:uiPriority w:val="99"/>
    <w:rsid w:val="009C32E7"/>
    <w:rPr>
      <w:b/>
      <w:bCs/>
    </w:rPr>
  </w:style>
  <w:style w:type="character" w:customStyle="1" w:styleId="KommentarthemaZchn">
    <w:name w:val="Kommentarthema Zchn"/>
    <w:basedOn w:val="KommentartextZchn"/>
    <w:link w:val="Kommentarthema"/>
    <w:uiPriority w:val="99"/>
    <w:rsid w:val="009C32E7"/>
    <w:rPr>
      <w:rFonts w:ascii="Calibri" w:eastAsia="Calibri" w:hAnsi="Calibri"/>
      <w:b/>
      <w:bCs/>
      <w:lang w:val="de-DE"/>
    </w:rPr>
  </w:style>
  <w:style w:type="character" w:styleId="Seitenzahl">
    <w:name w:val="page number"/>
    <w:basedOn w:val="Absatz-Standardschriftart"/>
    <w:uiPriority w:val="99"/>
    <w:rsid w:val="009C32E7"/>
    <w:rPr>
      <w:rFonts w:cs="Times New Roman"/>
    </w:rPr>
  </w:style>
  <w:style w:type="character" w:styleId="Hyperlink">
    <w:name w:val="Hyperlink"/>
    <w:basedOn w:val="Absatz-Standardschriftart"/>
    <w:uiPriority w:val="99"/>
    <w:rsid w:val="009C32E7"/>
    <w:rPr>
      <w:rFonts w:cs="Times New Roman"/>
      <w:color w:val="0000FF"/>
      <w:u w:val="single"/>
    </w:rPr>
  </w:style>
  <w:style w:type="character" w:styleId="Platzhaltertext">
    <w:name w:val="Placeholder Text"/>
    <w:basedOn w:val="Absatz-Standardschriftart"/>
    <w:uiPriority w:val="99"/>
    <w:semiHidden/>
    <w:rsid w:val="009C32E7"/>
    <w:rPr>
      <w:rFonts w:cs="Times New Roman"/>
      <w:color w:val="808080"/>
    </w:rPr>
  </w:style>
  <w:style w:type="table" w:styleId="Tabellenraster">
    <w:name w:val="Table Grid"/>
    <w:basedOn w:val="NormaleTabelle"/>
    <w:uiPriority w:val="99"/>
    <w:rsid w:val="009C32E7"/>
    <w:rPr>
      <w:rFonts w:ascii="Calibri" w:eastAsia="Calibri" w:hAnsi="Calibri"/>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
    <w:name w:val="List"/>
    <w:basedOn w:val="Standard"/>
    <w:uiPriority w:val="99"/>
    <w:rsid w:val="009C32E7"/>
    <w:pPr>
      <w:ind w:left="283" w:hanging="283"/>
      <w:contextualSpacing/>
    </w:pPr>
  </w:style>
  <w:style w:type="paragraph" w:styleId="Liste2">
    <w:name w:val="List 2"/>
    <w:basedOn w:val="Standard"/>
    <w:uiPriority w:val="99"/>
    <w:rsid w:val="009C32E7"/>
    <w:pPr>
      <w:ind w:left="566" w:hanging="283"/>
      <w:contextualSpacing/>
    </w:pPr>
  </w:style>
  <w:style w:type="paragraph" w:styleId="Aufzhlungszeichen2">
    <w:name w:val="List Bullet 2"/>
    <w:basedOn w:val="Standard"/>
    <w:uiPriority w:val="99"/>
    <w:rsid w:val="009C32E7"/>
    <w:pPr>
      <w:numPr>
        <w:numId w:val="1"/>
      </w:numPr>
      <w:tabs>
        <w:tab w:val="num" w:pos="643"/>
      </w:tabs>
      <w:ind w:left="643"/>
      <w:contextualSpacing/>
    </w:pPr>
  </w:style>
  <w:style w:type="paragraph" w:styleId="Aufzhlungszeichen3">
    <w:name w:val="List Bullet 3"/>
    <w:basedOn w:val="Standard"/>
    <w:uiPriority w:val="99"/>
    <w:rsid w:val="009C32E7"/>
    <w:pPr>
      <w:numPr>
        <w:numId w:val="2"/>
      </w:numPr>
      <w:tabs>
        <w:tab w:val="num" w:pos="926"/>
      </w:tabs>
      <w:ind w:left="926"/>
      <w:contextualSpacing/>
    </w:pPr>
  </w:style>
  <w:style w:type="paragraph" w:styleId="Beschriftung">
    <w:name w:val="caption"/>
    <w:basedOn w:val="Standard"/>
    <w:next w:val="Standard"/>
    <w:uiPriority w:val="99"/>
    <w:qFormat/>
    <w:rsid w:val="009C32E7"/>
    <w:pPr>
      <w:spacing w:after="200" w:line="240" w:lineRule="auto"/>
    </w:pPr>
    <w:rPr>
      <w:b/>
      <w:bCs/>
      <w:color w:val="4F81BD"/>
      <w:sz w:val="18"/>
      <w:szCs w:val="18"/>
    </w:rPr>
  </w:style>
  <w:style w:type="paragraph" w:styleId="Textkrper">
    <w:name w:val="Body Text"/>
    <w:basedOn w:val="Standard"/>
    <w:link w:val="TextkrperZchn"/>
    <w:uiPriority w:val="99"/>
    <w:rsid w:val="009C32E7"/>
    <w:pPr>
      <w:spacing w:after="120"/>
    </w:pPr>
  </w:style>
  <w:style w:type="character" w:customStyle="1" w:styleId="TextkrperZchn">
    <w:name w:val="Textkörper Zchn"/>
    <w:basedOn w:val="Absatz-Standardschriftart"/>
    <w:link w:val="Textkrper"/>
    <w:uiPriority w:val="99"/>
    <w:rsid w:val="009C32E7"/>
    <w:rPr>
      <w:rFonts w:ascii="Calibri" w:eastAsia="Calibri" w:hAnsi="Calibri"/>
      <w:sz w:val="22"/>
      <w:szCs w:val="22"/>
      <w:lang w:val="de-DE"/>
    </w:rPr>
  </w:style>
  <w:style w:type="paragraph" w:styleId="Textkrper-Zeileneinzug">
    <w:name w:val="Body Text Indent"/>
    <w:basedOn w:val="Standard"/>
    <w:link w:val="Textkrper-ZeileneinzugZchn"/>
    <w:uiPriority w:val="99"/>
    <w:rsid w:val="009C32E7"/>
    <w:pPr>
      <w:spacing w:after="120"/>
      <w:ind w:left="283"/>
    </w:pPr>
  </w:style>
  <w:style w:type="character" w:customStyle="1" w:styleId="Textkrper-ZeileneinzugZchn">
    <w:name w:val="Textkörper-Zeileneinzug Zchn"/>
    <w:basedOn w:val="Absatz-Standardschriftart"/>
    <w:link w:val="Textkrper-Zeileneinzug"/>
    <w:uiPriority w:val="99"/>
    <w:rsid w:val="009C32E7"/>
    <w:rPr>
      <w:rFonts w:ascii="Calibri" w:eastAsia="Calibri" w:hAnsi="Calibri"/>
      <w:sz w:val="22"/>
      <w:szCs w:val="22"/>
      <w:lang w:val="de-DE"/>
    </w:rPr>
  </w:style>
  <w:style w:type="paragraph" w:styleId="Textkrper-Erstzeileneinzug2">
    <w:name w:val="Body Text First Indent 2"/>
    <w:basedOn w:val="Textkrper-Zeileneinzug"/>
    <w:link w:val="Textkrper-Erstzeileneinzug2Zchn"/>
    <w:uiPriority w:val="99"/>
    <w:rsid w:val="009C32E7"/>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rsid w:val="009C32E7"/>
    <w:rPr>
      <w:rFonts w:ascii="Calibri" w:eastAsia="Calibri" w:hAnsi="Calibri"/>
      <w:sz w:val="22"/>
      <w:szCs w:val="22"/>
      <w:lang w:val="de-DE"/>
    </w:rPr>
  </w:style>
  <w:style w:type="paragraph" w:styleId="KeinLeerraum">
    <w:name w:val="No Spacing"/>
    <w:uiPriority w:val="99"/>
    <w:qFormat/>
    <w:rsid w:val="009C32E7"/>
    <w:rPr>
      <w:rFonts w:ascii="Calibri" w:eastAsia="Calibri" w:hAnsi="Calibri"/>
      <w:sz w:val="22"/>
      <w:szCs w:val="22"/>
      <w:lang w:val="de-DE"/>
    </w:rPr>
  </w:style>
  <w:style w:type="character" w:styleId="SchwacheHervorhebung">
    <w:name w:val="Subtle Emphasis"/>
    <w:basedOn w:val="Absatz-Standardschriftart"/>
    <w:uiPriority w:val="99"/>
    <w:qFormat/>
    <w:rsid w:val="009C32E7"/>
    <w:rPr>
      <w:rFonts w:cs="Times New Roman"/>
      <w:i/>
      <w:iCs/>
      <w:color w:val="808080"/>
    </w:rPr>
  </w:style>
  <w:style w:type="paragraph" w:customStyle="1" w:styleId="EndNoteBibliographyTitle">
    <w:name w:val="EndNote Bibliography Title"/>
    <w:basedOn w:val="Standard"/>
    <w:link w:val="EndNoteBibliographyTitleZchn"/>
    <w:uiPriority w:val="99"/>
    <w:rsid w:val="009C32E7"/>
    <w:pPr>
      <w:spacing w:after="0"/>
      <w:jc w:val="center"/>
    </w:pPr>
    <w:rPr>
      <w:noProof/>
      <w:lang w:val="en-US"/>
    </w:rPr>
  </w:style>
  <w:style w:type="character" w:customStyle="1" w:styleId="EndNoteBibliographyTitleZchn">
    <w:name w:val="EndNote Bibliography Title Zchn"/>
    <w:basedOn w:val="Absatz-Standardschriftart"/>
    <w:link w:val="EndNoteBibliographyTitle"/>
    <w:uiPriority w:val="99"/>
    <w:locked/>
    <w:rsid w:val="009C32E7"/>
    <w:rPr>
      <w:rFonts w:ascii="Calibri" w:eastAsia="Calibri" w:hAnsi="Calibri"/>
      <w:noProof/>
      <w:sz w:val="22"/>
      <w:szCs w:val="22"/>
    </w:rPr>
  </w:style>
  <w:style w:type="paragraph" w:customStyle="1" w:styleId="EndNoteBibliography">
    <w:name w:val="EndNote Bibliography"/>
    <w:basedOn w:val="Standard"/>
    <w:link w:val="EndNoteBibliographyZchn"/>
    <w:uiPriority w:val="99"/>
    <w:rsid w:val="009C32E7"/>
    <w:pPr>
      <w:spacing w:line="240" w:lineRule="auto"/>
    </w:pPr>
    <w:rPr>
      <w:noProof/>
      <w:lang w:val="en-US"/>
    </w:rPr>
  </w:style>
  <w:style w:type="character" w:customStyle="1" w:styleId="EndNoteBibliographyZchn">
    <w:name w:val="EndNote Bibliography Zchn"/>
    <w:basedOn w:val="Absatz-Standardschriftart"/>
    <w:link w:val="EndNoteBibliography"/>
    <w:uiPriority w:val="99"/>
    <w:locked/>
    <w:rsid w:val="009C32E7"/>
    <w:rPr>
      <w:rFonts w:ascii="Calibri" w:eastAsia="Calibri" w:hAnsi="Calibri"/>
      <w:noProof/>
      <w:sz w:val="22"/>
      <w:szCs w:val="22"/>
    </w:rPr>
  </w:style>
  <w:style w:type="paragraph" w:styleId="berarbeitung">
    <w:name w:val="Revision"/>
    <w:hidden/>
    <w:uiPriority w:val="99"/>
    <w:semiHidden/>
    <w:rsid w:val="009C32E7"/>
    <w:rPr>
      <w:rFonts w:ascii="Calibri" w:eastAsia="Calibri" w:hAnsi="Calibri"/>
      <w:sz w:val="22"/>
      <w:szCs w:val="22"/>
      <w:lang w:val="de-DE"/>
    </w:rPr>
  </w:style>
  <w:style w:type="paragraph" w:styleId="StandardWeb">
    <w:name w:val="Normal (Web)"/>
    <w:basedOn w:val="Standard"/>
    <w:uiPriority w:val="99"/>
    <w:rsid w:val="009C32E7"/>
    <w:pPr>
      <w:spacing w:after="0" w:line="240" w:lineRule="auto"/>
    </w:pPr>
    <w:rPr>
      <w:rFonts w:ascii="Times New Roman" w:eastAsia="Times New Roman" w:hAnsi="Times New Roman"/>
      <w:sz w:val="24"/>
      <w:szCs w:val="24"/>
      <w:lang w:eastAsia="de-DE"/>
    </w:rPr>
  </w:style>
  <w:style w:type="character" w:customStyle="1" w:styleId="labelblue">
    <w:name w:val="labelblue"/>
    <w:uiPriority w:val="99"/>
    <w:rsid w:val="009C32E7"/>
  </w:style>
  <w:style w:type="paragraph" w:styleId="Inhaltsverzeichnisberschrift">
    <w:name w:val="TOC Heading"/>
    <w:basedOn w:val="berschrift1"/>
    <w:next w:val="Standard"/>
    <w:uiPriority w:val="99"/>
    <w:qFormat/>
    <w:rsid w:val="009C32E7"/>
    <w:pPr>
      <w:spacing w:before="480" w:line="276" w:lineRule="auto"/>
      <w:outlineLvl w:val="9"/>
    </w:pPr>
    <w:rPr>
      <w:rFonts w:ascii="Cambria" w:hAnsi="Cambria"/>
      <w:b/>
      <w:bCs/>
      <w:color w:val="365F91"/>
      <w:sz w:val="28"/>
      <w:szCs w:val="28"/>
      <w:lang w:val="de-DE" w:eastAsia="de-DE"/>
    </w:rPr>
  </w:style>
  <w:style w:type="paragraph" w:styleId="Index1">
    <w:name w:val="index 1"/>
    <w:basedOn w:val="Standard"/>
    <w:next w:val="Standard"/>
    <w:autoRedefine/>
    <w:uiPriority w:val="99"/>
    <w:rsid w:val="009C32E7"/>
    <w:pPr>
      <w:spacing w:after="0" w:line="240" w:lineRule="auto"/>
      <w:ind w:left="220" w:hanging="220"/>
    </w:pPr>
  </w:style>
  <w:style w:type="paragraph" w:styleId="Verzeichnis1">
    <w:name w:val="toc 1"/>
    <w:basedOn w:val="Standard"/>
    <w:next w:val="Standard"/>
    <w:autoRedefine/>
    <w:uiPriority w:val="39"/>
    <w:rsid w:val="009C32E7"/>
    <w:pPr>
      <w:spacing w:after="100"/>
    </w:pPr>
  </w:style>
  <w:style w:type="paragraph" w:styleId="Verzeichnis2">
    <w:name w:val="toc 2"/>
    <w:basedOn w:val="Standard"/>
    <w:next w:val="Standard"/>
    <w:autoRedefine/>
    <w:uiPriority w:val="39"/>
    <w:rsid w:val="009C32E7"/>
    <w:pPr>
      <w:spacing w:after="100"/>
      <w:ind w:left="220"/>
    </w:pPr>
  </w:style>
  <w:style w:type="paragraph" w:styleId="Verzeichnis3">
    <w:name w:val="toc 3"/>
    <w:basedOn w:val="Standard"/>
    <w:next w:val="Standard"/>
    <w:autoRedefine/>
    <w:uiPriority w:val="39"/>
    <w:rsid w:val="009C32E7"/>
    <w:pPr>
      <w:spacing w:after="100"/>
      <w:ind w:left="440"/>
    </w:pPr>
  </w:style>
  <w:style w:type="paragraph" w:styleId="Verzeichnis4">
    <w:name w:val="toc 4"/>
    <w:basedOn w:val="Standard"/>
    <w:next w:val="Standard"/>
    <w:autoRedefine/>
    <w:uiPriority w:val="39"/>
    <w:unhideWhenUsed/>
    <w:rsid w:val="009C32E7"/>
    <w:pPr>
      <w:spacing w:after="100" w:line="276" w:lineRule="auto"/>
      <w:ind w:left="660"/>
    </w:pPr>
    <w:rPr>
      <w:rFonts w:asciiTheme="minorHAnsi" w:eastAsiaTheme="minorEastAsia" w:hAnsiTheme="minorHAnsi" w:cstheme="minorBidi"/>
      <w:lang w:eastAsia="de-DE"/>
    </w:rPr>
  </w:style>
  <w:style w:type="paragraph" w:styleId="Verzeichnis5">
    <w:name w:val="toc 5"/>
    <w:basedOn w:val="Standard"/>
    <w:next w:val="Standard"/>
    <w:autoRedefine/>
    <w:uiPriority w:val="39"/>
    <w:unhideWhenUsed/>
    <w:rsid w:val="009C32E7"/>
    <w:pPr>
      <w:spacing w:after="100" w:line="276" w:lineRule="auto"/>
      <w:ind w:left="880"/>
    </w:pPr>
    <w:rPr>
      <w:rFonts w:asciiTheme="minorHAnsi" w:eastAsiaTheme="minorEastAsia" w:hAnsiTheme="minorHAnsi" w:cstheme="minorBidi"/>
      <w:lang w:eastAsia="de-DE"/>
    </w:rPr>
  </w:style>
  <w:style w:type="paragraph" w:styleId="Verzeichnis6">
    <w:name w:val="toc 6"/>
    <w:basedOn w:val="Standard"/>
    <w:next w:val="Standard"/>
    <w:autoRedefine/>
    <w:uiPriority w:val="39"/>
    <w:unhideWhenUsed/>
    <w:rsid w:val="009C32E7"/>
    <w:pPr>
      <w:spacing w:after="100" w:line="276" w:lineRule="auto"/>
      <w:ind w:left="1100"/>
    </w:pPr>
    <w:rPr>
      <w:rFonts w:asciiTheme="minorHAnsi" w:eastAsiaTheme="minorEastAsia" w:hAnsiTheme="minorHAnsi" w:cstheme="minorBidi"/>
      <w:lang w:eastAsia="de-DE"/>
    </w:rPr>
  </w:style>
  <w:style w:type="paragraph" w:styleId="Verzeichnis7">
    <w:name w:val="toc 7"/>
    <w:basedOn w:val="Standard"/>
    <w:next w:val="Standard"/>
    <w:autoRedefine/>
    <w:uiPriority w:val="39"/>
    <w:unhideWhenUsed/>
    <w:rsid w:val="009C32E7"/>
    <w:pPr>
      <w:spacing w:after="100" w:line="276" w:lineRule="auto"/>
      <w:ind w:left="1320"/>
    </w:pPr>
    <w:rPr>
      <w:rFonts w:asciiTheme="minorHAnsi" w:eastAsiaTheme="minorEastAsia" w:hAnsiTheme="minorHAnsi" w:cstheme="minorBidi"/>
      <w:lang w:eastAsia="de-DE"/>
    </w:rPr>
  </w:style>
  <w:style w:type="paragraph" w:styleId="Verzeichnis8">
    <w:name w:val="toc 8"/>
    <w:basedOn w:val="Standard"/>
    <w:next w:val="Standard"/>
    <w:autoRedefine/>
    <w:uiPriority w:val="39"/>
    <w:unhideWhenUsed/>
    <w:rsid w:val="009C32E7"/>
    <w:pPr>
      <w:spacing w:after="100" w:line="276" w:lineRule="auto"/>
      <w:ind w:left="1540"/>
    </w:pPr>
    <w:rPr>
      <w:rFonts w:asciiTheme="minorHAnsi" w:eastAsiaTheme="minorEastAsia" w:hAnsiTheme="minorHAnsi" w:cstheme="minorBidi"/>
      <w:lang w:eastAsia="de-DE"/>
    </w:rPr>
  </w:style>
  <w:style w:type="paragraph" w:styleId="Verzeichnis9">
    <w:name w:val="toc 9"/>
    <w:basedOn w:val="Standard"/>
    <w:next w:val="Standard"/>
    <w:autoRedefine/>
    <w:uiPriority w:val="39"/>
    <w:unhideWhenUsed/>
    <w:rsid w:val="009C32E7"/>
    <w:pPr>
      <w:spacing w:after="100" w:line="276" w:lineRule="auto"/>
      <w:ind w:left="1760"/>
    </w:pPr>
    <w:rPr>
      <w:rFonts w:asciiTheme="minorHAnsi" w:eastAsiaTheme="minorEastAsia" w:hAnsiTheme="minorHAnsi" w:cstheme="minorBidi"/>
      <w:lang w:eastAsia="de-DE"/>
    </w:rPr>
  </w:style>
  <w:style w:type="paragraph" w:customStyle="1" w:styleId="standard1">
    <w:name w:val="standard1"/>
    <w:basedOn w:val="Standard"/>
    <w:link w:val="standard1Zchn"/>
    <w:uiPriority w:val="99"/>
    <w:rsid w:val="009C32E7"/>
    <w:pPr>
      <w:spacing w:after="0" w:line="300" w:lineRule="atLeast"/>
      <w:jc w:val="both"/>
    </w:pPr>
    <w:rPr>
      <w:rFonts w:ascii="Arial" w:eastAsia="MS Mincho" w:hAnsi="Arial"/>
      <w:szCs w:val="20"/>
      <w:lang w:val="en-GB" w:eastAsia="ja-JP"/>
    </w:rPr>
  </w:style>
  <w:style w:type="character" w:customStyle="1" w:styleId="standard1Zchn">
    <w:name w:val="standard1 Zchn"/>
    <w:link w:val="standard1"/>
    <w:uiPriority w:val="99"/>
    <w:locked/>
    <w:rsid w:val="009C32E7"/>
    <w:rPr>
      <w:rFonts w:ascii="Arial" w:eastAsia="MS Mincho" w:hAnsi="Arial"/>
      <w:sz w:val="22"/>
      <w:lang w:val="en-GB" w:eastAsia="ja-JP"/>
    </w:rPr>
  </w:style>
  <w:style w:type="paragraph" w:customStyle="1" w:styleId="Default">
    <w:name w:val="Default"/>
    <w:uiPriority w:val="99"/>
    <w:rsid w:val="009C32E7"/>
    <w:pPr>
      <w:autoSpaceDE w:val="0"/>
      <w:autoSpaceDN w:val="0"/>
      <w:adjustRightInd w:val="0"/>
    </w:pPr>
    <w:rPr>
      <w:rFonts w:eastAsia="Calibri"/>
      <w:color w:val="000000"/>
      <w:sz w:val="24"/>
      <w:szCs w:val="24"/>
      <w:lang w:val="de-DE" w:eastAsia="de-DE"/>
    </w:rPr>
  </w:style>
  <w:style w:type="paragraph" w:customStyle="1" w:styleId="CM25">
    <w:name w:val="CM25"/>
    <w:basedOn w:val="Default"/>
    <w:next w:val="Default"/>
    <w:uiPriority w:val="99"/>
    <w:rsid w:val="009C32E7"/>
    <w:rPr>
      <w:color w:val="auto"/>
    </w:rPr>
  </w:style>
  <w:style w:type="paragraph" w:styleId="Aufzhlungszeichen">
    <w:name w:val="List Bullet"/>
    <w:basedOn w:val="Standard"/>
    <w:uiPriority w:val="99"/>
    <w:unhideWhenUsed/>
    <w:rsid w:val="009C32E7"/>
    <w:pPr>
      <w:numPr>
        <w:numId w:val="10"/>
      </w:numPr>
      <w:contextualSpacing/>
    </w:pPr>
  </w:style>
  <w:style w:type="paragraph" w:customStyle="1" w:styleId="Cc-Liste">
    <w:name w:val="Cc-Liste"/>
    <w:basedOn w:val="Standard"/>
    <w:uiPriority w:val="99"/>
    <w:rsid w:val="009C32E7"/>
  </w:style>
  <w:style w:type="paragraph" w:styleId="Textkrper-Erstzeileneinzug">
    <w:name w:val="Body Text First Indent"/>
    <w:basedOn w:val="Textkrper"/>
    <w:link w:val="Textkrper-ErstzeileneinzugZchn"/>
    <w:uiPriority w:val="99"/>
    <w:unhideWhenUsed/>
    <w:rsid w:val="009C32E7"/>
    <w:pPr>
      <w:spacing w:after="160"/>
      <w:ind w:firstLine="360"/>
    </w:pPr>
  </w:style>
  <w:style w:type="character" w:customStyle="1" w:styleId="Textkrper-ErstzeileneinzugZchn">
    <w:name w:val="Textkörper-Erstzeileneinzug Zchn"/>
    <w:basedOn w:val="TextkrperZchn"/>
    <w:link w:val="Textkrper-Erstzeileneinzug"/>
    <w:uiPriority w:val="99"/>
    <w:rsid w:val="009C32E7"/>
    <w:rPr>
      <w:rFonts w:ascii="Calibri" w:eastAsia="Calibri" w:hAnsi="Calibri"/>
      <w:sz w:val="22"/>
      <w:szCs w:val="22"/>
      <w:lang w:val="de-DE"/>
    </w:rPr>
  </w:style>
  <w:style w:type="paragraph" w:customStyle="1" w:styleId="111Formatvorlage">
    <w:name w:val="1.1.1. Formatvorlage"/>
    <w:basedOn w:val="berschrift2"/>
    <w:link w:val="111FormatvorlageZchn"/>
    <w:qFormat/>
    <w:rsid w:val="009C32E7"/>
    <w:pPr>
      <w:numPr>
        <w:ilvl w:val="0"/>
        <w:numId w:val="0"/>
      </w:numPr>
      <w:spacing w:before="240"/>
      <w:ind w:left="1355" w:hanging="504"/>
      <w:outlineLvl w:val="2"/>
    </w:pPr>
  </w:style>
  <w:style w:type="character" w:customStyle="1" w:styleId="111FormatvorlageZchn">
    <w:name w:val="1.1.1. Formatvorlage Zchn"/>
    <w:basedOn w:val="berschrift2Zchn"/>
    <w:link w:val="111Formatvorlage"/>
    <w:rsid w:val="009C32E7"/>
    <w:rPr>
      <w:rFonts w:ascii="Calibri" w:hAnsi="Calibri"/>
      <w:color w:val="000000"/>
      <w:sz w:val="28"/>
      <w:szCs w:val="24"/>
      <w:lang w:val="en-GB"/>
    </w:rPr>
  </w:style>
  <w:style w:type="paragraph" w:styleId="Funotentext">
    <w:name w:val="footnote text"/>
    <w:basedOn w:val="Standard"/>
    <w:link w:val="FunotentextZchn"/>
    <w:uiPriority w:val="99"/>
    <w:unhideWhenUsed/>
    <w:rsid w:val="009C32E7"/>
    <w:pPr>
      <w:spacing w:after="0" w:line="240" w:lineRule="auto"/>
    </w:pPr>
    <w:rPr>
      <w:sz w:val="20"/>
      <w:szCs w:val="20"/>
    </w:rPr>
  </w:style>
  <w:style w:type="character" w:customStyle="1" w:styleId="FunotentextZchn">
    <w:name w:val="Fußnotentext Zchn"/>
    <w:basedOn w:val="Absatz-Standardschriftart"/>
    <w:link w:val="Funotentext"/>
    <w:uiPriority w:val="99"/>
    <w:rsid w:val="009C32E7"/>
    <w:rPr>
      <w:rFonts w:ascii="Calibri" w:eastAsia="Calibri" w:hAnsi="Calibri"/>
      <w:lang w:val="de-DE"/>
    </w:rPr>
  </w:style>
  <w:style w:type="character" w:styleId="Funotenzeichen">
    <w:name w:val="footnote reference"/>
    <w:basedOn w:val="Absatz-Standardschriftart"/>
    <w:uiPriority w:val="99"/>
    <w:unhideWhenUsed/>
    <w:rsid w:val="009C32E7"/>
    <w:rPr>
      <w:vertAlign w:val="superscript"/>
    </w:rPr>
  </w:style>
  <w:style w:type="paragraph" w:styleId="Titel">
    <w:name w:val="Title"/>
    <w:basedOn w:val="Standard"/>
    <w:next w:val="Standard"/>
    <w:link w:val="TitelZchn"/>
    <w:uiPriority w:val="99"/>
    <w:qFormat/>
    <w:rsid w:val="009C32E7"/>
    <w:pPr>
      <w:spacing w:before="240" w:after="60" w:line="500" w:lineRule="exact"/>
      <w:jc w:val="center"/>
    </w:pPr>
    <w:rPr>
      <w:kern w:val="28"/>
      <w:sz w:val="34"/>
      <w:szCs w:val="20"/>
      <w:lang w:val="en-US"/>
    </w:rPr>
  </w:style>
  <w:style w:type="character" w:customStyle="1" w:styleId="TitelZchn">
    <w:name w:val="Titel Zchn"/>
    <w:basedOn w:val="Absatz-Standardschriftart"/>
    <w:link w:val="Titel"/>
    <w:uiPriority w:val="99"/>
    <w:rsid w:val="009C32E7"/>
    <w:rPr>
      <w:rFonts w:ascii="Calibri" w:eastAsia="Calibri" w:hAnsi="Calibri"/>
      <w:kern w:val="28"/>
      <w:sz w:val="34"/>
    </w:rPr>
  </w:style>
  <w:style w:type="paragraph" w:customStyle="1" w:styleId="p1">
    <w:name w:val="p1"/>
    <w:basedOn w:val="Standard"/>
    <w:uiPriority w:val="99"/>
    <w:rsid w:val="009C32E7"/>
    <w:pPr>
      <w:spacing w:after="0" w:line="240" w:lineRule="auto"/>
      <w:jc w:val="both"/>
    </w:pPr>
    <w:rPr>
      <w:rFonts w:ascii="Trebuchet MS" w:hAnsi="Trebuchet MS"/>
      <w:color w:val="AE1916"/>
      <w:sz w:val="17"/>
      <w:szCs w:val="17"/>
      <w:lang w:eastAsia="zh-CN"/>
    </w:rPr>
  </w:style>
  <w:style w:type="paragraph" w:customStyle="1" w:styleId="p2">
    <w:name w:val="p2"/>
    <w:basedOn w:val="Standard"/>
    <w:uiPriority w:val="99"/>
    <w:rsid w:val="009C32E7"/>
    <w:pPr>
      <w:spacing w:after="0" w:line="240" w:lineRule="auto"/>
      <w:jc w:val="both"/>
    </w:pPr>
    <w:rPr>
      <w:rFonts w:ascii="Trebuchet MS" w:hAnsi="Trebuchet MS"/>
      <w:color w:val="AE1916"/>
      <w:sz w:val="17"/>
      <w:szCs w:val="17"/>
      <w:lang w:eastAsia="zh-CN"/>
    </w:rPr>
  </w:style>
  <w:style w:type="character" w:customStyle="1" w:styleId="s1">
    <w:name w:val="s1"/>
    <w:uiPriority w:val="99"/>
    <w:rsid w:val="009C32E7"/>
    <w:rPr>
      <w:rFonts w:cs="Times New Roman"/>
    </w:rPr>
  </w:style>
  <w:style w:type="character" w:customStyle="1" w:styleId="apple-converted-space">
    <w:name w:val="apple-converted-space"/>
    <w:uiPriority w:val="99"/>
    <w:rsid w:val="009C32E7"/>
    <w:rPr>
      <w:rFonts w:cs="Times New Roman"/>
    </w:rPr>
  </w:style>
  <w:style w:type="character" w:styleId="BesuchterHyperlink">
    <w:name w:val="FollowedHyperlink"/>
    <w:uiPriority w:val="99"/>
    <w:rsid w:val="009C32E7"/>
    <w:rPr>
      <w:rFonts w:cs="Times New Roman"/>
      <w:color w:val="800080"/>
      <w:u w:val="single"/>
    </w:rPr>
  </w:style>
  <w:style w:type="table" w:customStyle="1" w:styleId="Tabellenraster1">
    <w:name w:val="Tabellenraster1"/>
    <w:uiPriority w:val="99"/>
    <w:rsid w:val="009C32E7"/>
    <w:rPr>
      <w:rFonts w:ascii="Calibri" w:eastAsia="Calibri" w:hAnsi="Calibri"/>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chtaufgelsteErwhnung1">
    <w:name w:val="Nicht aufgelöste Erwähnung1"/>
    <w:uiPriority w:val="99"/>
    <w:semiHidden/>
    <w:rsid w:val="009C32E7"/>
    <w:rPr>
      <w:rFonts w:cs="Times New Roman"/>
      <w:color w:val="808080"/>
      <w:shd w:val="clear" w:color="auto" w:fill="E6E6E6"/>
    </w:rPr>
  </w:style>
  <w:style w:type="character" w:customStyle="1" w:styleId="NichtaufgelsteErwhnung2">
    <w:name w:val="Nicht aufgelöste Erwähnung2"/>
    <w:uiPriority w:val="99"/>
    <w:semiHidden/>
    <w:rsid w:val="009C32E7"/>
    <w:rPr>
      <w:rFonts w:cs="Times New Roman"/>
      <w:color w:val="808080"/>
      <w:shd w:val="clear" w:color="auto" w:fill="E6E6E6"/>
    </w:rPr>
  </w:style>
  <w:style w:type="character" w:customStyle="1" w:styleId="NichtaufgelsteErwhnung3">
    <w:name w:val="Nicht aufgelöste Erwähnung3"/>
    <w:uiPriority w:val="99"/>
    <w:semiHidden/>
    <w:rsid w:val="009C32E7"/>
    <w:rPr>
      <w:rFonts w:cs="Times New Roman"/>
      <w:color w:val="808080"/>
      <w:shd w:val="clear" w:color="auto" w:fill="E6E6E6"/>
    </w:rPr>
  </w:style>
  <w:style w:type="paragraph" w:styleId="Zitat">
    <w:name w:val="Quote"/>
    <w:basedOn w:val="Standard"/>
    <w:next w:val="Standard"/>
    <w:link w:val="ZitatZchn"/>
    <w:uiPriority w:val="29"/>
    <w:qFormat/>
    <w:rsid w:val="009C32E7"/>
    <w:pPr>
      <w:spacing w:after="200" w:line="276" w:lineRule="auto"/>
    </w:pPr>
    <w:rPr>
      <w:rFonts w:asciiTheme="minorHAnsi" w:eastAsiaTheme="minorEastAsia" w:hAnsiTheme="minorHAnsi" w:cstheme="minorBidi"/>
      <w:i/>
      <w:iCs/>
      <w:color w:val="000000" w:themeColor="text1"/>
      <w:lang w:val="en-US"/>
    </w:rPr>
  </w:style>
  <w:style w:type="character" w:customStyle="1" w:styleId="ZitatZchn">
    <w:name w:val="Zitat Zchn"/>
    <w:basedOn w:val="Absatz-Standardschriftart"/>
    <w:link w:val="Zitat"/>
    <w:uiPriority w:val="29"/>
    <w:rsid w:val="009C32E7"/>
    <w:rPr>
      <w:rFonts w:asciiTheme="minorHAnsi" w:eastAsiaTheme="minorEastAsia" w:hAnsiTheme="minorHAnsi" w:cstheme="minorBidi"/>
      <w:i/>
      <w:iCs/>
      <w:color w:val="000000" w:themeColor="tex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Bullet" w:uiPriority="99"/>
    <w:lsdException w:name="List 2" w:uiPriority="99"/>
    <w:lsdException w:name="List Bullet 2" w:uiPriority="99"/>
    <w:lsdException w:name="List Bullet 3" w:uiPriority="99"/>
    <w:lsdException w:name="Title" w:uiPriority="99" w:qFormat="1"/>
    <w:lsdException w:name="Default Paragraph Font" w:uiPriority="1"/>
    <w:lsdException w:name="Body Text" w:uiPriority="99"/>
    <w:lsdException w:name="Body Text Indent" w:uiPriority="99"/>
    <w:lsdException w:name="Subtitle" w:qFormat="1"/>
    <w:lsdException w:name="Body Text First Indent" w:uiPriority="99"/>
    <w:lsdException w:name="Body Text First Indent 2"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Standard">
    <w:name w:val="Normal"/>
    <w:qFormat/>
    <w:rsid w:val="009C32E7"/>
    <w:pPr>
      <w:spacing w:after="160" w:line="259" w:lineRule="auto"/>
    </w:pPr>
    <w:rPr>
      <w:rFonts w:ascii="Calibri" w:eastAsia="Calibri" w:hAnsi="Calibri"/>
      <w:sz w:val="22"/>
      <w:szCs w:val="22"/>
      <w:lang w:val="de-DE"/>
    </w:rPr>
  </w:style>
  <w:style w:type="paragraph" w:styleId="berschrift1">
    <w:name w:val="heading 1"/>
    <w:basedOn w:val="Standard"/>
    <w:next w:val="Standard"/>
    <w:link w:val="berschrift1Zchn"/>
    <w:uiPriority w:val="99"/>
    <w:qFormat/>
    <w:rsid w:val="009C32E7"/>
    <w:pPr>
      <w:keepNext/>
      <w:keepLines/>
      <w:numPr>
        <w:numId w:val="3"/>
      </w:numPr>
      <w:spacing w:before="240" w:after="0"/>
      <w:jc w:val="both"/>
      <w:outlineLvl w:val="0"/>
    </w:pPr>
    <w:rPr>
      <w:rFonts w:eastAsia="Times New Roman"/>
      <w:color w:val="000000"/>
      <w:sz w:val="32"/>
      <w:szCs w:val="32"/>
      <w:lang w:val="en-GB"/>
    </w:rPr>
  </w:style>
  <w:style w:type="paragraph" w:styleId="berschrift2">
    <w:name w:val="heading 2"/>
    <w:basedOn w:val="Standard"/>
    <w:next w:val="Standard"/>
    <w:link w:val="berschrift2Zchn"/>
    <w:uiPriority w:val="99"/>
    <w:qFormat/>
    <w:rsid w:val="009C32E7"/>
    <w:pPr>
      <w:keepNext/>
      <w:keepLines/>
      <w:numPr>
        <w:ilvl w:val="1"/>
        <w:numId w:val="3"/>
      </w:numPr>
      <w:spacing w:before="40"/>
      <w:jc w:val="both"/>
      <w:outlineLvl w:val="1"/>
    </w:pPr>
    <w:rPr>
      <w:rFonts w:eastAsia="Times New Roman"/>
      <w:color w:val="000000"/>
      <w:sz w:val="28"/>
      <w:szCs w:val="24"/>
      <w:lang w:val="en-GB"/>
    </w:rPr>
  </w:style>
  <w:style w:type="paragraph" w:styleId="berschrift3">
    <w:name w:val="heading 3"/>
    <w:basedOn w:val="Standard"/>
    <w:next w:val="Standard"/>
    <w:link w:val="berschrift3Zchn"/>
    <w:uiPriority w:val="99"/>
    <w:qFormat/>
    <w:rsid w:val="009C32E7"/>
    <w:pPr>
      <w:keepNext/>
      <w:keepLines/>
      <w:spacing w:before="320" w:after="120"/>
      <w:outlineLvl w:val="2"/>
    </w:pPr>
    <w:rPr>
      <w:rFonts w:ascii="MetaNormal-Roman" w:eastAsia="Times New Roman" w:hAnsi="MetaNormal-Roman"/>
      <w:b/>
      <w:bCs/>
      <w:lang w:val="en-GB"/>
    </w:rPr>
  </w:style>
  <w:style w:type="paragraph" w:styleId="berschrift4">
    <w:name w:val="heading 4"/>
    <w:basedOn w:val="Standard"/>
    <w:next w:val="Standard"/>
    <w:link w:val="berschrift4Zchn"/>
    <w:uiPriority w:val="99"/>
    <w:qFormat/>
    <w:rsid w:val="009C32E7"/>
    <w:pPr>
      <w:keepNext/>
      <w:keepLines/>
      <w:spacing w:before="200" w:after="0"/>
      <w:outlineLvl w:val="3"/>
    </w:pPr>
    <w:rPr>
      <w:rFonts w:ascii="Cambria" w:eastAsia="Times New Roman" w:hAnsi="Cambria"/>
      <w:b/>
      <w:bCs/>
      <w:i/>
      <w:iCs/>
      <w:color w:val="4F81BD"/>
    </w:rPr>
  </w:style>
  <w:style w:type="paragraph" w:styleId="berschrift5">
    <w:name w:val="heading 5"/>
    <w:basedOn w:val="Standard"/>
    <w:next w:val="Standard"/>
    <w:link w:val="berschrift5Zchn"/>
    <w:uiPriority w:val="99"/>
    <w:qFormat/>
    <w:rsid w:val="009C32E7"/>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9"/>
    <w:qFormat/>
    <w:rsid w:val="009C32E7"/>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9"/>
    <w:unhideWhenUsed/>
    <w:qFormat/>
    <w:rsid w:val="009C32E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9"/>
    <w:unhideWhenUsed/>
    <w:qFormat/>
    <w:rsid w:val="009C32E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9"/>
    <w:unhideWhenUsed/>
    <w:qFormat/>
    <w:rsid w:val="009C32E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9C32E7"/>
    <w:rPr>
      <w:rFonts w:ascii="Calibri" w:hAnsi="Calibri"/>
      <w:color w:val="000000"/>
      <w:sz w:val="32"/>
      <w:szCs w:val="32"/>
      <w:lang w:val="en-GB"/>
    </w:rPr>
  </w:style>
  <w:style w:type="character" w:customStyle="1" w:styleId="berschrift2Zchn">
    <w:name w:val="Überschrift 2 Zchn"/>
    <w:basedOn w:val="Absatz-Standardschriftart"/>
    <w:link w:val="berschrift2"/>
    <w:uiPriority w:val="99"/>
    <w:rsid w:val="009C32E7"/>
    <w:rPr>
      <w:rFonts w:ascii="Calibri" w:hAnsi="Calibri"/>
      <w:color w:val="000000"/>
      <w:sz w:val="28"/>
      <w:szCs w:val="24"/>
      <w:lang w:val="en-GB"/>
    </w:rPr>
  </w:style>
  <w:style w:type="character" w:customStyle="1" w:styleId="berschrift3Zchn">
    <w:name w:val="Überschrift 3 Zchn"/>
    <w:basedOn w:val="Absatz-Standardschriftart"/>
    <w:link w:val="berschrift3"/>
    <w:uiPriority w:val="99"/>
    <w:rsid w:val="009C32E7"/>
    <w:rPr>
      <w:rFonts w:ascii="MetaNormal-Roman" w:hAnsi="MetaNormal-Roman"/>
      <w:b/>
      <w:bCs/>
      <w:sz w:val="22"/>
      <w:szCs w:val="22"/>
      <w:lang w:val="en-GB"/>
    </w:rPr>
  </w:style>
  <w:style w:type="character" w:customStyle="1" w:styleId="berschrift4Zchn">
    <w:name w:val="Überschrift 4 Zchn"/>
    <w:basedOn w:val="Absatz-Standardschriftart"/>
    <w:link w:val="berschrift4"/>
    <w:uiPriority w:val="99"/>
    <w:rsid w:val="009C32E7"/>
    <w:rPr>
      <w:rFonts w:ascii="Cambria" w:hAnsi="Cambria"/>
      <w:b/>
      <w:bCs/>
      <w:i/>
      <w:iCs/>
      <w:color w:val="4F81BD"/>
      <w:sz w:val="22"/>
      <w:szCs w:val="22"/>
      <w:lang w:val="de-DE"/>
    </w:rPr>
  </w:style>
  <w:style w:type="character" w:customStyle="1" w:styleId="berschrift5Zchn">
    <w:name w:val="Überschrift 5 Zchn"/>
    <w:basedOn w:val="Absatz-Standardschriftart"/>
    <w:link w:val="berschrift5"/>
    <w:uiPriority w:val="99"/>
    <w:rsid w:val="009C32E7"/>
    <w:rPr>
      <w:rFonts w:ascii="Cambria" w:hAnsi="Cambria"/>
      <w:color w:val="243F60"/>
      <w:sz w:val="22"/>
      <w:szCs w:val="22"/>
      <w:lang w:val="de-DE"/>
    </w:rPr>
  </w:style>
  <w:style w:type="character" w:customStyle="1" w:styleId="berschrift6Zchn">
    <w:name w:val="Überschrift 6 Zchn"/>
    <w:basedOn w:val="Absatz-Standardschriftart"/>
    <w:link w:val="berschrift6"/>
    <w:uiPriority w:val="99"/>
    <w:rsid w:val="009C32E7"/>
    <w:rPr>
      <w:rFonts w:ascii="Cambria" w:hAnsi="Cambria"/>
      <w:i/>
      <w:iCs/>
      <w:color w:val="243F60"/>
      <w:sz w:val="22"/>
      <w:szCs w:val="22"/>
      <w:lang w:val="de-DE"/>
    </w:rPr>
  </w:style>
  <w:style w:type="character" w:customStyle="1" w:styleId="berschrift7Zchn">
    <w:name w:val="Überschrift 7 Zchn"/>
    <w:basedOn w:val="Absatz-Standardschriftart"/>
    <w:link w:val="berschrift7"/>
    <w:uiPriority w:val="99"/>
    <w:rsid w:val="009C32E7"/>
    <w:rPr>
      <w:rFonts w:asciiTheme="majorHAnsi" w:eastAsiaTheme="majorEastAsia" w:hAnsiTheme="majorHAnsi" w:cstheme="majorBidi"/>
      <w:i/>
      <w:iCs/>
      <w:color w:val="404040" w:themeColor="text1" w:themeTint="BF"/>
      <w:sz w:val="22"/>
      <w:szCs w:val="22"/>
      <w:lang w:val="de-DE"/>
    </w:rPr>
  </w:style>
  <w:style w:type="character" w:customStyle="1" w:styleId="berschrift8Zchn">
    <w:name w:val="Überschrift 8 Zchn"/>
    <w:basedOn w:val="Absatz-Standardschriftart"/>
    <w:link w:val="berschrift8"/>
    <w:uiPriority w:val="99"/>
    <w:rsid w:val="009C32E7"/>
    <w:rPr>
      <w:rFonts w:asciiTheme="majorHAnsi" w:eastAsiaTheme="majorEastAsia" w:hAnsiTheme="majorHAnsi" w:cstheme="majorBidi"/>
      <w:color w:val="404040" w:themeColor="text1" w:themeTint="BF"/>
      <w:lang w:val="de-DE"/>
    </w:rPr>
  </w:style>
  <w:style w:type="character" w:customStyle="1" w:styleId="berschrift9Zchn">
    <w:name w:val="Überschrift 9 Zchn"/>
    <w:basedOn w:val="Absatz-Standardschriftart"/>
    <w:link w:val="berschrift9"/>
    <w:uiPriority w:val="99"/>
    <w:rsid w:val="009C32E7"/>
    <w:rPr>
      <w:rFonts w:asciiTheme="majorHAnsi" w:eastAsiaTheme="majorEastAsia" w:hAnsiTheme="majorHAnsi" w:cstheme="majorBidi"/>
      <w:i/>
      <w:iCs/>
      <w:color w:val="404040" w:themeColor="text1" w:themeTint="BF"/>
      <w:lang w:val="de-DE"/>
    </w:rPr>
  </w:style>
  <w:style w:type="paragraph" w:styleId="Listenabsatz">
    <w:name w:val="List Paragraph"/>
    <w:basedOn w:val="Standard"/>
    <w:uiPriority w:val="99"/>
    <w:qFormat/>
    <w:rsid w:val="009C32E7"/>
    <w:pPr>
      <w:ind w:left="720"/>
      <w:contextualSpacing/>
    </w:pPr>
  </w:style>
  <w:style w:type="paragraph" w:styleId="Sprechblasentext">
    <w:name w:val="Balloon Text"/>
    <w:basedOn w:val="Standard"/>
    <w:link w:val="SprechblasentextZchn"/>
    <w:uiPriority w:val="99"/>
    <w:rsid w:val="009C32E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9C32E7"/>
    <w:rPr>
      <w:rFonts w:ascii="Tahoma" w:eastAsia="Calibri" w:hAnsi="Tahoma" w:cs="Tahoma"/>
      <w:sz w:val="16"/>
      <w:szCs w:val="16"/>
      <w:lang w:val="de-DE"/>
    </w:rPr>
  </w:style>
  <w:style w:type="paragraph" w:styleId="Kopfzeile">
    <w:name w:val="header"/>
    <w:basedOn w:val="Standard"/>
    <w:link w:val="KopfzeileZchn"/>
    <w:uiPriority w:val="99"/>
    <w:rsid w:val="009C32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32E7"/>
    <w:rPr>
      <w:rFonts w:ascii="Calibri" w:eastAsia="Calibri" w:hAnsi="Calibri"/>
      <w:sz w:val="22"/>
      <w:szCs w:val="22"/>
      <w:lang w:val="de-DE"/>
    </w:rPr>
  </w:style>
  <w:style w:type="paragraph" w:styleId="Fuzeile">
    <w:name w:val="footer"/>
    <w:basedOn w:val="Standard"/>
    <w:link w:val="FuzeileZchn"/>
    <w:uiPriority w:val="99"/>
    <w:rsid w:val="009C32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32E7"/>
    <w:rPr>
      <w:rFonts w:ascii="Calibri" w:eastAsia="Calibri" w:hAnsi="Calibri"/>
      <w:sz w:val="22"/>
      <w:szCs w:val="22"/>
      <w:lang w:val="de-DE"/>
    </w:rPr>
  </w:style>
  <w:style w:type="character" w:styleId="Kommentarzeichen">
    <w:name w:val="annotation reference"/>
    <w:basedOn w:val="Absatz-Standardschriftart"/>
    <w:rsid w:val="009C32E7"/>
    <w:rPr>
      <w:rFonts w:cs="Times New Roman"/>
      <w:sz w:val="16"/>
      <w:szCs w:val="16"/>
    </w:rPr>
  </w:style>
  <w:style w:type="paragraph" w:styleId="Kommentartext">
    <w:name w:val="annotation text"/>
    <w:basedOn w:val="Standard"/>
    <w:link w:val="KommentartextZchn"/>
    <w:uiPriority w:val="99"/>
    <w:rsid w:val="009C32E7"/>
    <w:pPr>
      <w:spacing w:line="240" w:lineRule="auto"/>
    </w:pPr>
    <w:rPr>
      <w:sz w:val="20"/>
      <w:szCs w:val="20"/>
    </w:rPr>
  </w:style>
  <w:style w:type="character" w:customStyle="1" w:styleId="KommentartextZchn">
    <w:name w:val="Kommentartext Zchn"/>
    <w:basedOn w:val="Absatz-Standardschriftart"/>
    <w:link w:val="Kommentartext"/>
    <w:uiPriority w:val="99"/>
    <w:rsid w:val="009C32E7"/>
    <w:rPr>
      <w:rFonts w:ascii="Calibri" w:eastAsia="Calibri" w:hAnsi="Calibri"/>
      <w:lang w:val="de-DE"/>
    </w:rPr>
  </w:style>
  <w:style w:type="paragraph" w:styleId="Kommentarthema">
    <w:name w:val="annotation subject"/>
    <w:basedOn w:val="Kommentartext"/>
    <w:next w:val="Kommentartext"/>
    <w:link w:val="KommentarthemaZchn"/>
    <w:uiPriority w:val="99"/>
    <w:rsid w:val="009C32E7"/>
    <w:rPr>
      <w:b/>
      <w:bCs/>
    </w:rPr>
  </w:style>
  <w:style w:type="character" w:customStyle="1" w:styleId="KommentarthemaZchn">
    <w:name w:val="Kommentarthema Zchn"/>
    <w:basedOn w:val="KommentartextZchn"/>
    <w:link w:val="Kommentarthema"/>
    <w:uiPriority w:val="99"/>
    <w:rsid w:val="009C32E7"/>
    <w:rPr>
      <w:rFonts w:ascii="Calibri" w:eastAsia="Calibri" w:hAnsi="Calibri"/>
      <w:b/>
      <w:bCs/>
      <w:lang w:val="de-DE"/>
    </w:rPr>
  </w:style>
  <w:style w:type="character" w:styleId="Seitenzahl">
    <w:name w:val="page number"/>
    <w:basedOn w:val="Absatz-Standardschriftart"/>
    <w:uiPriority w:val="99"/>
    <w:rsid w:val="009C32E7"/>
    <w:rPr>
      <w:rFonts w:cs="Times New Roman"/>
    </w:rPr>
  </w:style>
  <w:style w:type="character" w:styleId="Hyperlink">
    <w:name w:val="Hyperlink"/>
    <w:basedOn w:val="Absatz-Standardschriftart"/>
    <w:uiPriority w:val="99"/>
    <w:rsid w:val="009C32E7"/>
    <w:rPr>
      <w:rFonts w:cs="Times New Roman"/>
      <w:color w:val="0000FF"/>
      <w:u w:val="single"/>
    </w:rPr>
  </w:style>
  <w:style w:type="character" w:styleId="Platzhaltertext">
    <w:name w:val="Placeholder Text"/>
    <w:basedOn w:val="Absatz-Standardschriftart"/>
    <w:uiPriority w:val="99"/>
    <w:semiHidden/>
    <w:rsid w:val="009C32E7"/>
    <w:rPr>
      <w:rFonts w:cs="Times New Roman"/>
      <w:color w:val="808080"/>
    </w:rPr>
  </w:style>
  <w:style w:type="table" w:styleId="Tabellenraster">
    <w:name w:val="Table Grid"/>
    <w:basedOn w:val="NormaleTabelle"/>
    <w:uiPriority w:val="99"/>
    <w:rsid w:val="009C32E7"/>
    <w:rPr>
      <w:rFonts w:ascii="Calibri" w:eastAsia="Calibri" w:hAnsi="Calibri"/>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
    <w:name w:val="List"/>
    <w:basedOn w:val="Standard"/>
    <w:uiPriority w:val="99"/>
    <w:rsid w:val="009C32E7"/>
    <w:pPr>
      <w:ind w:left="283" w:hanging="283"/>
      <w:contextualSpacing/>
    </w:pPr>
  </w:style>
  <w:style w:type="paragraph" w:styleId="Liste2">
    <w:name w:val="List 2"/>
    <w:basedOn w:val="Standard"/>
    <w:uiPriority w:val="99"/>
    <w:rsid w:val="009C32E7"/>
    <w:pPr>
      <w:ind w:left="566" w:hanging="283"/>
      <w:contextualSpacing/>
    </w:pPr>
  </w:style>
  <w:style w:type="paragraph" w:styleId="Aufzhlungszeichen2">
    <w:name w:val="List Bullet 2"/>
    <w:basedOn w:val="Standard"/>
    <w:uiPriority w:val="99"/>
    <w:rsid w:val="009C32E7"/>
    <w:pPr>
      <w:numPr>
        <w:numId w:val="1"/>
      </w:numPr>
      <w:tabs>
        <w:tab w:val="num" w:pos="643"/>
      </w:tabs>
      <w:ind w:left="643"/>
      <w:contextualSpacing/>
    </w:pPr>
  </w:style>
  <w:style w:type="paragraph" w:styleId="Aufzhlungszeichen3">
    <w:name w:val="List Bullet 3"/>
    <w:basedOn w:val="Standard"/>
    <w:uiPriority w:val="99"/>
    <w:rsid w:val="009C32E7"/>
    <w:pPr>
      <w:numPr>
        <w:numId w:val="2"/>
      </w:numPr>
      <w:tabs>
        <w:tab w:val="num" w:pos="926"/>
      </w:tabs>
      <w:ind w:left="926"/>
      <w:contextualSpacing/>
    </w:pPr>
  </w:style>
  <w:style w:type="paragraph" w:styleId="Beschriftung">
    <w:name w:val="caption"/>
    <w:basedOn w:val="Standard"/>
    <w:next w:val="Standard"/>
    <w:uiPriority w:val="99"/>
    <w:qFormat/>
    <w:rsid w:val="009C32E7"/>
    <w:pPr>
      <w:spacing w:after="200" w:line="240" w:lineRule="auto"/>
    </w:pPr>
    <w:rPr>
      <w:b/>
      <w:bCs/>
      <w:color w:val="4F81BD"/>
      <w:sz w:val="18"/>
      <w:szCs w:val="18"/>
    </w:rPr>
  </w:style>
  <w:style w:type="paragraph" w:styleId="Textkrper">
    <w:name w:val="Body Text"/>
    <w:basedOn w:val="Standard"/>
    <w:link w:val="TextkrperZchn"/>
    <w:uiPriority w:val="99"/>
    <w:rsid w:val="009C32E7"/>
    <w:pPr>
      <w:spacing w:after="120"/>
    </w:pPr>
  </w:style>
  <w:style w:type="character" w:customStyle="1" w:styleId="TextkrperZchn">
    <w:name w:val="Textkörper Zchn"/>
    <w:basedOn w:val="Absatz-Standardschriftart"/>
    <w:link w:val="Textkrper"/>
    <w:uiPriority w:val="99"/>
    <w:rsid w:val="009C32E7"/>
    <w:rPr>
      <w:rFonts w:ascii="Calibri" w:eastAsia="Calibri" w:hAnsi="Calibri"/>
      <w:sz w:val="22"/>
      <w:szCs w:val="22"/>
      <w:lang w:val="de-DE"/>
    </w:rPr>
  </w:style>
  <w:style w:type="paragraph" w:styleId="Textkrper-Zeileneinzug">
    <w:name w:val="Body Text Indent"/>
    <w:basedOn w:val="Standard"/>
    <w:link w:val="Textkrper-ZeileneinzugZchn"/>
    <w:uiPriority w:val="99"/>
    <w:rsid w:val="009C32E7"/>
    <w:pPr>
      <w:spacing w:after="120"/>
      <w:ind w:left="283"/>
    </w:pPr>
  </w:style>
  <w:style w:type="character" w:customStyle="1" w:styleId="Textkrper-ZeileneinzugZchn">
    <w:name w:val="Textkörper-Zeileneinzug Zchn"/>
    <w:basedOn w:val="Absatz-Standardschriftart"/>
    <w:link w:val="Textkrper-Zeileneinzug"/>
    <w:uiPriority w:val="99"/>
    <w:rsid w:val="009C32E7"/>
    <w:rPr>
      <w:rFonts w:ascii="Calibri" w:eastAsia="Calibri" w:hAnsi="Calibri"/>
      <w:sz w:val="22"/>
      <w:szCs w:val="22"/>
      <w:lang w:val="de-DE"/>
    </w:rPr>
  </w:style>
  <w:style w:type="paragraph" w:styleId="Textkrper-Erstzeileneinzug2">
    <w:name w:val="Body Text First Indent 2"/>
    <w:basedOn w:val="Textkrper-Zeileneinzug"/>
    <w:link w:val="Textkrper-Erstzeileneinzug2Zchn"/>
    <w:uiPriority w:val="99"/>
    <w:rsid w:val="009C32E7"/>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rsid w:val="009C32E7"/>
    <w:rPr>
      <w:rFonts w:ascii="Calibri" w:eastAsia="Calibri" w:hAnsi="Calibri"/>
      <w:sz w:val="22"/>
      <w:szCs w:val="22"/>
      <w:lang w:val="de-DE"/>
    </w:rPr>
  </w:style>
  <w:style w:type="paragraph" w:styleId="KeinLeerraum">
    <w:name w:val="No Spacing"/>
    <w:uiPriority w:val="99"/>
    <w:qFormat/>
    <w:rsid w:val="009C32E7"/>
    <w:rPr>
      <w:rFonts w:ascii="Calibri" w:eastAsia="Calibri" w:hAnsi="Calibri"/>
      <w:sz w:val="22"/>
      <w:szCs w:val="22"/>
      <w:lang w:val="de-DE"/>
    </w:rPr>
  </w:style>
  <w:style w:type="character" w:styleId="SchwacheHervorhebung">
    <w:name w:val="Subtle Emphasis"/>
    <w:basedOn w:val="Absatz-Standardschriftart"/>
    <w:uiPriority w:val="99"/>
    <w:qFormat/>
    <w:rsid w:val="009C32E7"/>
    <w:rPr>
      <w:rFonts w:cs="Times New Roman"/>
      <w:i/>
      <w:iCs/>
      <w:color w:val="808080"/>
    </w:rPr>
  </w:style>
  <w:style w:type="paragraph" w:customStyle="1" w:styleId="EndNoteBibliographyTitle">
    <w:name w:val="EndNote Bibliography Title"/>
    <w:basedOn w:val="Standard"/>
    <w:link w:val="EndNoteBibliographyTitleZchn"/>
    <w:uiPriority w:val="99"/>
    <w:rsid w:val="009C32E7"/>
    <w:pPr>
      <w:spacing w:after="0"/>
      <w:jc w:val="center"/>
    </w:pPr>
    <w:rPr>
      <w:noProof/>
      <w:lang w:val="en-US"/>
    </w:rPr>
  </w:style>
  <w:style w:type="character" w:customStyle="1" w:styleId="EndNoteBibliographyTitleZchn">
    <w:name w:val="EndNote Bibliography Title Zchn"/>
    <w:basedOn w:val="Absatz-Standardschriftart"/>
    <w:link w:val="EndNoteBibliographyTitle"/>
    <w:uiPriority w:val="99"/>
    <w:locked/>
    <w:rsid w:val="009C32E7"/>
    <w:rPr>
      <w:rFonts w:ascii="Calibri" w:eastAsia="Calibri" w:hAnsi="Calibri"/>
      <w:noProof/>
      <w:sz w:val="22"/>
      <w:szCs w:val="22"/>
    </w:rPr>
  </w:style>
  <w:style w:type="paragraph" w:customStyle="1" w:styleId="EndNoteBibliography">
    <w:name w:val="EndNote Bibliography"/>
    <w:basedOn w:val="Standard"/>
    <w:link w:val="EndNoteBibliographyZchn"/>
    <w:uiPriority w:val="99"/>
    <w:rsid w:val="009C32E7"/>
    <w:pPr>
      <w:spacing w:line="240" w:lineRule="auto"/>
    </w:pPr>
    <w:rPr>
      <w:noProof/>
      <w:lang w:val="en-US"/>
    </w:rPr>
  </w:style>
  <w:style w:type="character" w:customStyle="1" w:styleId="EndNoteBibliographyZchn">
    <w:name w:val="EndNote Bibliography Zchn"/>
    <w:basedOn w:val="Absatz-Standardschriftart"/>
    <w:link w:val="EndNoteBibliography"/>
    <w:uiPriority w:val="99"/>
    <w:locked/>
    <w:rsid w:val="009C32E7"/>
    <w:rPr>
      <w:rFonts w:ascii="Calibri" w:eastAsia="Calibri" w:hAnsi="Calibri"/>
      <w:noProof/>
      <w:sz w:val="22"/>
      <w:szCs w:val="22"/>
    </w:rPr>
  </w:style>
  <w:style w:type="paragraph" w:styleId="berarbeitung">
    <w:name w:val="Revision"/>
    <w:hidden/>
    <w:uiPriority w:val="99"/>
    <w:semiHidden/>
    <w:rsid w:val="009C32E7"/>
    <w:rPr>
      <w:rFonts w:ascii="Calibri" w:eastAsia="Calibri" w:hAnsi="Calibri"/>
      <w:sz w:val="22"/>
      <w:szCs w:val="22"/>
      <w:lang w:val="de-DE"/>
    </w:rPr>
  </w:style>
  <w:style w:type="paragraph" w:styleId="StandardWeb">
    <w:name w:val="Normal (Web)"/>
    <w:basedOn w:val="Standard"/>
    <w:uiPriority w:val="99"/>
    <w:rsid w:val="009C32E7"/>
    <w:pPr>
      <w:spacing w:after="0" w:line="240" w:lineRule="auto"/>
    </w:pPr>
    <w:rPr>
      <w:rFonts w:ascii="Times New Roman" w:eastAsia="Times New Roman" w:hAnsi="Times New Roman"/>
      <w:sz w:val="24"/>
      <w:szCs w:val="24"/>
      <w:lang w:eastAsia="de-DE"/>
    </w:rPr>
  </w:style>
  <w:style w:type="character" w:customStyle="1" w:styleId="labelblue">
    <w:name w:val="labelblue"/>
    <w:uiPriority w:val="99"/>
    <w:rsid w:val="009C32E7"/>
  </w:style>
  <w:style w:type="paragraph" w:styleId="Inhaltsverzeichnisberschrift">
    <w:name w:val="TOC Heading"/>
    <w:basedOn w:val="berschrift1"/>
    <w:next w:val="Standard"/>
    <w:uiPriority w:val="99"/>
    <w:qFormat/>
    <w:rsid w:val="009C32E7"/>
    <w:pPr>
      <w:spacing w:before="480" w:line="276" w:lineRule="auto"/>
      <w:outlineLvl w:val="9"/>
    </w:pPr>
    <w:rPr>
      <w:rFonts w:ascii="Cambria" w:hAnsi="Cambria"/>
      <w:b/>
      <w:bCs/>
      <w:color w:val="365F91"/>
      <w:sz w:val="28"/>
      <w:szCs w:val="28"/>
      <w:lang w:val="de-DE" w:eastAsia="de-DE"/>
    </w:rPr>
  </w:style>
  <w:style w:type="paragraph" w:styleId="Index1">
    <w:name w:val="index 1"/>
    <w:basedOn w:val="Standard"/>
    <w:next w:val="Standard"/>
    <w:autoRedefine/>
    <w:uiPriority w:val="99"/>
    <w:rsid w:val="009C32E7"/>
    <w:pPr>
      <w:spacing w:after="0" w:line="240" w:lineRule="auto"/>
      <w:ind w:left="220" w:hanging="220"/>
    </w:pPr>
  </w:style>
  <w:style w:type="paragraph" w:styleId="Verzeichnis1">
    <w:name w:val="toc 1"/>
    <w:basedOn w:val="Standard"/>
    <w:next w:val="Standard"/>
    <w:autoRedefine/>
    <w:uiPriority w:val="39"/>
    <w:rsid w:val="009C32E7"/>
    <w:pPr>
      <w:spacing w:after="100"/>
    </w:pPr>
  </w:style>
  <w:style w:type="paragraph" w:styleId="Verzeichnis2">
    <w:name w:val="toc 2"/>
    <w:basedOn w:val="Standard"/>
    <w:next w:val="Standard"/>
    <w:autoRedefine/>
    <w:uiPriority w:val="39"/>
    <w:rsid w:val="009C32E7"/>
    <w:pPr>
      <w:spacing w:after="100"/>
      <w:ind w:left="220"/>
    </w:pPr>
  </w:style>
  <w:style w:type="paragraph" w:styleId="Verzeichnis3">
    <w:name w:val="toc 3"/>
    <w:basedOn w:val="Standard"/>
    <w:next w:val="Standard"/>
    <w:autoRedefine/>
    <w:uiPriority w:val="39"/>
    <w:rsid w:val="009C32E7"/>
    <w:pPr>
      <w:spacing w:after="100"/>
      <w:ind w:left="440"/>
    </w:pPr>
  </w:style>
  <w:style w:type="paragraph" w:styleId="Verzeichnis4">
    <w:name w:val="toc 4"/>
    <w:basedOn w:val="Standard"/>
    <w:next w:val="Standard"/>
    <w:autoRedefine/>
    <w:uiPriority w:val="39"/>
    <w:unhideWhenUsed/>
    <w:rsid w:val="009C32E7"/>
    <w:pPr>
      <w:spacing w:after="100" w:line="276" w:lineRule="auto"/>
      <w:ind w:left="660"/>
    </w:pPr>
    <w:rPr>
      <w:rFonts w:asciiTheme="minorHAnsi" w:eastAsiaTheme="minorEastAsia" w:hAnsiTheme="minorHAnsi" w:cstheme="minorBidi"/>
      <w:lang w:eastAsia="de-DE"/>
    </w:rPr>
  </w:style>
  <w:style w:type="paragraph" w:styleId="Verzeichnis5">
    <w:name w:val="toc 5"/>
    <w:basedOn w:val="Standard"/>
    <w:next w:val="Standard"/>
    <w:autoRedefine/>
    <w:uiPriority w:val="39"/>
    <w:unhideWhenUsed/>
    <w:rsid w:val="009C32E7"/>
    <w:pPr>
      <w:spacing w:after="100" w:line="276" w:lineRule="auto"/>
      <w:ind w:left="880"/>
    </w:pPr>
    <w:rPr>
      <w:rFonts w:asciiTheme="minorHAnsi" w:eastAsiaTheme="minorEastAsia" w:hAnsiTheme="minorHAnsi" w:cstheme="minorBidi"/>
      <w:lang w:eastAsia="de-DE"/>
    </w:rPr>
  </w:style>
  <w:style w:type="paragraph" w:styleId="Verzeichnis6">
    <w:name w:val="toc 6"/>
    <w:basedOn w:val="Standard"/>
    <w:next w:val="Standard"/>
    <w:autoRedefine/>
    <w:uiPriority w:val="39"/>
    <w:unhideWhenUsed/>
    <w:rsid w:val="009C32E7"/>
    <w:pPr>
      <w:spacing w:after="100" w:line="276" w:lineRule="auto"/>
      <w:ind w:left="1100"/>
    </w:pPr>
    <w:rPr>
      <w:rFonts w:asciiTheme="minorHAnsi" w:eastAsiaTheme="minorEastAsia" w:hAnsiTheme="minorHAnsi" w:cstheme="minorBidi"/>
      <w:lang w:eastAsia="de-DE"/>
    </w:rPr>
  </w:style>
  <w:style w:type="paragraph" w:styleId="Verzeichnis7">
    <w:name w:val="toc 7"/>
    <w:basedOn w:val="Standard"/>
    <w:next w:val="Standard"/>
    <w:autoRedefine/>
    <w:uiPriority w:val="39"/>
    <w:unhideWhenUsed/>
    <w:rsid w:val="009C32E7"/>
    <w:pPr>
      <w:spacing w:after="100" w:line="276" w:lineRule="auto"/>
      <w:ind w:left="1320"/>
    </w:pPr>
    <w:rPr>
      <w:rFonts w:asciiTheme="minorHAnsi" w:eastAsiaTheme="minorEastAsia" w:hAnsiTheme="minorHAnsi" w:cstheme="minorBidi"/>
      <w:lang w:eastAsia="de-DE"/>
    </w:rPr>
  </w:style>
  <w:style w:type="paragraph" w:styleId="Verzeichnis8">
    <w:name w:val="toc 8"/>
    <w:basedOn w:val="Standard"/>
    <w:next w:val="Standard"/>
    <w:autoRedefine/>
    <w:uiPriority w:val="39"/>
    <w:unhideWhenUsed/>
    <w:rsid w:val="009C32E7"/>
    <w:pPr>
      <w:spacing w:after="100" w:line="276" w:lineRule="auto"/>
      <w:ind w:left="1540"/>
    </w:pPr>
    <w:rPr>
      <w:rFonts w:asciiTheme="minorHAnsi" w:eastAsiaTheme="minorEastAsia" w:hAnsiTheme="minorHAnsi" w:cstheme="minorBidi"/>
      <w:lang w:eastAsia="de-DE"/>
    </w:rPr>
  </w:style>
  <w:style w:type="paragraph" w:styleId="Verzeichnis9">
    <w:name w:val="toc 9"/>
    <w:basedOn w:val="Standard"/>
    <w:next w:val="Standard"/>
    <w:autoRedefine/>
    <w:uiPriority w:val="39"/>
    <w:unhideWhenUsed/>
    <w:rsid w:val="009C32E7"/>
    <w:pPr>
      <w:spacing w:after="100" w:line="276" w:lineRule="auto"/>
      <w:ind w:left="1760"/>
    </w:pPr>
    <w:rPr>
      <w:rFonts w:asciiTheme="minorHAnsi" w:eastAsiaTheme="minorEastAsia" w:hAnsiTheme="minorHAnsi" w:cstheme="minorBidi"/>
      <w:lang w:eastAsia="de-DE"/>
    </w:rPr>
  </w:style>
  <w:style w:type="paragraph" w:customStyle="1" w:styleId="standard1">
    <w:name w:val="standard1"/>
    <w:basedOn w:val="Standard"/>
    <w:link w:val="standard1Zchn"/>
    <w:uiPriority w:val="99"/>
    <w:rsid w:val="009C32E7"/>
    <w:pPr>
      <w:spacing w:after="0" w:line="300" w:lineRule="atLeast"/>
      <w:jc w:val="both"/>
    </w:pPr>
    <w:rPr>
      <w:rFonts w:ascii="Arial" w:eastAsia="MS Mincho" w:hAnsi="Arial"/>
      <w:szCs w:val="20"/>
      <w:lang w:val="en-GB" w:eastAsia="ja-JP"/>
    </w:rPr>
  </w:style>
  <w:style w:type="character" w:customStyle="1" w:styleId="standard1Zchn">
    <w:name w:val="standard1 Zchn"/>
    <w:link w:val="standard1"/>
    <w:uiPriority w:val="99"/>
    <w:locked/>
    <w:rsid w:val="009C32E7"/>
    <w:rPr>
      <w:rFonts w:ascii="Arial" w:eastAsia="MS Mincho" w:hAnsi="Arial"/>
      <w:sz w:val="22"/>
      <w:lang w:val="en-GB" w:eastAsia="ja-JP"/>
    </w:rPr>
  </w:style>
  <w:style w:type="paragraph" w:customStyle="1" w:styleId="Default">
    <w:name w:val="Default"/>
    <w:uiPriority w:val="99"/>
    <w:rsid w:val="009C32E7"/>
    <w:pPr>
      <w:autoSpaceDE w:val="0"/>
      <w:autoSpaceDN w:val="0"/>
      <w:adjustRightInd w:val="0"/>
    </w:pPr>
    <w:rPr>
      <w:rFonts w:eastAsia="Calibri"/>
      <w:color w:val="000000"/>
      <w:sz w:val="24"/>
      <w:szCs w:val="24"/>
      <w:lang w:val="de-DE" w:eastAsia="de-DE"/>
    </w:rPr>
  </w:style>
  <w:style w:type="paragraph" w:customStyle="1" w:styleId="CM25">
    <w:name w:val="CM25"/>
    <w:basedOn w:val="Default"/>
    <w:next w:val="Default"/>
    <w:uiPriority w:val="99"/>
    <w:rsid w:val="009C32E7"/>
    <w:rPr>
      <w:color w:val="auto"/>
    </w:rPr>
  </w:style>
  <w:style w:type="paragraph" w:styleId="Aufzhlungszeichen">
    <w:name w:val="List Bullet"/>
    <w:basedOn w:val="Standard"/>
    <w:uiPriority w:val="99"/>
    <w:unhideWhenUsed/>
    <w:rsid w:val="009C32E7"/>
    <w:pPr>
      <w:numPr>
        <w:numId w:val="10"/>
      </w:numPr>
      <w:contextualSpacing/>
    </w:pPr>
  </w:style>
  <w:style w:type="paragraph" w:customStyle="1" w:styleId="Cc-Liste">
    <w:name w:val="Cc-Liste"/>
    <w:basedOn w:val="Standard"/>
    <w:uiPriority w:val="99"/>
    <w:rsid w:val="009C32E7"/>
  </w:style>
  <w:style w:type="paragraph" w:styleId="Textkrper-Erstzeileneinzug">
    <w:name w:val="Body Text First Indent"/>
    <w:basedOn w:val="Textkrper"/>
    <w:link w:val="Textkrper-ErstzeileneinzugZchn"/>
    <w:uiPriority w:val="99"/>
    <w:unhideWhenUsed/>
    <w:rsid w:val="009C32E7"/>
    <w:pPr>
      <w:spacing w:after="160"/>
      <w:ind w:firstLine="360"/>
    </w:pPr>
  </w:style>
  <w:style w:type="character" w:customStyle="1" w:styleId="Textkrper-ErstzeileneinzugZchn">
    <w:name w:val="Textkörper-Erstzeileneinzug Zchn"/>
    <w:basedOn w:val="TextkrperZchn"/>
    <w:link w:val="Textkrper-Erstzeileneinzug"/>
    <w:uiPriority w:val="99"/>
    <w:rsid w:val="009C32E7"/>
    <w:rPr>
      <w:rFonts w:ascii="Calibri" w:eastAsia="Calibri" w:hAnsi="Calibri"/>
      <w:sz w:val="22"/>
      <w:szCs w:val="22"/>
      <w:lang w:val="de-DE"/>
    </w:rPr>
  </w:style>
  <w:style w:type="paragraph" w:customStyle="1" w:styleId="111Formatvorlage">
    <w:name w:val="1.1.1. Formatvorlage"/>
    <w:basedOn w:val="berschrift2"/>
    <w:link w:val="111FormatvorlageZchn"/>
    <w:qFormat/>
    <w:rsid w:val="009C32E7"/>
    <w:pPr>
      <w:numPr>
        <w:ilvl w:val="0"/>
        <w:numId w:val="0"/>
      </w:numPr>
      <w:spacing w:before="240"/>
      <w:ind w:left="1355" w:hanging="504"/>
      <w:outlineLvl w:val="2"/>
    </w:pPr>
  </w:style>
  <w:style w:type="character" w:customStyle="1" w:styleId="111FormatvorlageZchn">
    <w:name w:val="1.1.1. Formatvorlage Zchn"/>
    <w:basedOn w:val="berschrift2Zchn"/>
    <w:link w:val="111Formatvorlage"/>
    <w:rsid w:val="009C32E7"/>
    <w:rPr>
      <w:rFonts w:ascii="Calibri" w:hAnsi="Calibri"/>
      <w:color w:val="000000"/>
      <w:sz w:val="28"/>
      <w:szCs w:val="24"/>
      <w:lang w:val="en-GB"/>
    </w:rPr>
  </w:style>
  <w:style w:type="paragraph" w:styleId="Funotentext">
    <w:name w:val="footnote text"/>
    <w:basedOn w:val="Standard"/>
    <w:link w:val="FunotentextZchn"/>
    <w:uiPriority w:val="99"/>
    <w:unhideWhenUsed/>
    <w:rsid w:val="009C32E7"/>
    <w:pPr>
      <w:spacing w:after="0" w:line="240" w:lineRule="auto"/>
    </w:pPr>
    <w:rPr>
      <w:sz w:val="20"/>
      <w:szCs w:val="20"/>
    </w:rPr>
  </w:style>
  <w:style w:type="character" w:customStyle="1" w:styleId="FunotentextZchn">
    <w:name w:val="Fußnotentext Zchn"/>
    <w:basedOn w:val="Absatz-Standardschriftart"/>
    <w:link w:val="Funotentext"/>
    <w:uiPriority w:val="99"/>
    <w:rsid w:val="009C32E7"/>
    <w:rPr>
      <w:rFonts w:ascii="Calibri" w:eastAsia="Calibri" w:hAnsi="Calibri"/>
      <w:lang w:val="de-DE"/>
    </w:rPr>
  </w:style>
  <w:style w:type="character" w:styleId="Funotenzeichen">
    <w:name w:val="footnote reference"/>
    <w:basedOn w:val="Absatz-Standardschriftart"/>
    <w:uiPriority w:val="99"/>
    <w:unhideWhenUsed/>
    <w:rsid w:val="009C32E7"/>
    <w:rPr>
      <w:vertAlign w:val="superscript"/>
    </w:rPr>
  </w:style>
  <w:style w:type="paragraph" w:styleId="Titel">
    <w:name w:val="Title"/>
    <w:basedOn w:val="Standard"/>
    <w:next w:val="Standard"/>
    <w:link w:val="TitelZchn"/>
    <w:uiPriority w:val="99"/>
    <w:qFormat/>
    <w:rsid w:val="009C32E7"/>
    <w:pPr>
      <w:spacing w:before="240" w:after="60" w:line="500" w:lineRule="exact"/>
      <w:jc w:val="center"/>
    </w:pPr>
    <w:rPr>
      <w:kern w:val="28"/>
      <w:sz w:val="34"/>
      <w:szCs w:val="20"/>
      <w:lang w:val="en-US"/>
    </w:rPr>
  </w:style>
  <w:style w:type="character" w:customStyle="1" w:styleId="TitelZchn">
    <w:name w:val="Titel Zchn"/>
    <w:basedOn w:val="Absatz-Standardschriftart"/>
    <w:link w:val="Titel"/>
    <w:uiPriority w:val="99"/>
    <w:rsid w:val="009C32E7"/>
    <w:rPr>
      <w:rFonts w:ascii="Calibri" w:eastAsia="Calibri" w:hAnsi="Calibri"/>
      <w:kern w:val="28"/>
      <w:sz w:val="34"/>
    </w:rPr>
  </w:style>
  <w:style w:type="paragraph" w:customStyle="1" w:styleId="p1">
    <w:name w:val="p1"/>
    <w:basedOn w:val="Standard"/>
    <w:uiPriority w:val="99"/>
    <w:rsid w:val="009C32E7"/>
    <w:pPr>
      <w:spacing w:after="0" w:line="240" w:lineRule="auto"/>
      <w:jc w:val="both"/>
    </w:pPr>
    <w:rPr>
      <w:rFonts w:ascii="Trebuchet MS" w:hAnsi="Trebuchet MS"/>
      <w:color w:val="AE1916"/>
      <w:sz w:val="17"/>
      <w:szCs w:val="17"/>
      <w:lang w:eastAsia="zh-CN"/>
    </w:rPr>
  </w:style>
  <w:style w:type="paragraph" w:customStyle="1" w:styleId="p2">
    <w:name w:val="p2"/>
    <w:basedOn w:val="Standard"/>
    <w:uiPriority w:val="99"/>
    <w:rsid w:val="009C32E7"/>
    <w:pPr>
      <w:spacing w:after="0" w:line="240" w:lineRule="auto"/>
      <w:jc w:val="both"/>
    </w:pPr>
    <w:rPr>
      <w:rFonts w:ascii="Trebuchet MS" w:hAnsi="Trebuchet MS"/>
      <w:color w:val="AE1916"/>
      <w:sz w:val="17"/>
      <w:szCs w:val="17"/>
      <w:lang w:eastAsia="zh-CN"/>
    </w:rPr>
  </w:style>
  <w:style w:type="character" w:customStyle="1" w:styleId="s1">
    <w:name w:val="s1"/>
    <w:uiPriority w:val="99"/>
    <w:rsid w:val="009C32E7"/>
    <w:rPr>
      <w:rFonts w:cs="Times New Roman"/>
    </w:rPr>
  </w:style>
  <w:style w:type="character" w:customStyle="1" w:styleId="apple-converted-space">
    <w:name w:val="apple-converted-space"/>
    <w:uiPriority w:val="99"/>
    <w:rsid w:val="009C32E7"/>
    <w:rPr>
      <w:rFonts w:cs="Times New Roman"/>
    </w:rPr>
  </w:style>
  <w:style w:type="character" w:styleId="BesuchterHyperlink">
    <w:name w:val="FollowedHyperlink"/>
    <w:uiPriority w:val="99"/>
    <w:rsid w:val="009C32E7"/>
    <w:rPr>
      <w:rFonts w:cs="Times New Roman"/>
      <w:color w:val="800080"/>
      <w:u w:val="single"/>
    </w:rPr>
  </w:style>
  <w:style w:type="table" w:customStyle="1" w:styleId="Tabellenraster1">
    <w:name w:val="Tabellenraster1"/>
    <w:uiPriority w:val="99"/>
    <w:rsid w:val="009C32E7"/>
    <w:rPr>
      <w:rFonts w:ascii="Calibri" w:eastAsia="Calibri" w:hAnsi="Calibri"/>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chtaufgelsteErwhnung1">
    <w:name w:val="Nicht aufgelöste Erwähnung1"/>
    <w:uiPriority w:val="99"/>
    <w:semiHidden/>
    <w:rsid w:val="009C32E7"/>
    <w:rPr>
      <w:rFonts w:cs="Times New Roman"/>
      <w:color w:val="808080"/>
      <w:shd w:val="clear" w:color="auto" w:fill="E6E6E6"/>
    </w:rPr>
  </w:style>
  <w:style w:type="character" w:customStyle="1" w:styleId="NichtaufgelsteErwhnung2">
    <w:name w:val="Nicht aufgelöste Erwähnung2"/>
    <w:uiPriority w:val="99"/>
    <w:semiHidden/>
    <w:rsid w:val="009C32E7"/>
    <w:rPr>
      <w:rFonts w:cs="Times New Roman"/>
      <w:color w:val="808080"/>
      <w:shd w:val="clear" w:color="auto" w:fill="E6E6E6"/>
    </w:rPr>
  </w:style>
  <w:style w:type="character" w:customStyle="1" w:styleId="NichtaufgelsteErwhnung3">
    <w:name w:val="Nicht aufgelöste Erwähnung3"/>
    <w:uiPriority w:val="99"/>
    <w:semiHidden/>
    <w:rsid w:val="009C32E7"/>
    <w:rPr>
      <w:rFonts w:cs="Times New Roman"/>
      <w:color w:val="808080"/>
      <w:shd w:val="clear" w:color="auto" w:fill="E6E6E6"/>
    </w:rPr>
  </w:style>
  <w:style w:type="paragraph" w:styleId="Zitat">
    <w:name w:val="Quote"/>
    <w:basedOn w:val="Standard"/>
    <w:next w:val="Standard"/>
    <w:link w:val="ZitatZchn"/>
    <w:uiPriority w:val="29"/>
    <w:qFormat/>
    <w:rsid w:val="009C32E7"/>
    <w:pPr>
      <w:spacing w:after="200" w:line="276" w:lineRule="auto"/>
    </w:pPr>
    <w:rPr>
      <w:rFonts w:asciiTheme="minorHAnsi" w:eastAsiaTheme="minorEastAsia" w:hAnsiTheme="minorHAnsi" w:cstheme="minorBidi"/>
      <w:i/>
      <w:iCs/>
      <w:color w:val="000000" w:themeColor="text1"/>
      <w:lang w:val="en-US"/>
    </w:rPr>
  </w:style>
  <w:style w:type="character" w:customStyle="1" w:styleId="ZitatZchn">
    <w:name w:val="Zitat Zchn"/>
    <w:basedOn w:val="Absatz-Standardschriftart"/>
    <w:link w:val="Zitat"/>
    <w:uiPriority w:val="29"/>
    <w:rsid w:val="009C32E7"/>
    <w:rPr>
      <w:rFonts w:asciiTheme="minorHAnsi" w:eastAsiaTheme="minorEastAsia" w:hAnsiTheme="minorHAnsi" w:cstheme="minorBidi"/>
      <w:i/>
      <w:i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hyperlink" Target="mailto:SAE.KLIPS@med.uni-heidelberg.de" TargetMode="External"/><Relationship Id="rId2" Type="http://schemas.openxmlformats.org/officeDocument/2006/relationships/styles" Target="styles.xml"/><Relationship Id="rId16" Type="http://schemas.openxmlformats.org/officeDocument/2006/relationships/package" Target="embeddings/Microsoft_PowerPoint_Presentation2.ppt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200F215C</Template>
  <TotalTime>0</TotalTime>
  <Pages>56</Pages>
  <Words>16076</Words>
  <Characters>97839</Characters>
  <Application>Microsoft Office Word</Application>
  <DocSecurity>0</DocSecurity>
  <Lines>815</Lines>
  <Paragraphs>227</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113688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 Antje</dc:creator>
  <cp:lastModifiedBy>Blank, Antje</cp:lastModifiedBy>
  <cp:revision>5</cp:revision>
  <cp:lastPrinted>2020-04-24T13:58:00Z</cp:lastPrinted>
  <dcterms:created xsi:type="dcterms:W3CDTF">2020-04-24T13:53:00Z</dcterms:created>
  <dcterms:modified xsi:type="dcterms:W3CDTF">2020-04-24T14:07:00Z</dcterms:modified>
</cp:coreProperties>
</file>