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1E873" w14:textId="77777777" w:rsidR="00BA3E79" w:rsidRPr="003551AA" w:rsidRDefault="00BA3E79" w:rsidP="00BA3E79">
      <w:pPr>
        <w:jc w:val="both"/>
        <w:rPr>
          <w:rFonts w:ascii="76ibfyjmtixi,Bold" w:hAnsi="76ibfyjmtixi,Bold" w:cs="76ibfyjmtixi,Bold"/>
          <w:b/>
          <w:bCs/>
          <w:color w:val="1B3051"/>
          <w:sz w:val="20"/>
        </w:rPr>
      </w:pPr>
      <w:r w:rsidRPr="003551AA">
        <w:rPr>
          <w:rFonts w:ascii="Verdana" w:eastAsia="Verdana" w:hAnsi="Verdana" w:cs="Verdana"/>
          <w:b/>
          <w:sz w:val="16"/>
          <w:szCs w:val="18"/>
        </w:rPr>
        <w:t>Appendix 1</w:t>
      </w:r>
      <w:r w:rsidRPr="003551AA">
        <w:rPr>
          <w:rFonts w:ascii="Verdana" w:eastAsia="Verdana" w:hAnsi="Verdana" w:cs="Verdana"/>
          <w:sz w:val="16"/>
          <w:szCs w:val="18"/>
        </w:rPr>
        <w:t>. Structure of information pertaining to estimand attributes and their description</w:t>
      </w:r>
      <w:r w:rsidRPr="003551AA">
        <w:rPr>
          <w:rFonts w:ascii="76ibfyjmtixi,Bold" w:hAnsi="76ibfyjmtixi,Bold" w:cs="76ibfyjmtixi,Bold"/>
          <w:b/>
          <w:bCs/>
          <w:color w:val="1B3051"/>
          <w:sz w:val="20"/>
        </w:rPr>
        <w:t xml:space="preserve"> </w:t>
      </w:r>
    </w:p>
    <w:p w14:paraId="4C2F4890" w14:textId="77777777" w:rsidR="00BA3E79" w:rsidRDefault="00BA3E79" w:rsidP="00BA3E79">
      <w:pPr>
        <w:rPr>
          <w:noProof/>
          <w:lang w:val="en-US"/>
        </w:rPr>
      </w:pPr>
    </w:p>
    <w:tbl>
      <w:tblPr>
        <w:tblStyle w:val="109"/>
        <w:tblW w:w="10490" w:type="dxa"/>
        <w:tblInd w:w="-1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1418"/>
        <w:gridCol w:w="1417"/>
        <w:gridCol w:w="1701"/>
        <w:gridCol w:w="1418"/>
        <w:gridCol w:w="1417"/>
        <w:gridCol w:w="1701"/>
      </w:tblGrid>
      <w:tr w:rsidR="00BA3E79" w:rsidRPr="005E718C" w14:paraId="70041967" w14:textId="77777777" w:rsidTr="00E54D3A">
        <w:tc>
          <w:tcPr>
            <w:tcW w:w="1418" w:type="dxa"/>
          </w:tcPr>
          <w:p w14:paraId="4CFF8C69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8"/>
              </w:rPr>
            </w:pPr>
            <w:r w:rsidRPr="00405F31">
              <w:rPr>
                <w:rFonts w:ascii="Verdana" w:eastAsia="Verdana" w:hAnsi="Verdana" w:cs="Verdana"/>
                <w:b/>
                <w:sz w:val="14"/>
                <w:szCs w:val="18"/>
              </w:rPr>
              <w:t>Attribute</w:t>
            </w:r>
          </w:p>
        </w:tc>
        <w:tc>
          <w:tcPr>
            <w:tcW w:w="1418" w:type="dxa"/>
          </w:tcPr>
          <w:p w14:paraId="02BA78A8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8"/>
              </w:rPr>
            </w:pPr>
            <w:r>
              <w:rPr>
                <w:rFonts w:ascii="Verdana" w:eastAsia="Verdana" w:hAnsi="Verdana" w:cs="Verdana"/>
                <w:b/>
                <w:sz w:val="14"/>
                <w:szCs w:val="18"/>
              </w:rPr>
              <w:t>Type of document (</w:t>
            </w:r>
            <w:r w:rsidRPr="00405F31">
              <w:rPr>
                <w:rFonts w:ascii="Verdana" w:eastAsia="Verdana" w:hAnsi="Verdana" w:cs="Verdana"/>
                <w:b/>
                <w:sz w:val="14"/>
                <w:szCs w:val="18"/>
              </w:rPr>
              <w:t>Source</w:t>
            </w:r>
            <w:r>
              <w:rPr>
                <w:rFonts w:ascii="Verdana" w:eastAsia="Verdana" w:hAnsi="Verdana" w:cs="Verdana"/>
                <w:b/>
                <w:sz w:val="14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376B5" w14:textId="77777777" w:rsidR="00BA3E79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8"/>
              </w:rPr>
            </w:pPr>
            <w:r w:rsidRPr="00405F31">
              <w:rPr>
                <w:rFonts w:ascii="Verdana" w:eastAsia="Verdana" w:hAnsi="Verdana" w:cs="Verdana"/>
                <w:b/>
                <w:sz w:val="14"/>
                <w:szCs w:val="18"/>
              </w:rPr>
              <w:t>Variable</w:t>
            </w:r>
            <w:r>
              <w:rPr>
                <w:rFonts w:ascii="Verdana" w:eastAsia="Verdana" w:hAnsi="Verdana" w:cs="Verdana"/>
                <w:b/>
                <w:sz w:val="14"/>
                <w:szCs w:val="18"/>
              </w:rPr>
              <w:t>/</w:t>
            </w:r>
          </w:p>
          <w:p w14:paraId="6DDDE801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8"/>
              </w:rPr>
            </w:pPr>
            <w:r>
              <w:rPr>
                <w:rFonts w:ascii="Verdana" w:eastAsia="Verdana" w:hAnsi="Verdana" w:cs="Verdana"/>
                <w:b/>
                <w:sz w:val="14"/>
                <w:szCs w:val="18"/>
              </w:rPr>
              <w:t>Endpoint</w:t>
            </w:r>
          </w:p>
        </w:tc>
        <w:tc>
          <w:tcPr>
            <w:tcW w:w="1701" w:type="dxa"/>
          </w:tcPr>
          <w:p w14:paraId="751A4E91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8"/>
              </w:rPr>
            </w:pPr>
            <w:r w:rsidRPr="00405F31">
              <w:rPr>
                <w:rFonts w:ascii="Verdana" w:eastAsia="Verdana" w:hAnsi="Verdana" w:cs="Verdana"/>
                <w:b/>
                <w:sz w:val="14"/>
                <w:szCs w:val="18"/>
              </w:rPr>
              <w:t>Population</w:t>
            </w:r>
          </w:p>
        </w:tc>
        <w:tc>
          <w:tcPr>
            <w:tcW w:w="1418" w:type="dxa"/>
          </w:tcPr>
          <w:p w14:paraId="0D451993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8"/>
              </w:rPr>
            </w:pPr>
            <w:r w:rsidRPr="00405F31">
              <w:rPr>
                <w:rFonts w:ascii="Verdana" w:eastAsia="Verdana" w:hAnsi="Verdana" w:cs="Verdana"/>
                <w:b/>
                <w:sz w:val="14"/>
                <w:szCs w:val="18"/>
              </w:rPr>
              <w:t>P</w:t>
            </w:r>
            <w:r>
              <w:rPr>
                <w:rFonts w:ascii="Verdana" w:eastAsia="Verdana" w:hAnsi="Verdana" w:cs="Verdana"/>
                <w:b/>
                <w:sz w:val="14"/>
                <w:szCs w:val="18"/>
              </w:rPr>
              <w:t>opulation-level summary</w:t>
            </w:r>
          </w:p>
        </w:tc>
        <w:tc>
          <w:tcPr>
            <w:tcW w:w="1417" w:type="dxa"/>
          </w:tcPr>
          <w:p w14:paraId="2EF2CA7C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8"/>
              </w:rPr>
            </w:pPr>
            <w:r w:rsidRPr="00405F31">
              <w:rPr>
                <w:rFonts w:ascii="Verdana" w:eastAsia="Verdana" w:hAnsi="Verdana" w:cs="Verdana"/>
                <w:b/>
                <w:sz w:val="14"/>
                <w:szCs w:val="18"/>
              </w:rPr>
              <w:t>Analysis</w:t>
            </w:r>
            <w:r>
              <w:rPr>
                <w:rFonts w:ascii="Verdana" w:eastAsia="Verdana" w:hAnsi="Verdana" w:cs="Verdana"/>
                <w:b/>
                <w:sz w:val="14"/>
                <w:szCs w:val="18"/>
              </w:rPr>
              <w:t>/</w:t>
            </w:r>
            <w:r w:rsidRPr="00405F31">
              <w:rPr>
                <w:rFonts w:ascii="Verdana" w:eastAsia="Verdana" w:hAnsi="Verdana" w:cs="Verdana"/>
                <w:b/>
                <w:sz w:val="14"/>
                <w:szCs w:val="18"/>
              </w:rPr>
              <w:t xml:space="preserve"> imputation method 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EC5B9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8"/>
              </w:rPr>
            </w:pPr>
            <w:r w:rsidRPr="00405F31">
              <w:rPr>
                <w:rFonts w:ascii="Verdana" w:eastAsia="Verdana" w:hAnsi="Verdana" w:cs="Verdana"/>
                <w:b/>
                <w:sz w:val="14"/>
                <w:szCs w:val="18"/>
              </w:rPr>
              <w:t>Intercurrent events</w:t>
            </w:r>
            <w:r>
              <w:rPr>
                <w:rFonts w:ascii="Verdana" w:eastAsia="Verdana" w:hAnsi="Verdana" w:cs="Verdana"/>
                <w:b/>
                <w:sz w:val="14"/>
                <w:szCs w:val="18"/>
              </w:rPr>
              <w:t xml:space="preserve"> </w:t>
            </w:r>
            <w:r w:rsidRPr="00405F31">
              <w:rPr>
                <w:rFonts w:ascii="Verdana" w:eastAsia="Verdana" w:hAnsi="Verdana" w:cs="Verdana"/>
                <w:b/>
                <w:sz w:val="14"/>
                <w:szCs w:val="18"/>
              </w:rPr>
              <w:t>and strategies to account for them</w:t>
            </w:r>
          </w:p>
        </w:tc>
      </w:tr>
      <w:tr w:rsidR="00BA3E79" w:rsidRPr="005E718C" w14:paraId="287A9569" w14:textId="77777777" w:rsidTr="00E54D3A">
        <w:tc>
          <w:tcPr>
            <w:tcW w:w="1418" w:type="dxa"/>
            <w:vMerge w:val="restart"/>
          </w:tcPr>
          <w:p w14:paraId="684F8465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8"/>
              </w:rPr>
            </w:pPr>
            <w:r w:rsidRPr="00405F31">
              <w:rPr>
                <w:rFonts w:ascii="Verdana" w:eastAsia="Verdana" w:hAnsi="Verdana" w:cs="Verdana"/>
                <w:b/>
                <w:sz w:val="14"/>
                <w:szCs w:val="18"/>
              </w:rPr>
              <w:t>Relevant section from corresponding source used for data extraction</w:t>
            </w:r>
          </w:p>
        </w:tc>
        <w:tc>
          <w:tcPr>
            <w:tcW w:w="1418" w:type="dxa"/>
          </w:tcPr>
          <w:p w14:paraId="4D96F9D2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b/>
                <w:sz w:val="14"/>
                <w:szCs w:val="14"/>
              </w:rPr>
              <w:t>Guideline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D30B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E</w:t>
            </w:r>
            <w:r w:rsidRPr="00405F31">
              <w:rPr>
                <w:rFonts w:ascii="Verdana" w:eastAsia="Verdana" w:hAnsi="Verdana" w:cs="Verdana"/>
                <w:sz w:val="14"/>
                <w:szCs w:val="14"/>
              </w:rPr>
              <w:t>ntire guideline content</w:t>
            </w:r>
          </w:p>
          <w:p w14:paraId="387F1A19" w14:textId="77777777" w:rsidR="00BA3E79" w:rsidRPr="00405F31" w:rsidRDefault="00BA3E79" w:rsidP="00E54D3A">
            <w:pPr>
              <w:pStyle w:val="Lijstalinea"/>
              <w:widowControl w:val="0"/>
              <w:ind w:left="41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701" w:type="dxa"/>
          </w:tcPr>
          <w:p w14:paraId="7F190765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E</w:t>
            </w:r>
            <w:r w:rsidRPr="00405F31">
              <w:rPr>
                <w:rFonts w:ascii="Verdana" w:eastAsia="Verdana" w:hAnsi="Verdana" w:cs="Verdana"/>
                <w:sz w:val="14"/>
                <w:szCs w:val="14"/>
              </w:rPr>
              <w:t>ntire guideline content</w:t>
            </w:r>
          </w:p>
          <w:p w14:paraId="7E3DB77B" w14:textId="77777777" w:rsidR="00BA3E79" w:rsidRPr="00405F31" w:rsidRDefault="00BA3E79" w:rsidP="00E54D3A">
            <w:pPr>
              <w:pStyle w:val="Lijstalinea"/>
              <w:widowControl w:val="0"/>
              <w:ind w:left="41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418" w:type="dxa"/>
          </w:tcPr>
          <w:p w14:paraId="20B4EB63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E</w:t>
            </w:r>
            <w:r w:rsidRPr="00405F31">
              <w:rPr>
                <w:rFonts w:ascii="Verdana" w:eastAsia="Verdana" w:hAnsi="Verdana" w:cs="Verdana"/>
                <w:sz w:val="14"/>
                <w:szCs w:val="14"/>
              </w:rPr>
              <w:t>ntire guideline content</w:t>
            </w:r>
          </w:p>
          <w:p w14:paraId="57B6F8A0" w14:textId="77777777" w:rsidR="00BA3E79" w:rsidRPr="00405F31" w:rsidRDefault="00BA3E79" w:rsidP="00E54D3A">
            <w:pPr>
              <w:pStyle w:val="Lijstalinea"/>
              <w:widowControl w:val="0"/>
              <w:ind w:left="41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417" w:type="dxa"/>
          </w:tcPr>
          <w:p w14:paraId="216CECCA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E</w:t>
            </w:r>
            <w:r w:rsidRPr="00405F31">
              <w:rPr>
                <w:rFonts w:ascii="Verdana" w:eastAsia="Verdana" w:hAnsi="Verdana" w:cs="Verdana"/>
                <w:sz w:val="14"/>
                <w:szCs w:val="14"/>
              </w:rPr>
              <w:t>ntire guideline content</w:t>
            </w:r>
          </w:p>
          <w:p w14:paraId="6AC4D2FA" w14:textId="77777777" w:rsidR="00BA3E79" w:rsidRPr="00405F31" w:rsidRDefault="00BA3E79" w:rsidP="00E54D3A">
            <w:pPr>
              <w:pStyle w:val="Lijstalinea"/>
              <w:widowControl w:val="0"/>
              <w:ind w:left="41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EB99B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>
              <w:rPr>
                <w:rFonts w:ascii="Verdana" w:eastAsia="Verdana" w:hAnsi="Verdana" w:cs="Verdana"/>
                <w:sz w:val="14"/>
                <w:szCs w:val="14"/>
              </w:rPr>
              <w:t>E</w:t>
            </w:r>
            <w:r w:rsidRPr="00405F31">
              <w:rPr>
                <w:rFonts w:ascii="Verdana" w:eastAsia="Verdana" w:hAnsi="Verdana" w:cs="Verdana"/>
                <w:sz w:val="14"/>
                <w:szCs w:val="14"/>
              </w:rPr>
              <w:t>ntire guideline content</w:t>
            </w:r>
          </w:p>
          <w:p w14:paraId="4A8341A8" w14:textId="77777777" w:rsidR="00BA3E79" w:rsidRPr="00405F31" w:rsidRDefault="00BA3E79" w:rsidP="00E54D3A">
            <w:pPr>
              <w:pStyle w:val="Lijstalinea"/>
              <w:widowControl w:val="0"/>
              <w:ind w:left="41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</w:tr>
      <w:tr w:rsidR="00BA3E79" w:rsidRPr="005E718C" w14:paraId="5FCE99E6" w14:textId="77777777" w:rsidTr="00E54D3A">
        <w:tc>
          <w:tcPr>
            <w:tcW w:w="1418" w:type="dxa"/>
            <w:vMerge/>
          </w:tcPr>
          <w:p w14:paraId="01C2ACA6" w14:textId="77777777" w:rsidR="00BA3E79" w:rsidRPr="0009628E" w:rsidRDefault="00BA3E79" w:rsidP="00E54D3A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4660511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b/>
                <w:sz w:val="14"/>
                <w:szCs w:val="14"/>
              </w:rPr>
              <w:t xml:space="preserve">Sponsor </w:t>
            </w: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documentation</w:t>
            </w:r>
          </w:p>
          <w:p w14:paraId="78DD2FD2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4"/>
              </w:rPr>
            </w:pP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0898B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Study objectives</w:t>
            </w:r>
          </w:p>
          <w:p w14:paraId="562975E2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Primary objective</w:t>
            </w:r>
          </w:p>
          <w:p w14:paraId="0F9C3785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Study design</w:t>
            </w:r>
          </w:p>
          <w:p w14:paraId="770AA9AD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Primary efficacy</w:t>
            </w:r>
          </w:p>
          <w:p w14:paraId="6F1C532C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Statistical Methods</w:t>
            </w:r>
          </w:p>
          <w:p w14:paraId="2CAFAC75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Supportive Analyses on the Primary Efficacy Endpoint</w:t>
            </w:r>
          </w:p>
          <w:p w14:paraId="6A77C683" w14:textId="77777777" w:rsidR="00BA3E79" w:rsidRPr="00B43AF5" w:rsidRDefault="00BA3E79" w:rsidP="00E54D3A">
            <w:pPr>
              <w:widowControl w:val="0"/>
              <w:ind w:left="-100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701" w:type="dxa"/>
          </w:tcPr>
          <w:p w14:paraId="100790C5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Study objectives</w:t>
            </w:r>
          </w:p>
          <w:p w14:paraId="0D498EBD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Primary objective</w:t>
            </w:r>
          </w:p>
          <w:p w14:paraId="59F5B2D7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Study design</w:t>
            </w:r>
          </w:p>
          <w:p w14:paraId="41DAB533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Inclusion/exclusion criteria</w:t>
            </w:r>
          </w:p>
          <w:p w14:paraId="7E665039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Primary efficacy</w:t>
            </w:r>
          </w:p>
          <w:p w14:paraId="36208DB9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Statistical Methods</w:t>
            </w:r>
          </w:p>
          <w:p w14:paraId="19E9C528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Supportive Analyses on the Primary Efficacy Endpoint</w:t>
            </w:r>
          </w:p>
          <w:p w14:paraId="383D45EE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Study subjects</w:t>
            </w:r>
          </w:p>
        </w:tc>
        <w:tc>
          <w:tcPr>
            <w:tcW w:w="1418" w:type="dxa"/>
          </w:tcPr>
          <w:p w14:paraId="21B0905B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Study objectives</w:t>
            </w:r>
          </w:p>
          <w:p w14:paraId="0D9EC52F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Primary objective</w:t>
            </w:r>
          </w:p>
          <w:p w14:paraId="1EFF528D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Study design</w:t>
            </w:r>
          </w:p>
          <w:p w14:paraId="440EA0B9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Primary efficacy</w:t>
            </w:r>
          </w:p>
          <w:p w14:paraId="0038A736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Statistical Methods</w:t>
            </w:r>
          </w:p>
          <w:p w14:paraId="18737978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Supportive Analyses on the Primary Efficacy Endpoint</w:t>
            </w:r>
          </w:p>
        </w:tc>
        <w:tc>
          <w:tcPr>
            <w:tcW w:w="1417" w:type="dxa"/>
          </w:tcPr>
          <w:p w14:paraId="2107A293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Study design</w:t>
            </w:r>
          </w:p>
          <w:p w14:paraId="3CF4A92A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Primary Efficacy</w:t>
            </w:r>
          </w:p>
          <w:p w14:paraId="110A926B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Statistical Methods</w:t>
            </w:r>
          </w:p>
          <w:p w14:paraId="5D9FC466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Supportive Analyses on the Primary Efficacy Endpoint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E595E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Prior and Concomitant Therapy and Diseases</w:t>
            </w:r>
          </w:p>
          <w:p w14:paraId="53F73C98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Prohibited Therapies</w:t>
            </w:r>
          </w:p>
          <w:p w14:paraId="4EDC7E11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Rescue Medication</w:t>
            </w:r>
          </w:p>
          <w:p w14:paraId="7BDD2CC3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Prior and Concomitant Diseases</w:t>
            </w:r>
          </w:p>
          <w:p w14:paraId="6F0B25D4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Contraindications</w:t>
            </w:r>
          </w:p>
          <w:p w14:paraId="19B732EC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Precautions</w:t>
            </w:r>
          </w:p>
          <w:p w14:paraId="242959C8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Treatment Compliance</w:t>
            </w:r>
          </w:p>
          <w:p w14:paraId="61662386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Termination of Study</w:t>
            </w:r>
          </w:p>
          <w:p w14:paraId="266DABAA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Primary Efficacy</w:t>
            </w:r>
          </w:p>
          <w:p w14:paraId="585F6662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Statistical Methods</w:t>
            </w:r>
          </w:p>
          <w:p w14:paraId="5EE79E55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Study subjects</w:t>
            </w:r>
          </w:p>
          <w:p w14:paraId="76B20FD2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Supportive Analyses on the Primary Efficacy Endpoint</w:t>
            </w:r>
          </w:p>
          <w:p w14:paraId="2815EF8A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Protocol Violations and Deviations</w:t>
            </w:r>
          </w:p>
          <w:p w14:paraId="6C934B89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Discontinuations (tables)</w:t>
            </w:r>
          </w:p>
          <w:p w14:paraId="69C5AEC5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Results (tables)</w:t>
            </w:r>
          </w:p>
        </w:tc>
      </w:tr>
      <w:tr w:rsidR="00BA3E79" w:rsidRPr="005E718C" w14:paraId="3BF456B3" w14:textId="77777777" w:rsidTr="00E54D3A">
        <w:tc>
          <w:tcPr>
            <w:tcW w:w="1418" w:type="dxa"/>
          </w:tcPr>
          <w:p w14:paraId="13F300B2" w14:textId="77777777" w:rsidR="00BA3E79" w:rsidRPr="0009628E" w:rsidRDefault="00BA3E79" w:rsidP="00E54D3A">
            <w:pPr>
              <w:widowControl w:val="0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6E74F8" w14:textId="77777777" w:rsidR="00BA3E79" w:rsidRPr="00405F31" w:rsidRDefault="00BA3E79" w:rsidP="00E54D3A">
            <w:pPr>
              <w:widowControl w:val="0"/>
              <w:rPr>
                <w:rFonts w:ascii="Verdana" w:eastAsia="Verdana" w:hAnsi="Verdana" w:cs="Verdana"/>
                <w:b/>
                <w:sz w:val="14"/>
                <w:szCs w:val="14"/>
              </w:rPr>
            </w:pPr>
            <w:r>
              <w:rPr>
                <w:rFonts w:ascii="Verdana" w:eastAsia="Verdana" w:hAnsi="Verdana" w:cs="Verdana"/>
                <w:b/>
                <w:sz w:val="14"/>
                <w:szCs w:val="14"/>
              </w:rPr>
              <w:t>Regulatory questions</w:t>
            </w:r>
          </w:p>
        </w:tc>
        <w:tc>
          <w:tcPr>
            <w:tcW w:w="14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A32CC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All clinical efficacy MOs and OCs</w:t>
            </w:r>
            <w:r>
              <w:rPr>
                <w:rFonts w:ascii="Verdana" w:eastAsia="Verdana" w:hAnsi="Verdana" w:cs="Verdana"/>
                <w:sz w:val="14"/>
                <w:szCs w:val="14"/>
              </w:rPr>
              <w:t>*</w:t>
            </w:r>
          </w:p>
        </w:tc>
        <w:tc>
          <w:tcPr>
            <w:tcW w:w="1701" w:type="dxa"/>
          </w:tcPr>
          <w:p w14:paraId="24CB9ABF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All clinical efficacy MOs and OCs</w:t>
            </w:r>
          </w:p>
        </w:tc>
        <w:tc>
          <w:tcPr>
            <w:tcW w:w="1418" w:type="dxa"/>
          </w:tcPr>
          <w:p w14:paraId="31FC54AC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All clinical efficacy MOs and OCs</w:t>
            </w:r>
          </w:p>
        </w:tc>
        <w:tc>
          <w:tcPr>
            <w:tcW w:w="1417" w:type="dxa"/>
          </w:tcPr>
          <w:p w14:paraId="384928AC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All clinical efficacy MOs and OCs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A0E52" w14:textId="77777777" w:rsidR="00BA3E79" w:rsidRPr="00405F31" w:rsidRDefault="00BA3E79" w:rsidP="00E54D3A">
            <w:pPr>
              <w:pStyle w:val="Lijstalinea"/>
              <w:widowControl w:val="0"/>
              <w:numPr>
                <w:ilvl w:val="0"/>
                <w:numId w:val="1"/>
              </w:numPr>
              <w:ind w:left="41" w:hanging="141"/>
              <w:rPr>
                <w:rFonts w:ascii="Verdana" w:eastAsia="Verdana" w:hAnsi="Verdana" w:cs="Verdana"/>
                <w:sz w:val="14"/>
                <w:szCs w:val="14"/>
              </w:rPr>
            </w:pPr>
            <w:r w:rsidRPr="00405F31">
              <w:rPr>
                <w:rFonts w:ascii="Verdana" w:eastAsia="Verdana" w:hAnsi="Verdana" w:cs="Verdana"/>
                <w:sz w:val="14"/>
                <w:szCs w:val="14"/>
              </w:rPr>
              <w:t>All clinical efficacy MOs and OCs</w:t>
            </w:r>
          </w:p>
        </w:tc>
      </w:tr>
    </w:tbl>
    <w:p w14:paraId="27AEF4FC" w14:textId="77777777" w:rsidR="00BA3E79" w:rsidRPr="00BD7405" w:rsidRDefault="00BA3E79" w:rsidP="00BA3E79">
      <w:pPr>
        <w:rPr>
          <w:rFonts w:ascii="Verdana" w:hAnsi="Verdana"/>
          <w:color w:val="434343"/>
          <w:sz w:val="14"/>
          <w:szCs w:val="18"/>
        </w:rPr>
      </w:pPr>
      <w:r w:rsidRPr="00B43AF5">
        <w:rPr>
          <w:rFonts w:ascii="Verdana" w:hAnsi="Verdana"/>
          <w:color w:val="434343"/>
          <w:sz w:val="14"/>
          <w:szCs w:val="18"/>
          <w:vertAlign w:val="superscript"/>
        </w:rPr>
        <w:t>*</w:t>
      </w:r>
      <w:r w:rsidRPr="00B43AF5">
        <w:rPr>
          <w:rFonts w:ascii="Verdana" w:hAnsi="Verdana"/>
          <w:color w:val="434343"/>
          <w:sz w:val="14"/>
          <w:szCs w:val="18"/>
        </w:rPr>
        <w:t>Regulatory questions are major objection</w:t>
      </w:r>
      <w:r>
        <w:rPr>
          <w:rFonts w:ascii="Verdana" w:hAnsi="Verdana"/>
          <w:color w:val="434343"/>
          <w:sz w:val="14"/>
          <w:szCs w:val="18"/>
        </w:rPr>
        <w:t>s (MO) and other concerns (OC).</w:t>
      </w:r>
    </w:p>
    <w:p w14:paraId="7DF926DC" w14:textId="77777777" w:rsidR="00BA3E79" w:rsidRPr="00CC50AC" w:rsidRDefault="00BA3E79" w:rsidP="00BA3E79">
      <w:pPr>
        <w:ind w:hanging="1276"/>
        <w:rPr>
          <w:noProof/>
        </w:rPr>
      </w:pPr>
    </w:p>
    <w:p w14:paraId="697E41B5" w14:textId="77777777" w:rsidR="008D4E54" w:rsidRPr="00BA3E79" w:rsidRDefault="008D4E54" w:rsidP="00BA3E79">
      <w:bookmarkStart w:id="0" w:name="_GoBack"/>
      <w:bookmarkEnd w:id="0"/>
    </w:p>
    <w:sectPr w:rsidR="008D4E54" w:rsidRPr="00BA3E79" w:rsidSect="00BA3E79">
      <w:footerReference w:type="default" r:id="rId8"/>
      <w:pgSz w:w="11907" w:h="16839" w:code="9"/>
      <w:pgMar w:top="1440" w:right="1440" w:bottom="1440" w:left="1440" w:header="0" w:footer="720" w:gutter="0"/>
      <w:pgNumType w:start="1"/>
      <w:cols w:space="708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B5034E4" w15:done="0"/>
  <w15:commentEx w15:paraId="60F1906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B5034E4" w16cid:durableId="217EADDE"/>
  <w16cid:commentId w16cid:paraId="60F19064" w16cid:durableId="217FE44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2F76F" w14:textId="77777777" w:rsidR="0073720C" w:rsidRDefault="0073720C">
      <w:pPr>
        <w:spacing w:line="240" w:lineRule="auto"/>
      </w:pPr>
      <w:r>
        <w:separator/>
      </w:r>
    </w:p>
  </w:endnote>
  <w:endnote w:type="continuationSeparator" w:id="0">
    <w:p w14:paraId="23316376" w14:textId="77777777" w:rsidR="0073720C" w:rsidRDefault="00737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76ibfyjmtix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7604480"/>
      <w:docPartObj>
        <w:docPartGallery w:val="Page Numbers (Bottom of Page)"/>
        <w:docPartUnique/>
      </w:docPartObj>
    </w:sdtPr>
    <w:sdtEndPr/>
    <w:sdtContent>
      <w:p w14:paraId="6E6A812C" w14:textId="77777777" w:rsidR="0073720C" w:rsidRDefault="0073720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E79" w:rsidRPr="00BA3E79">
          <w:rPr>
            <w:noProof/>
            <w:lang w:val="nl-NL"/>
          </w:rPr>
          <w:t>1</w:t>
        </w:r>
        <w:r>
          <w:fldChar w:fldCharType="end"/>
        </w:r>
      </w:p>
    </w:sdtContent>
  </w:sdt>
  <w:p w14:paraId="06EA54D2" w14:textId="77777777" w:rsidR="0073720C" w:rsidRDefault="0073720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A0AE7" w14:textId="77777777" w:rsidR="0073720C" w:rsidRDefault="0073720C">
      <w:pPr>
        <w:spacing w:line="240" w:lineRule="auto"/>
      </w:pPr>
      <w:r>
        <w:separator/>
      </w:r>
    </w:p>
  </w:footnote>
  <w:footnote w:type="continuationSeparator" w:id="0">
    <w:p w14:paraId="35AD23A0" w14:textId="77777777" w:rsidR="0073720C" w:rsidRDefault="007372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94096"/>
    <w:multiLevelType w:val="multilevel"/>
    <w:tmpl w:val="E52EB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8F22F6E"/>
    <w:multiLevelType w:val="hybridMultilevel"/>
    <w:tmpl w:val="9880F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rold Ralf">
    <w15:presenceInfo w15:providerId="AD" w15:userId="S::ralf.herold@ema.europa.eu::a2ed9fc5-009d-4024-9712-e5d2241a0251"/>
  </w15:person>
  <w15:person w15:author="Drai Catherine">
    <w15:presenceInfo w15:providerId="AD" w15:userId="S::Catherine.Drai@ema.europa.eu::f4e2a029-a950-4e2a-9390-6cb78b42ad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09"/>
    <w:rsid w:val="00016871"/>
    <w:rsid w:val="000258B6"/>
    <w:rsid w:val="00042EEF"/>
    <w:rsid w:val="000925C8"/>
    <w:rsid w:val="000B5BD0"/>
    <w:rsid w:val="000C033C"/>
    <w:rsid w:val="000E4144"/>
    <w:rsid w:val="00122C29"/>
    <w:rsid w:val="001B6B02"/>
    <w:rsid w:val="001C3F9B"/>
    <w:rsid w:val="001E3FFD"/>
    <w:rsid w:val="001F3D9D"/>
    <w:rsid w:val="00264810"/>
    <w:rsid w:val="002A02AD"/>
    <w:rsid w:val="002C50B3"/>
    <w:rsid w:val="00310209"/>
    <w:rsid w:val="0031274B"/>
    <w:rsid w:val="003551AA"/>
    <w:rsid w:val="003E23EF"/>
    <w:rsid w:val="00420836"/>
    <w:rsid w:val="00443E34"/>
    <w:rsid w:val="004915E0"/>
    <w:rsid w:val="00497E1F"/>
    <w:rsid w:val="004A2E96"/>
    <w:rsid w:val="004D3B80"/>
    <w:rsid w:val="00514D87"/>
    <w:rsid w:val="00517368"/>
    <w:rsid w:val="0051790D"/>
    <w:rsid w:val="0052218E"/>
    <w:rsid w:val="0053528B"/>
    <w:rsid w:val="0053710C"/>
    <w:rsid w:val="00547739"/>
    <w:rsid w:val="005C1635"/>
    <w:rsid w:val="005E640C"/>
    <w:rsid w:val="005F4F36"/>
    <w:rsid w:val="00634845"/>
    <w:rsid w:val="006566DB"/>
    <w:rsid w:val="006F5DD2"/>
    <w:rsid w:val="0073720C"/>
    <w:rsid w:val="0079639F"/>
    <w:rsid w:val="007A1590"/>
    <w:rsid w:val="007C2741"/>
    <w:rsid w:val="0080354E"/>
    <w:rsid w:val="008971D2"/>
    <w:rsid w:val="008C3099"/>
    <w:rsid w:val="008D4E54"/>
    <w:rsid w:val="00906D91"/>
    <w:rsid w:val="00916257"/>
    <w:rsid w:val="009259C9"/>
    <w:rsid w:val="00927238"/>
    <w:rsid w:val="009C276C"/>
    <w:rsid w:val="009C64E3"/>
    <w:rsid w:val="00A47A7D"/>
    <w:rsid w:val="00AA47C4"/>
    <w:rsid w:val="00AE03C7"/>
    <w:rsid w:val="00B230B6"/>
    <w:rsid w:val="00B42506"/>
    <w:rsid w:val="00B67850"/>
    <w:rsid w:val="00BA3E79"/>
    <w:rsid w:val="00BA7C49"/>
    <w:rsid w:val="00C11900"/>
    <w:rsid w:val="00C87B6B"/>
    <w:rsid w:val="00CF51CC"/>
    <w:rsid w:val="00D47991"/>
    <w:rsid w:val="00D81366"/>
    <w:rsid w:val="00DE10D0"/>
    <w:rsid w:val="00E10128"/>
    <w:rsid w:val="00E3405B"/>
    <w:rsid w:val="00E729DE"/>
    <w:rsid w:val="00EE0425"/>
    <w:rsid w:val="00F021DC"/>
    <w:rsid w:val="00F73FD3"/>
    <w:rsid w:val="00F9741B"/>
    <w:rsid w:val="00FD10E0"/>
    <w:rsid w:val="00FD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2B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E10D0"/>
    <w:pPr>
      <w:spacing w:after="0"/>
    </w:pPr>
    <w:rPr>
      <w:rFonts w:ascii="Arial" w:eastAsia="Arial" w:hAnsi="Arial" w:cs="Arial"/>
      <w:lang w:val="en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unhideWhenUsed/>
    <w:rsid w:val="00DE10D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E10D0"/>
    <w:rPr>
      <w:rFonts w:ascii="Arial" w:eastAsia="Arial" w:hAnsi="Arial" w:cs="Arial"/>
      <w:sz w:val="20"/>
      <w:szCs w:val="20"/>
      <w:lang w:val="en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E10D0"/>
    <w:rPr>
      <w:sz w:val="16"/>
      <w:szCs w:val="16"/>
    </w:rPr>
  </w:style>
  <w:style w:type="table" w:customStyle="1" w:styleId="109">
    <w:name w:val="109"/>
    <w:basedOn w:val="Standaardtabel"/>
    <w:rsid w:val="00DE10D0"/>
    <w:pPr>
      <w:spacing w:after="0"/>
    </w:pPr>
    <w:rPr>
      <w:rFonts w:ascii="Arial" w:eastAsia="Arial" w:hAnsi="Arial" w:cs="Arial"/>
      <w:lang w:val="en" w:eastAsia="nl-NL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jstalinea">
    <w:name w:val="List Paragraph"/>
    <w:basedOn w:val="Standaard"/>
    <w:uiPriority w:val="34"/>
    <w:qFormat/>
    <w:rsid w:val="00DE10D0"/>
    <w:pPr>
      <w:ind w:left="720"/>
      <w:contextualSpacing/>
    </w:pPr>
  </w:style>
  <w:style w:type="table" w:styleId="Tabelraster">
    <w:name w:val="Table Grid"/>
    <w:basedOn w:val="Standaardtabel"/>
    <w:uiPriority w:val="59"/>
    <w:rsid w:val="00DE10D0"/>
    <w:pPr>
      <w:spacing w:after="0" w:line="240" w:lineRule="auto"/>
    </w:pPr>
    <w:rPr>
      <w:rFonts w:ascii="Arial" w:eastAsia="Arial" w:hAnsi="Arial" w:cs="Arial"/>
      <w:lang w:val="en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E10D0"/>
    <w:rPr>
      <w:color w:val="0000FF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DE10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10D0"/>
    <w:rPr>
      <w:rFonts w:ascii="Arial" w:eastAsia="Arial" w:hAnsi="Arial" w:cs="Arial"/>
      <w:lang w:val="en" w:eastAsia="nl-NL"/>
    </w:rPr>
  </w:style>
  <w:style w:type="paragraph" w:customStyle="1" w:styleId="Compact">
    <w:name w:val="Compact"/>
    <w:basedOn w:val="Plattetekst"/>
    <w:qFormat/>
    <w:rsid w:val="00DE10D0"/>
    <w:pPr>
      <w:spacing w:before="36" w:after="36" w:line="240" w:lineRule="auto"/>
    </w:pPr>
    <w:rPr>
      <w:rFonts w:asciiTheme="minorHAnsi" w:eastAsia="Times New Roman" w:hAnsiTheme="minorHAnsi" w:cs="Times New Roman"/>
      <w:sz w:val="24"/>
      <w:szCs w:val="24"/>
      <w:lang w:val="en-US"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E10D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E10D0"/>
    <w:rPr>
      <w:rFonts w:ascii="Arial" w:eastAsia="Arial" w:hAnsi="Arial" w:cs="Arial"/>
      <w:lang w:val="en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10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0D0"/>
    <w:rPr>
      <w:rFonts w:ascii="Tahoma" w:eastAsia="Arial" w:hAnsi="Tahoma" w:cs="Tahoma"/>
      <w:sz w:val="16"/>
      <w:szCs w:val="16"/>
      <w:lang w:val="en" w:eastAsia="nl-NL"/>
    </w:rPr>
  </w:style>
  <w:style w:type="character" w:styleId="Regelnummer">
    <w:name w:val="line number"/>
    <w:basedOn w:val="Standaardalinea-lettertype"/>
    <w:uiPriority w:val="99"/>
    <w:semiHidden/>
    <w:unhideWhenUsed/>
    <w:rsid w:val="00DE10D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D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4D87"/>
    <w:rPr>
      <w:rFonts w:ascii="Arial" w:eastAsia="Arial" w:hAnsi="Arial" w:cs="Arial"/>
      <w:b/>
      <w:bCs/>
      <w:sz w:val="20"/>
      <w:szCs w:val="20"/>
      <w:lang w:val="en" w:eastAsia="nl-NL"/>
    </w:rPr>
  </w:style>
  <w:style w:type="paragraph" w:styleId="Koptekst">
    <w:name w:val="header"/>
    <w:basedOn w:val="Standaard"/>
    <w:link w:val="KoptekstChar"/>
    <w:uiPriority w:val="99"/>
    <w:unhideWhenUsed/>
    <w:rsid w:val="00BA7C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7C49"/>
    <w:rPr>
      <w:rFonts w:ascii="Arial" w:eastAsia="Arial" w:hAnsi="Arial" w:cs="Arial"/>
      <w:lang w:val="en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E10D0"/>
    <w:pPr>
      <w:spacing w:after="0"/>
    </w:pPr>
    <w:rPr>
      <w:rFonts w:ascii="Arial" w:eastAsia="Arial" w:hAnsi="Arial" w:cs="Arial"/>
      <w:lang w:val="en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uiPriority w:val="99"/>
    <w:unhideWhenUsed/>
    <w:rsid w:val="00DE10D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E10D0"/>
    <w:rPr>
      <w:rFonts w:ascii="Arial" w:eastAsia="Arial" w:hAnsi="Arial" w:cs="Arial"/>
      <w:sz w:val="20"/>
      <w:szCs w:val="20"/>
      <w:lang w:val="en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E10D0"/>
    <w:rPr>
      <w:sz w:val="16"/>
      <w:szCs w:val="16"/>
    </w:rPr>
  </w:style>
  <w:style w:type="table" w:customStyle="1" w:styleId="109">
    <w:name w:val="109"/>
    <w:basedOn w:val="Standaardtabel"/>
    <w:rsid w:val="00DE10D0"/>
    <w:pPr>
      <w:spacing w:after="0"/>
    </w:pPr>
    <w:rPr>
      <w:rFonts w:ascii="Arial" w:eastAsia="Arial" w:hAnsi="Arial" w:cs="Arial"/>
      <w:lang w:val="en" w:eastAsia="nl-NL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jstalinea">
    <w:name w:val="List Paragraph"/>
    <w:basedOn w:val="Standaard"/>
    <w:uiPriority w:val="34"/>
    <w:qFormat/>
    <w:rsid w:val="00DE10D0"/>
    <w:pPr>
      <w:ind w:left="720"/>
      <w:contextualSpacing/>
    </w:pPr>
  </w:style>
  <w:style w:type="table" w:styleId="Tabelraster">
    <w:name w:val="Table Grid"/>
    <w:basedOn w:val="Standaardtabel"/>
    <w:uiPriority w:val="59"/>
    <w:rsid w:val="00DE10D0"/>
    <w:pPr>
      <w:spacing w:after="0" w:line="240" w:lineRule="auto"/>
    </w:pPr>
    <w:rPr>
      <w:rFonts w:ascii="Arial" w:eastAsia="Arial" w:hAnsi="Arial" w:cs="Arial"/>
      <w:lang w:val="en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E10D0"/>
    <w:rPr>
      <w:color w:val="0000FF" w:themeColor="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DE10D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10D0"/>
    <w:rPr>
      <w:rFonts w:ascii="Arial" w:eastAsia="Arial" w:hAnsi="Arial" w:cs="Arial"/>
      <w:lang w:val="en" w:eastAsia="nl-NL"/>
    </w:rPr>
  </w:style>
  <w:style w:type="paragraph" w:customStyle="1" w:styleId="Compact">
    <w:name w:val="Compact"/>
    <w:basedOn w:val="Plattetekst"/>
    <w:qFormat/>
    <w:rsid w:val="00DE10D0"/>
    <w:pPr>
      <w:spacing w:before="36" w:after="36" w:line="240" w:lineRule="auto"/>
    </w:pPr>
    <w:rPr>
      <w:rFonts w:asciiTheme="minorHAnsi" w:eastAsia="Times New Roman" w:hAnsiTheme="minorHAnsi" w:cs="Times New Roman"/>
      <w:sz w:val="24"/>
      <w:szCs w:val="24"/>
      <w:lang w:val="en-US"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E10D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E10D0"/>
    <w:rPr>
      <w:rFonts w:ascii="Arial" w:eastAsia="Arial" w:hAnsi="Arial" w:cs="Arial"/>
      <w:lang w:val="en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10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0D0"/>
    <w:rPr>
      <w:rFonts w:ascii="Tahoma" w:eastAsia="Arial" w:hAnsi="Tahoma" w:cs="Tahoma"/>
      <w:sz w:val="16"/>
      <w:szCs w:val="16"/>
      <w:lang w:val="en" w:eastAsia="nl-NL"/>
    </w:rPr>
  </w:style>
  <w:style w:type="character" w:styleId="Regelnummer">
    <w:name w:val="line number"/>
    <w:basedOn w:val="Standaardalinea-lettertype"/>
    <w:uiPriority w:val="99"/>
    <w:semiHidden/>
    <w:unhideWhenUsed/>
    <w:rsid w:val="00DE10D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D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4D87"/>
    <w:rPr>
      <w:rFonts w:ascii="Arial" w:eastAsia="Arial" w:hAnsi="Arial" w:cs="Arial"/>
      <w:b/>
      <w:bCs/>
      <w:sz w:val="20"/>
      <w:szCs w:val="20"/>
      <w:lang w:val="en" w:eastAsia="nl-NL"/>
    </w:rPr>
  </w:style>
  <w:style w:type="paragraph" w:styleId="Koptekst">
    <w:name w:val="header"/>
    <w:basedOn w:val="Standaard"/>
    <w:link w:val="KoptekstChar"/>
    <w:uiPriority w:val="99"/>
    <w:unhideWhenUsed/>
    <w:rsid w:val="00BA7C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7C49"/>
    <w:rPr>
      <w:rFonts w:ascii="Arial" w:eastAsia="Arial" w:hAnsi="Arial" w:cs="Arial"/>
      <w:lang w:val="en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9B76FF18</Template>
  <TotalTime>14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CBG-MEB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Mitroiu, dhr. M.</dc:creator>
  <cp:keywords/>
  <dc:description/>
  <cp:lastModifiedBy>Mitroiu, dhr. M.</cp:lastModifiedBy>
  <cp:revision>63</cp:revision>
  <dcterms:created xsi:type="dcterms:W3CDTF">2019-11-20T15:14:00Z</dcterms:created>
  <dcterms:modified xsi:type="dcterms:W3CDTF">2020-01-08T15:28:00Z</dcterms:modified>
</cp:coreProperties>
</file>