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667C" w:rsidRPr="003F0A9D" w:rsidRDefault="00D5667C" w:rsidP="00D5667C">
      <w:pPr>
        <w:spacing w:line="480" w:lineRule="auto"/>
        <w:rPr>
          <w:b/>
          <w:i/>
          <w:lang w:val="en-US"/>
        </w:rPr>
      </w:pPr>
      <w:r w:rsidRPr="003F0A9D">
        <w:rPr>
          <w:b/>
          <w:i/>
          <w:lang w:val="en-US"/>
        </w:rPr>
        <w:t>Supplementary File 1: Definitions of Secondary Endpoints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802"/>
        <w:gridCol w:w="6260"/>
      </w:tblGrid>
      <w:tr w:rsidR="00BB69A3" w:rsidRPr="00BC2F62" w:rsidTr="00DB03CE">
        <w:tc>
          <w:tcPr>
            <w:tcW w:w="9062" w:type="dxa"/>
            <w:gridSpan w:val="2"/>
          </w:tcPr>
          <w:p w:rsidR="00BB69A3" w:rsidRPr="00BC2F62" w:rsidRDefault="00BB69A3" w:rsidP="00D9469B">
            <w:pPr>
              <w:spacing w:line="480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C2F62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Severity of DB*</w:t>
            </w:r>
          </w:p>
        </w:tc>
      </w:tr>
      <w:tr w:rsidR="00D5667C" w:rsidRPr="006E7F87" w:rsidTr="00AB2042">
        <w:tc>
          <w:tcPr>
            <w:tcW w:w="2802" w:type="dxa"/>
          </w:tcPr>
          <w:p w:rsidR="00D5667C" w:rsidRPr="00BC2F62" w:rsidRDefault="00D5667C" w:rsidP="00D9469B">
            <w:pPr>
              <w:spacing w:line="480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C2F62">
              <w:rPr>
                <w:rFonts w:asciiTheme="minorHAnsi" w:hAnsiTheme="minorHAnsi"/>
                <w:sz w:val="22"/>
                <w:szCs w:val="22"/>
                <w:lang w:val="en-US"/>
              </w:rPr>
              <w:t>Mild</w:t>
            </w:r>
          </w:p>
        </w:tc>
        <w:tc>
          <w:tcPr>
            <w:tcW w:w="6260" w:type="dxa"/>
          </w:tcPr>
          <w:p w:rsidR="00D5667C" w:rsidRPr="00BC2F62" w:rsidRDefault="00D5667C" w:rsidP="00D9469B">
            <w:pPr>
              <w:spacing w:line="480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C2F62">
              <w:rPr>
                <w:rFonts w:asciiTheme="minorHAnsi" w:hAnsiTheme="minorHAnsi"/>
                <w:sz w:val="22"/>
                <w:szCs w:val="22"/>
                <w:lang w:val="en-US"/>
              </w:rPr>
              <w:t>any unplanned hospital admission, or prolongation of hospital stays for 3 days or fewer</w:t>
            </w:r>
          </w:p>
        </w:tc>
      </w:tr>
      <w:tr w:rsidR="00D5667C" w:rsidRPr="006E7F87" w:rsidTr="00AB2042">
        <w:tc>
          <w:tcPr>
            <w:tcW w:w="2802" w:type="dxa"/>
          </w:tcPr>
          <w:p w:rsidR="00D5667C" w:rsidRPr="00BC2F62" w:rsidRDefault="00D5667C" w:rsidP="00D9469B">
            <w:pPr>
              <w:spacing w:line="480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C2F62">
              <w:rPr>
                <w:rFonts w:asciiTheme="minorHAnsi" w:hAnsiTheme="minorHAnsi"/>
                <w:sz w:val="22"/>
                <w:szCs w:val="22"/>
                <w:lang w:val="en-US"/>
              </w:rPr>
              <w:t>Moderate</w:t>
            </w:r>
          </w:p>
        </w:tc>
        <w:tc>
          <w:tcPr>
            <w:tcW w:w="6260" w:type="dxa"/>
          </w:tcPr>
          <w:p w:rsidR="00D5667C" w:rsidRPr="00BC2F62" w:rsidRDefault="00D5667C" w:rsidP="00D9469B">
            <w:pPr>
              <w:spacing w:line="480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C2F62">
              <w:rPr>
                <w:rFonts w:asciiTheme="minorHAnsi" w:hAnsiTheme="minorHAnsi"/>
                <w:sz w:val="22"/>
                <w:szCs w:val="22"/>
                <w:lang w:val="en-US"/>
              </w:rPr>
              <w:t>unplanned hospital admission of 4 to 10 days, transfusion, repeat endoscopy, any interventional radiology procedure, or intensive care unit (ICU) a</w:t>
            </w:r>
            <w:bookmarkStart w:id="0" w:name="_GoBack"/>
            <w:bookmarkEnd w:id="0"/>
            <w:r w:rsidRPr="00BC2F62">
              <w:rPr>
                <w:rFonts w:asciiTheme="minorHAnsi" w:hAnsiTheme="minorHAnsi"/>
                <w:sz w:val="22"/>
                <w:szCs w:val="22"/>
                <w:lang w:val="en-US"/>
              </w:rPr>
              <w:t>dmission for 1 night</w:t>
            </w:r>
          </w:p>
        </w:tc>
      </w:tr>
      <w:tr w:rsidR="00D5667C" w:rsidRPr="006E7F87" w:rsidTr="00AB2042">
        <w:tc>
          <w:tcPr>
            <w:tcW w:w="2802" w:type="dxa"/>
          </w:tcPr>
          <w:p w:rsidR="00D5667C" w:rsidRPr="00BC2F62" w:rsidRDefault="00D5667C" w:rsidP="00D9469B">
            <w:pPr>
              <w:spacing w:line="480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C2F62">
              <w:rPr>
                <w:rFonts w:asciiTheme="minorHAnsi" w:hAnsiTheme="minorHAnsi"/>
                <w:sz w:val="22"/>
                <w:szCs w:val="22"/>
                <w:lang w:val="en-US"/>
              </w:rPr>
              <w:t>Severe</w:t>
            </w:r>
          </w:p>
        </w:tc>
        <w:tc>
          <w:tcPr>
            <w:tcW w:w="6260" w:type="dxa"/>
          </w:tcPr>
          <w:p w:rsidR="00D5667C" w:rsidRPr="00BC2F62" w:rsidRDefault="00D5667C" w:rsidP="00D9469B">
            <w:pPr>
              <w:spacing w:line="480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C2F62">
              <w:rPr>
                <w:rFonts w:asciiTheme="minorHAnsi" w:hAnsiTheme="minorHAnsi"/>
                <w:sz w:val="22"/>
                <w:szCs w:val="22"/>
                <w:lang w:val="en-US"/>
              </w:rPr>
              <w:t>admission to the ICU for more than 1 night, unplanned admission for more than 10 nights, surgery, or permanent disability</w:t>
            </w:r>
          </w:p>
        </w:tc>
      </w:tr>
      <w:tr w:rsidR="00BB69A3" w:rsidRPr="00BC2F62" w:rsidTr="003421C6">
        <w:tc>
          <w:tcPr>
            <w:tcW w:w="9062" w:type="dxa"/>
            <w:gridSpan w:val="2"/>
          </w:tcPr>
          <w:p w:rsidR="00BB69A3" w:rsidRPr="00BC2F62" w:rsidRDefault="00BB69A3" w:rsidP="00D9469B">
            <w:pPr>
              <w:spacing w:line="480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C2F62">
              <w:rPr>
                <w:rFonts w:asciiTheme="minorHAnsi" w:hAnsiTheme="minorHAnsi"/>
                <w:b/>
                <w:sz w:val="22"/>
                <w:szCs w:val="22"/>
                <w:lang w:val="en-US"/>
              </w:rPr>
              <w:t>Cost effectiveness</w:t>
            </w:r>
          </w:p>
        </w:tc>
      </w:tr>
      <w:tr w:rsidR="00D5667C" w:rsidRPr="006E7F87" w:rsidTr="00AB2042">
        <w:tc>
          <w:tcPr>
            <w:tcW w:w="2802" w:type="dxa"/>
          </w:tcPr>
          <w:p w:rsidR="00D5667C" w:rsidRPr="00BC2F62" w:rsidRDefault="00D5667C" w:rsidP="00D9469B">
            <w:pPr>
              <w:pStyle w:val="Geenafstand"/>
              <w:spacing w:line="480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C2F62">
              <w:rPr>
                <w:rFonts w:asciiTheme="minorHAnsi" w:hAnsiTheme="minorHAnsi"/>
                <w:sz w:val="22"/>
                <w:szCs w:val="22"/>
                <w:lang w:val="en-US"/>
              </w:rPr>
              <w:t>Direct Medical Costs</w:t>
            </w:r>
          </w:p>
        </w:tc>
        <w:tc>
          <w:tcPr>
            <w:tcW w:w="6260" w:type="dxa"/>
          </w:tcPr>
          <w:p w:rsidR="00D5667C" w:rsidRPr="00BC2F62" w:rsidRDefault="00D5667C" w:rsidP="00D9469B">
            <w:pPr>
              <w:pStyle w:val="Geenafstand"/>
              <w:spacing w:line="480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C2F62">
              <w:rPr>
                <w:rFonts w:asciiTheme="minorHAnsi" w:hAnsiTheme="minorHAnsi"/>
                <w:sz w:val="22"/>
                <w:szCs w:val="22"/>
                <w:lang w:val="en-US"/>
              </w:rPr>
              <w:t>Costs that are</w:t>
            </w:r>
            <w:r w:rsidRPr="00BC2F62">
              <w:rPr>
                <w:rFonts w:asciiTheme="minorHAnsi" w:hAnsiTheme="minorHAnsi" w:cs="Calibri"/>
                <w:sz w:val="22"/>
                <w:szCs w:val="22"/>
                <w:lang w:val="en-US"/>
              </w:rPr>
              <w:t xml:space="preserve"> generated by healthcare utilization and include hospital admission, therapeutic and diagnostic procedures, medication, and visits to primary and paramedical healthcare providers.</w:t>
            </w:r>
          </w:p>
        </w:tc>
      </w:tr>
      <w:tr w:rsidR="00D5667C" w:rsidRPr="006E7F87" w:rsidTr="00AB2042">
        <w:tc>
          <w:tcPr>
            <w:tcW w:w="2802" w:type="dxa"/>
          </w:tcPr>
          <w:p w:rsidR="00D5667C" w:rsidRPr="00BC2F62" w:rsidRDefault="00D5667C" w:rsidP="00D9469B">
            <w:pPr>
              <w:pStyle w:val="Geenafstand"/>
              <w:spacing w:line="480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C2F62">
              <w:rPr>
                <w:rFonts w:asciiTheme="minorHAnsi" w:hAnsiTheme="minorHAnsi" w:cs="Calibri"/>
                <w:sz w:val="22"/>
                <w:szCs w:val="22"/>
                <w:lang w:val="en-US"/>
              </w:rPr>
              <w:t>Direct non-medical costs</w:t>
            </w:r>
          </w:p>
        </w:tc>
        <w:tc>
          <w:tcPr>
            <w:tcW w:w="6260" w:type="dxa"/>
          </w:tcPr>
          <w:p w:rsidR="00D5667C" w:rsidRPr="00BC2F62" w:rsidRDefault="00D5667C" w:rsidP="00D9469B">
            <w:pPr>
              <w:pStyle w:val="Geenafstand"/>
              <w:spacing w:line="480" w:lineRule="auto"/>
              <w:rPr>
                <w:rFonts w:asciiTheme="minorHAnsi" w:hAnsiTheme="minorHAnsi"/>
                <w:b/>
                <w:bCs/>
                <w:color w:val="4F81BC"/>
                <w:sz w:val="22"/>
                <w:szCs w:val="22"/>
                <w:lang w:val="en-US"/>
              </w:rPr>
            </w:pPr>
            <w:r w:rsidRPr="00BC2F62">
              <w:rPr>
                <w:rFonts w:asciiTheme="minorHAnsi" w:hAnsiTheme="minorHAnsi"/>
                <w:sz w:val="22"/>
                <w:szCs w:val="22"/>
                <w:lang w:val="en-US"/>
              </w:rPr>
              <w:t xml:space="preserve">Costs that </w:t>
            </w:r>
            <w:r w:rsidRPr="00BC2F62">
              <w:rPr>
                <w:rFonts w:asciiTheme="minorHAnsi" w:hAnsiTheme="minorHAnsi" w:cs="Calibri"/>
                <w:sz w:val="22"/>
                <w:szCs w:val="22"/>
                <w:lang w:val="en-US"/>
              </w:rPr>
              <w:t xml:space="preserve">reflect utilization of non-healthcare resources generated by the disease, e.g. travel to and from health care providers, private household assistance, over-the-counter </w:t>
            </w:r>
            <w:r w:rsidRPr="00BC2F62">
              <w:rPr>
                <w:rFonts w:asciiTheme="minorHAnsi" w:hAnsiTheme="minorHAnsi"/>
                <w:sz w:val="22"/>
                <w:szCs w:val="22"/>
                <w:lang w:val="en-US"/>
              </w:rPr>
              <w:t>medication, etc.</w:t>
            </w:r>
          </w:p>
        </w:tc>
      </w:tr>
      <w:tr w:rsidR="00D5667C" w:rsidRPr="006E7F87" w:rsidTr="00AB2042">
        <w:tc>
          <w:tcPr>
            <w:tcW w:w="2802" w:type="dxa"/>
          </w:tcPr>
          <w:p w:rsidR="00D5667C" w:rsidRPr="00BC2F62" w:rsidRDefault="00D5667C" w:rsidP="00D9469B">
            <w:pPr>
              <w:pStyle w:val="Geenafstand"/>
              <w:spacing w:line="480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C2F62">
              <w:rPr>
                <w:rFonts w:asciiTheme="minorHAnsi" w:hAnsiTheme="minorHAnsi"/>
                <w:sz w:val="22"/>
                <w:szCs w:val="22"/>
                <w:lang w:val="en-US"/>
              </w:rPr>
              <w:t>Indirect Costs</w:t>
            </w:r>
          </w:p>
        </w:tc>
        <w:tc>
          <w:tcPr>
            <w:tcW w:w="6260" w:type="dxa"/>
          </w:tcPr>
          <w:p w:rsidR="00D5667C" w:rsidRPr="00BC2F62" w:rsidRDefault="00D5667C" w:rsidP="00D9469B">
            <w:pPr>
              <w:pStyle w:val="Geenafstand"/>
              <w:spacing w:line="480" w:lineRule="auto"/>
              <w:rPr>
                <w:rFonts w:asciiTheme="minorHAnsi" w:hAnsiTheme="minorHAnsi"/>
                <w:sz w:val="22"/>
                <w:szCs w:val="22"/>
                <w:lang w:val="en-US"/>
              </w:rPr>
            </w:pPr>
            <w:r w:rsidRPr="00BC2F62">
              <w:rPr>
                <w:rFonts w:asciiTheme="minorHAnsi" w:hAnsiTheme="minorHAnsi"/>
                <w:sz w:val="22"/>
                <w:szCs w:val="22"/>
                <w:lang w:val="en-US"/>
              </w:rPr>
              <w:t>Costs that are associated with loss of productivity due to impaired ability to work.</w:t>
            </w:r>
          </w:p>
        </w:tc>
      </w:tr>
    </w:tbl>
    <w:p w:rsidR="00D5667C" w:rsidRPr="00D17E96" w:rsidRDefault="00D5667C" w:rsidP="00D5667C">
      <w:pPr>
        <w:spacing w:line="480" w:lineRule="auto"/>
        <w:rPr>
          <w:i/>
          <w:lang w:val="en-US"/>
        </w:rPr>
      </w:pPr>
      <w:r w:rsidRPr="00BC2F62">
        <w:rPr>
          <w:i/>
          <w:lang w:val="en-US"/>
        </w:rPr>
        <w:t>*Severity of DB was defined according to the ASGE working party document for adverse events in colonoscopy.</w:t>
      </w:r>
      <w:r w:rsidRPr="00BC2F62">
        <w:rPr>
          <w:i/>
        </w:rPr>
        <w:fldChar w:fldCharType="begin">
          <w:fldData xml:space="preserve">PEVuZE5vdGU+PENpdGU+PEF1dGhvcj5QZWxsaXNlPC9BdXRob3I+PFllYXI+MjAxNjwvWWVhcj48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</w:fldData>
        </w:fldChar>
      </w:r>
      <w:r w:rsidRPr="00526547">
        <w:rPr>
          <w:i/>
          <w:lang w:val="en-US"/>
        </w:rPr>
        <w:instrText xml:space="preserve"> ADDIN EN.CITE </w:instrText>
      </w:r>
      <w:r>
        <w:rPr>
          <w:i/>
        </w:rPr>
        <w:fldChar w:fldCharType="begin">
          <w:fldData xml:space="preserve">PEVuZE5vdGU+PENpdGU+PEF1dGhvcj5QZWxsaXNlPC9BdXRob3I+PFllYXI+MjAxNjwvWWVhcj48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</w:fldData>
        </w:fldChar>
      </w:r>
      <w:r w:rsidRPr="00526547">
        <w:rPr>
          <w:i/>
          <w:lang w:val="en-US"/>
        </w:rPr>
        <w:instrText xml:space="preserve"> ADDIN EN.CITE.DATA </w:instrText>
      </w:r>
      <w:r>
        <w:rPr>
          <w:i/>
        </w:rPr>
      </w:r>
      <w:r>
        <w:rPr>
          <w:i/>
        </w:rPr>
        <w:fldChar w:fldCharType="end"/>
      </w:r>
      <w:r w:rsidRPr="00BC2F62">
        <w:rPr>
          <w:i/>
        </w:rPr>
      </w:r>
      <w:r w:rsidRPr="00BC2F62">
        <w:rPr>
          <w:i/>
        </w:rPr>
        <w:fldChar w:fldCharType="separate"/>
      </w:r>
      <w:r w:rsidRPr="00047D4E">
        <w:rPr>
          <w:i/>
          <w:noProof/>
          <w:vertAlign w:val="superscript"/>
          <w:lang w:val="en-US"/>
        </w:rPr>
        <w:t>14</w:t>
      </w:r>
      <w:r w:rsidRPr="00BC2F62">
        <w:rPr>
          <w:i/>
        </w:rPr>
        <w:fldChar w:fldCharType="end"/>
      </w:r>
      <w:r w:rsidRPr="00BC2F62">
        <w:rPr>
          <w:i/>
          <w:lang w:val="en-US"/>
        </w:rPr>
        <w:t xml:space="preserve"> </w:t>
      </w:r>
    </w:p>
    <w:p w:rsidR="005818FD" w:rsidRPr="00D5667C" w:rsidRDefault="005818FD" w:rsidP="00D5667C"/>
    <w:sectPr w:rsidR="005818FD" w:rsidRPr="00D5667C" w:rsidSect="005818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F55CA1"/>
    <w:multiLevelType w:val="hybridMultilevel"/>
    <w:tmpl w:val="AB0EEC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B5589"/>
    <w:multiLevelType w:val="hybridMultilevel"/>
    <w:tmpl w:val="45FAF5F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9B7257"/>
    <w:multiLevelType w:val="hybridMultilevel"/>
    <w:tmpl w:val="A42A4A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AE500D"/>
    <w:multiLevelType w:val="hybridMultilevel"/>
    <w:tmpl w:val="AA2E4A9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F64FE4"/>
    <w:multiLevelType w:val="hybridMultilevel"/>
    <w:tmpl w:val="24F06AD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452BAC"/>
    <w:rsid w:val="00094E96"/>
    <w:rsid w:val="003D4670"/>
    <w:rsid w:val="00452BAC"/>
    <w:rsid w:val="005818FD"/>
    <w:rsid w:val="005C5A4E"/>
    <w:rsid w:val="00AB01CB"/>
    <w:rsid w:val="00AB2042"/>
    <w:rsid w:val="00BB69A3"/>
    <w:rsid w:val="00C81F60"/>
    <w:rsid w:val="00D24D86"/>
    <w:rsid w:val="00D5667C"/>
    <w:rsid w:val="00E02488"/>
    <w:rsid w:val="00EF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95AA08-352A-4C45-AB3D-16EB44A37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D5667C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link w:val="GeenafstandChar"/>
    <w:uiPriority w:val="1"/>
    <w:qFormat/>
    <w:rsid w:val="00452BAC"/>
    <w:pPr>
      <w:spacing w:after="0" w:line="240" w:lineRule="auto"/>
    </w:pPr>
  </w:style>
  <w:style w:type="character" w:customStyle="1" w:styleId="GeenafstandChar">
    <w:name w:val="Geen afstand Char"/>
    <w:basedOn w:val="Standaardalinea-lettertype"/>
    <w:link w:val="Geenafstand"/>
    <w:uiPriority w:val="1"/>
    <w:rsid w:val="00452BAC"/>
  </w:style>
  <w:style w:type="table" w:styleId="Tabelraster">
    <w:name w:val="Table Grid"/>
    <w:basedOn w:val="Standaardtabel"/>
    <w:uiPriority w:val="59"/>
    <w:rsid w:val="00D5667C"/>
    <w:pPr>
      <w:tabs>
        <w:tab w:val="left" w:pos="284"/>
        <w:tab w:val="left" w:pos="1701"/>
      </w:tabs>
      <w:spacing w:after="0" w:line="320" w:lineRule="exac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182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RaboudUMC</Company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Ayla Turan</dc:creator>
  <cp:keywords/>
  <dc:description/>
  <cp:lastModifiedBy>Ayla Turan</cp:lastModifiedBy>
  <cp:revision>4</cp:revision>
  <dcterms:created xsi:type="dcterms:W3CDTF">2020-07-08T07:31:00Z</dcterms:created>
  <dcterms:modified xsi:type="dcterms:W3CDTF">2020-07-08T07:32:00Z</dcterms:modified>
</cp:coreProperties>
</file>