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6EC839" w14:textId="77777777" w:rsidR="00C4685E" w:rsidRPr="00C4685E" w:rsidRDefault="00C4685E" w:rsidP="00C4685E">
      <w:pPr>
        <w:spacing w:after="0" w:line="360" w:lineRule="auto"/>
        <w:rPr>
          <w:b/>
          <w:lang w:val="en-US"/>
        </w:rPr>
      </w:pPr>
      <w:r w:rsidRPr="00C4685E">
        <w:rPr>
          <w:b/>
          <w:lang w:val="en-US"/>
        </w:rPr>
        <w:t>PRECIS-2 scores for trial domains</w:t>
      </w:r>
    </w:p>
    <w:tbl>
      <w:tblPr>
        <w:tblStyle w:val="TableGrid"/>
        <w:tblW w:w="0" w:type="auto"/>
        <w:tblLook w:val="04A0" w:firstRow="1" w:lastRow="0" w:firstColumn="1" w:lastColumn="0" w:noHBand="0" w:noVBand="1"/>
      </w:tblPr>
      <w:tblGrid>
        <w:gridCol w:w="421"/>
        <w:gridCol w:w="2125"/>
        <w:gridCol w:w="713"/>
        <w:gridCol w:w="5757"/>
      </w:tblGrid>
      <w:tr w:rsidR="00C4685E" w14:paraId="48CF48B6" w14:textId="77777777" w:rsidTr="00C4685E">
        <w:tc>
          <w:tcPr>
            <w:tcW w:w="421" w:type="dxa"/>
            <w:vAlign w:val="center"/>
          </w:tcPr>
          <w:p w14:paraId="2703E789" w14:textId="77777777" w:rsidR="00C4685E" w:rsidRDefault="00C4685E" w:rsidP="00C4685E">
            <w:pPr>
              <w:spacing w:line="360" w:lineRule="auto"/>
              <w:rPr>
                <w:lang w:val="en-US"/>
              </w:rPr>
            </w:pPr>
          </w:p>
        </w:tc>
        <w:tc>
          <w:tcPr>
            <w:tcW w:w="2126" w:type="dxa"/>
            <w:vAlign w:val="center"/>
          </w:tcPr>
          <w:p w14:paraId="5BD6286B" w14:textId="77777777" w:rsidR="00C4685E" w:rsidRDefault="00C4685E" w:rsidP="00C4685E">
            <w:pPr>
              <w:spacing w:line="360" w:lineRule="auto"/>
              <w:rPr>
                <w:lang w:val="en-US"/>
              </w:rPr>
            </w:pPr>
            <w:r>
              <w:rPr>
                <w:lang w:val="en-US"/>
              </w:rPr>
              <w:t>Domain</w:t>
            </w:r>
          </w:p>
        </w:tc>
        <w:tc>
          <w:tcPr>
            <w:tcW w:w="709" w:type="dxa"/>
            <w:vAlign w:val="center"/>
          </w:tcPr>
          <w:p w14:paraId="41D96CCF" w14:textId="77777777" w:rsidR="00C4685E" w:rsidRDefault="00C4685E" w:rsidP="00C4685E">
            <w:pPr>
              <w:spacing w:line="360" w:lineRule="auto"/>
              <w:jc w:val="center"/>
              <w:rPr>
                <w:lang w:val="en-US"/>
              </w:rPr>
            </w:pPr>
            <w:r>
              <w:rPr>
                <w:lang w:val="en-US"/>
              </w:rPr>
              <w:t>Score</w:t>
            </w:r>
          </w:p>
        </w:tc>
        <w:tc>
          <w:tcPr>
            <w:tcW w:w="5760" w:type="dxa"/>
            <w:vAlign w:val="center"/>
          </w:tcPr>
          <w:p w14:paraId="4D30162B" w14:textId="77777777" w:rsidR="00C4685E" w:rsidRDefault="00C4685E" w:rsidP="00C4685E">
            <w:pPr>
              <w:spacing w:line="360" w:lineRule="auto"/>
              <w:rPr>
                <w:lang w:val="en-US"/>
              </w:rPr>
            </w:pPr>
            <w:r>
              <w:rPr>
                <w:lang w:val="en-US"/>
              </w:rPr>
              <w:t>Rationale</w:t>
            </w:r>
          </w:p>
        </w:tc>
      </w:tr>
      <w:tr w:rsidR="00C4685E" w14:paraId="0F6B0230" w14:textId="77777777" w:rsidTr="00C4685E">
        <w:tc>
          <w:tcPr>
            <w:tcW w:w="421" w:type="dxa"/>
            <w:vAlign w:val="center"/>
          </w:tcPr>
          <w:p w14:paraId="532546D5" w14:textId="77777777" w:rsidR="00C4685E" w:rsidRDefault="00C4685E" w:rsidP="00C4685E">
            <w:pPr>
              <w:spacing w:line="360" w:lineRule="auto"/>
              <w:rPr>
                <w:lang w:val="en-US"/>
              </w:rPr>
            </w:pPr>
            <w:r>
              <w:rPr>
                <w:lang w:val="en-US"/>
              </w:rPr>
              <w:t>1</w:t>
            </w:r>
          </w:p>
        </w:tc>
        <w:tc>
          <w:tcPr>
            <w:tcW w:w="2126" w:type="dxa"/>
            <w:vAlign w:val="center"/>
          </w:tcPr>
          <w:p w14:paraId="581B359D" w14:textId="77777777" w:rsidR="00C4685E" w:rsidRDefault="00C4685E" w:rsidP="00C4685E">
            <w:pPr>
              <w:spacing w:line="360" w:lineRule="auto"/>
              <w:rPr>
                <w:lang w:val="en-US"/>
              </w:rPr>
            </w:pPr>
            <w:r>
              <w:rPr>
                <w:lang w:val="en-US"/>
              </w:rPr>
              <w:t>Eligibility criteria</w:t>
            </w:r>
          </w:p>
        </w:tc>
        <w:tc>
          <w:tcPr>
            <w:tcW w:w="709" w:type="dxa"/>
            <w:vAlign w:val="center"/>
          </w:tcPr>
          <w:p w14:paraId="26E4B8E1" w14:textId="77777777" w:rsidR="00C4685E" w:rsidRDefault="00C4685E" w:rsidP="00C4685E">
            <w:pPr>
              <w:spacing w:line="360" w:lineRule="auto"/>
              <w:jc w:val="center"/>
              <w:rPr>
                <w:lang w:val="en-US"/>
              </w:rPr>
            </w:pPr>
            <w:r>
              <w:rPr>
                <w:lang w:val="en-US"/>
              </w:rPr>
              <w:t>5</w:t>
            </w:r>
          </w:p>
        </w:tc>
        <w:tc>
          <w:tcPr>
            <w:tcW w:w="5760" w:type="dxa"/>
            <w:vAlign w:val="center"/>
          </w:tcPr>
          <w:p w14:paraId="2F955858" w14:textId="13000F66" w:rsidR="00C4685E" w:rsidRDefault="00C4685E" w:rsidP="00C4685E">
            <w:pPr>
              <w:spacing w:line="360" w:lineRule="auto"/>
              <w:rPr>
                <w:lang w:val="en-US"/>
              </w:rPr>
            </w:pPr>
            <w:r>
              <w:rPr>
                <w:lang w:val="en-US"/>
              </w:rPr>
              <w:t xml:space="preserve">The interventions are endorsed by the </w:t>
            </w:r>
            <w:r w:rsidR="00AB29D1" w:rsidRPr="00C5486C">
              <w:rPr>
                <w:highlight w:val="yellow"/>
                <w:lang w:val="en-US"/>
              </w:rPr>
              <w:t>national TB program</w:t>
            </w:r>
            <w:r w:rsidR="00AB29D1">
              <w:rPr>
                <w:lang w:val="en-US"/>
              </w:rPr>
              <w:t xml:space="preserve"> in Cambodia</w:t>
            </w:r>
            <w:r>
              <w:rPr>
                <w:lang w:val="en-US"/>
              </w:rPr>
              <w:t xml:space="preserve"> and have been widely implemented in the country. </w:t>
            </w:r>
            <w:r w:rsidR="00C5486C" w:rsidRPr="00C5486C">
              <w:rPr>
                <w:highlight w:val="yellow"/>
                <w:lang w:val="en-US"/>
              </w:rPr>
              <w:t>The eligibility criteria in the trial — presumptive TB exhibiting symptoms of pulmonary TB, extra-pulmonary TB, and other general TB symptoms (see protocol for details) — are the same as they currently are in the TB case finding interventions outside the research setting</w:t>
            </w:r>
            <w:r w:rsidR="00C5486C" w:rsidRPr="00C5486C">
              <w:rPr>
                <w:highlight w:val="yellow"/>
                <w:lang w:val="en-US"/>
              </w:rPr>
              <w:t>.</w:t>
            </w:r>
          </w:p>
        </w:tc>
      </w:tr>
      <w:tr w:rsidR="00C4685E" w14:paraId="6C74D41E" w14:textId="77777777" w:rsidTr="00C4685E">
        <w:tc>
          <w:tcPr>
            <w:tcW w:w="421" w:type="dxa"/>
            <w:vAlign w:val="center"/>
          </w:tcPr>
          <w:p w14:paraId="173F933A" w14:textId="77777777" w:rsidR="00C4685E" w:rsidRDefault="00C4685E" w:rsidP="00C4685E">
            <w:pPr>
              <w:spacing w:line="360" w:lineRule="auto"/>
              <w:rPr>
                <w:lang w:val="en-US"/>
              </w:rPr>
            </w:pPr>
            <w:r>
              <w:rPr>
                <w:lang w:val="en-US"/>
              </w:rPr>
              <w:t>2</w:t>
            </w:r>
          </w:p>
        </w:tc>
        <w:tc>
          <w:tcPr>
            <w:tcW w:w="2126" w:type="dxa"/>
            <w:vAlign w:val="center"/>
          </w:tcPr>
          <w:p w14:paraId="7CFFDCDA" w14:textId="77777777" w:rsidR="00C4685E" w:rsidRDefault="00C4685E" w:rsidP="00C4685E">
            <w:pPr>
              <w:spacing w:line="360" w:lineRule="auto"/>
              <w:rPr>
                <w:lang w:val="en-US"/>
              </w:rPr>
            </w:pPr>
            <w:r>
              <w:rPr>
                <w:lang w:val="en-US"/>
              </w:rPr>
              <w:t>Recruitment path</w:t>
            </w:r>
          </w:p>
        </w:tc>
        <w:tc>
          <w:tcPr>
            <w:tcW w:w="709" w:type="dxa"/>
            <w:vAlign w:val="center"/>
          </w:tcPr>
          <w:p w14:paraId="7EC88DA7" w14:textId="77777777" w:rsidR="00C4685E" w:rsidRDefault="00C4685E" w:rsidP="00C4685E">
            <w:pPr>
              <w:spacing w:line="360" w:lineRule="auto"/>
              <w:jc w:val="center"/>
              <w:rPr>
                <w:lang w:val="en-US"/>
              </w:rPr>
            </w:pPr>
            <w:r>
              <w:rPr>
                <w:lang w:val="en-US"/>
              </w:rPr>
              <w:t>5</w:t>
            </w:r>
          </w:p>
        </w:tc>
        <w:tc>
          <w:tcPr>
            <w:tcW w:w="5760" w:type="dxa"/>
            <w:vAlign w:val="center"/>
          </w:tcPr>
          <w:p w14:paraId="6EEF469C" w14:textId="19400D06" w:rsidR="00C4685E" w:rsidRPr="00C5486C" w:rsidRDefault="00C5486C" w:rsidP="00C4685E">
            <w:pPr>
              <w:spacing w:line="360" w:lineRule="auto"/>
              <w:rPr>
                <w:highlight w:val="yellow"/>
                <w:lang w:val="en-US"/>
              </w:rPr>
            </w:pPr>
            <w:r w:rsidRPr="00C5486C">
              <w:rPr>
                <w:highlight w:val="yellow"/>
                <w:lang w:val="en-US"/>
              </w:rPr>
              <w:t>Recruitment will be conducted at the health centers — passive case finding — or during the 3 proposed TB active case finding events — active case finding using the seed-and-recruit model, active case finding targeting household and neighborhood contacts, and active case finding targeting the older population (people aged above 55) using mobile screening units.</w:t>
            </w:r>
          </w:p>
        </w:tc>
      </w:tr>
      <w:tr w:rsidR="00C4685E" w14:paraId="5F8F6D67" w14:textId="77777777" w:rsidTr="00C4685E">
        <w:tc>
          <w:tcPr>
            <w:tcW w:w="421" w:type="dxa"/>
            <w:vAlign w:val="center"/>
          </w:tcPr>
          <w:p w14:paraId="58FA7011" w14:textId="77777777" w:rsidR="00C4685E" w:rsidRDefault="00C4685E" w:rsidP="00C4685E">
            <w:pPr>
              <w:spacing w:line="360" w:lineRule="auto"/>
              <w:rPr>
                <w:lang w:val="en-US"/>
              </w:rPr>
            </w:pPr>
            <w:r>
              <w:rPr>
                <w:lang w:val="en-US"/>
              </w:rPr>
              <w:t>3</w:t>
            </w:r>
          </w:p>
        </w:tc>
        <w:tc>
          <w:tcPr>
            <w:tcW w:w="2126" w:type="dxa"/>
            <w:vAlign w:val="center"/>
          </w:tcPr>
          <w:p w14:paraId="1AAA2F0B" w14:textId="77777777" w:rsidR="00C4685E" w:rsidRDefault="00C4685E" w:rsidP="00C4685E">
            <w:pPr>
              <w:spacing w:line="360" w:lineRule="auto"/>
              <w:rPr>
                <w:lang w:val="en-US"/>
              </w:rPr>
            </w:pPr>
            <w:r>
              <w:rPr>
                <w:lang w:val="en-US"/>
              </w:rPr>
              <w:t>Setting</w:t>
            </w:r>
          </w:p>
        </w:tc>
        <w:tc>
          <w:tcPr>
            <w:tcW w:w="709" w:type="dxa"/>
            <w:vAlign w:val="center"/>
          </w:tcPr>
          <w:p w14:paraId="0DDB7DEF" w14:textId="77777777" w:rsidR="00C4685E" w:rsidRDefault="00C4685E" w:rsidP="00C4685E">
            <w:pPr>
              <w:spacing w:line="360" w:lineRule="auto"/>
              <w:jc w:val="center"/>
              <w:rPr>
                <w:lang w:val="en-US"/>
              </w:rPr>
            </w:pPr>
            <w:r>
              <w:rPr>
                <w:lang w:val="en-US"/>
              </w:rPr>
              <w:t>5</w:t>
            </w:r>
          </w:p>
        </w:tc>
        <w:tc>
          <w:tcPr>
            <w:tcW w:w="5760" w:type="dxa"/>
            <w:vAlign w:val="center"/>
          </w:tcPr>
          <w:p w14:paraId="387AF17F" w14:textId="6D99767B" w:rsidR="00C4685E" w:rsidRDefault="00C4685E" w:rsidP="00C4685E">
            <w:pPr>
              <w:spacing w:line="360" w:lineRule="auto"/>
              <w:rPr>
                <w:lang w:val="en-US"/>
              </w:rPr>
            </w:pPr>
            <w:r>
              <w:rPr>
                <w:lang w:val="en-US"/>
              </w:rPr>
              <w:t xml:space="preserve">The interventions are endorsed by the </w:t>
            </w:r>
            <w:r w:rsidR="00AB29D1" w:rsidRPr="00C5486C">
              <w:rPr>
                <w:highlight w:val="yellow"/>
                <w:lang w:val="en-US"/>
              </w:rPr>
              <w:t>national TB program</w:t>
            </w:r>
            <w:r w:rsidR="00AB29D1">
              <w:rPr>
                <w:lang w:val="en-US"/>
              </w:rPr>
              <w:t xml:space="preserve"> in Cambodia </w:t>
            </w:r>
            <w:r>
              <w:rPr>
                <w:lang w:val="en-US"/>
              </w:rPr>
              <w:t xml:space="preserve">and have been widely implemented in the country. This study will be conducted in settings where these interventions are normally held. </w:t>
            </w:r>
            <w:r w:rsidR="00C5486C" w:rsidRPr="00C5486C">
              <w:rPr>
                <w:highlight w:val="yellow"/>
                <w:lang w:val="en-US"/>
              </w:rPr>
              <w:t>In this trial, eight operational districts were purposively selected to include operational districts with high and low incidence to maintain as much balance as possible. The selection was also based on the number of health centers to increase comparability and generalizability of study findings across the groups.</w:t>
            </w:r>
          </w:p>
        </w:tc>
      </w:tr>
      <w:tr w:rsidR="00C4685E" w14:paraId="222DCD6B" w14:textId="77777777" w:rsidTr="00C4685E">
        <w:tc>
          <w:tcPr>
            <w:tcW w:w="421" w:type="dxa"/>
            <w:vAlign w:val="center"/>
          </w:tcPr>
          <w:p w14:paraId="1C64E136" w14:textId="77777777" w:rsidR="00C4685E" w:rsidRDefault="00C4685E" w:rsidP="00C4685E">
            <w:pPr>
              <w:spacing w:line="360" w:lineRule="auto"/>
              <w:rPr>
                <w:lang w:val="en-US"/>
              </w:rPr>
            </w:pPr>
            <w:r>
              <w:rPr>
                <w:lang w:val="en-US"/>
              </w:rPr>
              <w:t>4</w:t>
            </w:r>
          </w:p>
        </w:tc>
        <w:tc>
          <w:tcPr>
            <w:tcW w:w="2126" w:type="dxa"/>
            <w:vAlign w:val="center"/>
          </w:tcPr>
          <w:p w14:paraId="65209175" w14:textId="77777777" w:rsidR="00C4685E" w:rsidRDefault="00C4685E" w:rsidP="00C4685E">
            <w:pPr>
              <w:spacing w:line="360" w:lineRule="auto"/>
              <w:rPr>
                <w:lang w:val="en-US"/>
              </w:rPr>
            </w:pPr>
            <w:r>
              <w:rPr>
                <w:lang w:val="en-US"/>
              </w:rPr>
              <w:t>Organization intervention</w:t>
            </w:r>
          </w:p>
        </w:tc>
        <w:tc>
          <w:tcPr>
            <w:tcW w:w="709" w:type="dxa"/>
            <w:vAlign w:val="center"/>
          </w:tcPr>
          <w:p w14:paraId="2D79223A" w14:textId="77777777" w:rsidR="00C4685E" w:rsidRDefault="00C4685E" w:rsidP="00C4685E">
            <w:pPr>
              <w:spacing w:line="360" w:lineRule="auto"/>
              <w:jc w:val="center"/>
              <w:rPr>
                <w:lang w:val="en-US"/>
              </w:rPr>
            </w:pPr>
            <w:r>
              <w:rPr>
                <w:lang w:val="en-US"/>
              </w:rPr>
              <w:t>5</w:t>
            </w:r>
          </w:p>
        </w:tc>
        <w:tc>
          <w:tcPr>
            <w:tcW w:w="5760" w:type="dxa"/>
            <w:vAlign w:val="center"/>
          </w:tcPr>
          <w:p w14:paraId="1B22D40E" w14:textId="77777777" w:rsidR="00C4685E" w:rsidRDefault="00C4685E" w:rsidP="00C4685E">
            <w:pPr>
              <w:spacing w:line="360" w:lineRule="auto"/>
              <w:rPr>
                <w:lang w:val="en-US"/>
              </w:rPr>
            </w:pPr>
            <w:r>
              <w:rPr>
                <w:lang w:val="en-US"/>
              </w:rPr>
              <w:t xml:space="preserve">Identical organization that carry out these interventions outside the research setting. </w:t>
            </w:r>
          </w:p>
        </w:tc>
      </w:tr>
      <w:tr w:rsidR="00C4685E" w14:paraId="1808D040" w14:textId="77777777" w:rsidTr="00C4685E">
        <w:tc>
          <w:tcPr>
            <w:tcW w:w="421" w:type="dxa"/>
            <w:vAlign w:val="center"/>
          </w:tcPr>
          <w:p w14:paraId="522E3B6A" w14:textId="77777777" w:rsidR="00C4685E" w:rsidRDefault="00C4685E" w:rsidP="00C4685E">
            <w:pPr>
              <w:spacing w:line="360" w:lineRule="auto"/>
              <w:rPr>
                <w:lang w:val="en-US"/>
              </w:rPr>
            </w:pPr>
            <w:r>
              <w:rPr>
                <w:lang w:val="en-US"/>
              </w:rPr>
              <w:t>5</w:t>
            </w:r>
          </w:p>
        </w:tc>
        <w:tc>
          <w:tcPr>
            <w:tcW w:w="2126" w:type="dxa"/>
            <w:vAlign w:val="center"/>
          </w:tcPr>
          <w:p w14:paraId="52AA3E87" w14:textId="77777777" w:rsidR="00C4685E" w:rsidRDefault="00C4685E" w:rsidP="00C4685E">
            <w:pPr>
              <w:spacing w:line="360" w:lineRule="auto"/>
              <w:rPr>
                <w:lang w:val="en-US"/>
              </w:rPr>
            </w:pPr>
            <w:r>
              <w:rPr>
                <w:lang w:val="en-US"/>
              </w:rPr>
              <w:t>Flex of experimental intervention – delivery</w:t>
            </w:r>
          </w:p>
        </w:tc>
        <w:tc>
          <w:tcPr>
            <w:tcW w:w="709" w:type="dxa"/>
            <w:vAlign w:val="center"/>
          </w:tcPr>
          <w:p w14:paraId="682DA5E5" w14:textId="77777777" w:rsidR="00C4685E" w:rsidRDefault="00C4685E" w:rsidP="00C4685E">
            <w:pPr>
              <w:spacing w:line="360" w:lineRule="auto"/>
              <w:jc w:val="center"/>
              <w:rPr>
                <w:lang w:val="en-US"/>
              </w:rPr>
            </w:pPr>
            <w:r>
              <w:rPr>
                <w:lang w:val="en-US"/>
              </w:rPr>
              <w:t>5</w:t>
            </w:r>
          </w:p>
        </w:tc>
        <w:tc>
          <w:tcPr>
            <w:tcW w:w="5760" w:type="dxa"/>
            <w:vAlign w:val="center"/>
          </w:tcPr>
          <w:p w14:paraId="3A422EC3" w14:textId="77777777" w:rsidR="00C4685E" w:rsidRDefault="00C4685E" w:rsidP="00C4685E">
            <w:pPr>
              <w:spacing w:line="360" w:lineRule="auto"/>
              <w:rPr>
                <w:lang w:val="en-US"/>
              </w:rPr>
            </w:pPr>
            <w:r>
              <w:rPr>
                <w:lang w:val="en-US"/>
              </w:rPr>
              <w:t xml:space="preserve">Identical flexibility should the interventions are carried out outside the research setting. </w:t>
            </w:r>
          </w:p>
        </w:tc>
      </w:tr>
      <w:tr w:rsidR="00C4685E" w14:paraId="3579EBA4" w14:textId="77777777" w:rsidTr="00C4685E">
        <w:tc>
          <w:tcPr>
            <w:tcW w:w="421" w:type="dxa"/>
            <w:vAlign w:val="center"/>
          </w:tcPr>
          <w:p w14:paraId="2529DFD3" w14:textId="77777777" w:rsidR="00C4685E" w:rsidRDefault="00C4685E" w:rsidP="00C4685E">
            <w:pPr>
              <w:spacing w:line="360" w:lineRule="auto"/>
              <w:rPr>
                <w:lang w:val="en-US"/>
              </w:rPr>
            </w:pPr>
            <w:r>
              <w:rPr>
                <w:lang w:val="en-US"/>
              </w:rPr>
              <w:t>6</w:t>
            </w:r>
          </w:p>
        </w:tc>
        <w:tc>
          <w:tcPr>
            <w:tcW w:w="2126" w:type="dxa"/>
            <w:vAlign w:val="center"/>
          </w:tcPr>
          <w:p w14:paraId="527C5A72" w14:textId="77777777" w:rsidR="00C4685E" w:rsidRDefault="00C4685E" w:rsidP="00C4685E">
            <w:pPr>
              <w:spacing w:line="360" w:lineRule="auto"/>
              <w:rPr>
                <w:lang w:val="en-US"/>
              </w:rPr>
            </w:pPr>
            <w:r>
              <w:rPr>
                <w:lang w:val="en-US"/>
              </w:rPr>
              <w:t>Flex of experimental intervention – adherence</w:t>
            </w:r>
          </w:p>
        </w:tc>
        <w:tc>
          <w:tcPr>
            <w:tcW w:w="709" w:type="dxa"/>
            <w:vAlign w:val="center"/>
          </w:tcPr>
          <w:p w14:paraId="07A6BB7B" w14:textId="77777777" w:rsidR="00C4685E" w:rsidRDefault="00C4685E" w:rsidP="00C4685E">
            <w:pPr>
              <w:spacing w:line="360" w:lineRule="auto"/>
              <w:jc w:val="center"/>
              <w:rPr>
                <w:lang w:val="en-US"/>
              </w:rPr>
            </w:pPr>
            <w:r>
              <w:rPr>
                <w:lang w:val="en-US"/>
              </w:rPr>
              <w:t>5</w:t>
            </w:r>
          </w:p>
        </w:tc>
        <w:tc>
          <w:tcPr>
            <w:tcW w:w="5760" w:type="dxa"/>
            <w:vAlign w:val="center"/>
          </w:tcPr>
          <w:p w14:paraId="22731F06" w14:textId="77777777" w:rsidR="00C4685E" w:rsidRDefault="00C4685E" w:rsidP="00C4685E">
            <w:pPr>
              <w:spacing w:line="360" w:lineRule="auto"/>
              <w:rPr>
                <w:lang w:val="en-US"/>
              </w:rPr>
            </w:pPr>
            <w:r>
              <w:rPr>
                <w:lang w:val="en-US"/>
              </w:rPr>
              <w:t>Identical flexibility should the interventions are carried out outside the research setting.</w:t>
            </w:r>
          </w:p>
        </w:tc>
      </w:tr>
      <w:tr w:rsidR="00C4685E" w14:paraId="0F4CE1D4" w14:textId="77777777" w:rsidTr="00C4685E">
        <w:tc>
          <w:tcPr>
            <w:tcW w:w="421" w:type="dxa"/>
            <w:vAlign w:val="center"/>
          </w:tcPr>
          <w:p w14:paraId="2151D0D7" w14:textId="77777777" w:rsidR="00C4685E" w:rsidRDefault="00C4685E" w:rsidP="00C4685E">
            <w:pPr>
              <w:spacing w:line="360" w:lineRule="auto"/>
              <w:rPr>
                <w:lang w:val="en-US"/>
              </w:rPr>
            </w:pPr>
            <w:r>
              <w:rPr>
                <w:lang w:val="en-US"/>
              </w:rPr>
              <w:lastRenderedPageBreak/>
              <w:t>7</w:t>
            </w:r>
          </w:p>
        </w:tc>
        <w:tc>
          <w:tcPr>
            <w:tcW w:w="2126" w:type="dxa"/>
            <w:vAlign w:val="center"/>
          </w:tcPr>
          <w:p w14:paraId="5AC58EE9" w14:textId="77777777" w:rsidR="00C4685E" w:rsidRDefault="00C4685E" w:rsidP="00C4685E">
            <w:pPr>
              <w:spacing w:line="360" w:lineRule="auto"/>
              <w:rPr>
                <w:lang w:val="en-US"/>
              </w:rPr>
            </w:pPr>
            <w:r>
              <w:rPr>
                <w:lang w:val="en-US"/>
              </w:rPr>
              <w:t>Follow-up</w:t>
            </w:r>
          </w:p>
        </w:tc>
        <w:tc>
          <w:tcPr>
            <w:tcW w:w="709" w:type="dxa"/>
            <w:vAlign w:val="center"/>
          </w:tcPr>
          <w:p w14:paraId="6808736F" w14:textId="77777777" w:rsidR="00C4685E" w:rsidRDefault="00C4685E" w:rsidP="00C4685E">
            <w:pPr>
              <w:spacing w:line="360" w:lineRule="auto"/>
              <w:jc w:val="center"/>
              <w:rPr>
                <w:lang w:val="en-US"/>
              </w:rPr>
            </w:pPr>
            <w:r>
              <w:rPr>
                <w:lang w:val="en-US"/>
              </w:rPr>
              <w:t>5</w:t>
            </w:r>
          </w:p>
        </w:tc>
        <w:tc>
          <w:tcPr>
            <w:tcW w:w="5760" w:type="dxa"/>
            <w:vAlign w:val="center"/>
          </w:tcPr>
          <w:p w14:paraId="27414DA8" w14:textId="0CB17CDB" w:rsidR="00C4685E" w:rsidRDefault="00C4685E" w:rsidP="00C4685E">
            <w:pPr>
              <w:spacing w:line="360" w:lineRule="auto"/>
              <w:rPr>
                <w:lang w:val="en-US"/>
              </w:rPr>
            </w:pPr>
            <w:r>
              <w:rPr>
                <w:lang w:val="en-US"/>
              </w:rPr>
              <w:t xml:space="preserve">We will follow-up participants to evaluate treatment outcome which is a standard practice for all persons who initiated TB treatment in the country. </w:t>
            </w:r>
            <w:r w:rsidR="00C5486C" w:rsidRPr="00C5486C">
              <w:rPr>
                <w:highlight w:val="yellow"/>
                <w:lang w:val="en-US"/>
              </w:rPr>
              <w:t>For people with bacteriologically confirmed TB, sputum samples will be assessed at month-2, month-5, and month-6 of TB treatment. For clinicians diagnosed TB (smear-negative TB), sputum samples of the study participants will be assessed two months after treatment initiation. Other relevant clinical signs and symptoms will be monitored too. Similarly, the follow-up of people with extra-pulmonary TB is based on clinical observations, treatment adherence, and side effects of anti-TB medicines. Health providers at public health facilities will perform the evaluation of sputum samples and other clinical observations in accordance with the national TB guideline. In general, the treatment outcomes of people with pan-TB will be ascertained 6-months after treatment initiation.</w:t>
            </w:r>
            <w:bookmarkStart w:id="0" w:name="_GoBack"/>
            <w:bookmarkEnd w:id="0"/>
          </w:p>
        </w:tc>
      </w:tr>
      <w:tr w:rsidR="00C4685E" w14:paraId="33EFCD1F" w14:textId="77777777" w:rsidTr="00C4685E">
        <w:tc>
          <w:tcPr>
            <w:tcW w:w="421" w:type="dxa"/>
            <w:vAlign w:val="center"/>
          </w:tcPr>
          <w:p w14:paraId="1380338C" w14:textId="77777777" w:rsidR="00C4685E" w:rsidRDefault="00C4685E" w:rsidP="00C4685E">
            <w:pPr>
              <w:spacing w:line="360" w:lineRule="auto"/>
              <w:rPr>
                <w:lang w:val="en-US"/>
              </w:rPr>
            </w:pPr>
            <w:r>
              <w:rPr>
                <w:lang w:val="en-US"/>
              </w:rPr>
              <w:t>8</w:t>
            </w:r>
          </w:p>
        </w:tc>
        <w:tc>
          <w:tcPr>
            <w:tcW w:w="2126" w:type="dxa"/>
            <w:vAlign w:val="center"/>
          </w:tcPr>
          <w:p w14:paraId="384637CF" w14:textId="77777777" w:rsidR="00C4685E" w:rsidRDefault="00C4685E" w:rsidP="00C4685E">
            <w:pPr>
              <w:spacing w:line="360" w:lineRule="auto"/>
              <w:rPr>
                <w:lang w:val="en-US"/>
              </w:rPr>
            </w:pPr>
            <w:r>
              <w:rPr>
                <w:lang w:val="en-US"/>
              </w:rPr>
              <w:t>Outcome</w:t>
            </w:r>
          </w:p>
        </w:tc>
        <w:tc>
          <w:tcPr>
            <w:tcW w:w="709" w:type="dxa"/>
            <w:vAlign w:val="center"/>
          </w:tcPr>
          <w:p w14:paraId="78D7D1A5" w14:textId="77777777" w:rsidR="00C4685E" w:rsidRDefault="00C4685E" w:rsidP="00C4685E">
            <w:pPr>
              <w:spacing w:line="360" w:lineRule="auto"/>
              <w:jc w:val="center"/>
              <w:rPr>
                <w:lang w:val="en-US"/>
              </w:rPr>
            </w:pPr>
            <w:r>
              <w:rPr>
                <w:lang w:val="en-US"/>
              </w:rPr>
              <w:t>4</w:t>
            </w:r>
          </w:p>
        </w:tc>
        <w:tc>
          <w:tcPr>
            <w:tcW w:w="5760" w:type="dxa"/>
            <w:vAlign w:val="center"/>
          </w:tcPr>
          <w:p w14:paraId="0A9291CB" w14:textId="77777777" w:rsidR="00C4685E" w:rsidRDefault="00C4685E" w:rsidP="00C4685E">
            <w:pPr>
              <w:spacing w:line="360" w:lineRule="auto"/>
              <w:rPr>
                <w:lang w:val="en-US"/>
              </w:rPr>
            </w:pPr>
            <w:r>
              <w:rPr>
                <w:lang w:val="en-US"/>
              </w:rPr>
              <w:t xml:space="preserve">The trial primary endpoints are relevant for policy making and program planning. The relevance at an </w:t>
            </w:r>
            <w:proofErr w:type="gramStart"/>
            <w:r>
              <w:rPr>
                <w:lang w:val="en-US"/>
              </w:rPr>
              <w:t>individual-level</w:t>
            </w:r>
            <w:proofErr w:type="gramEnd"/>
            <w:r>
              <w:rPr>
                <w:lang w:val="en-US"/>
              </w:rPr>
              <w:t xml:space="preserve"> is relatively minimal. However, individuals would have benefited from early TB diagnosis and treatment. </w:t>
            </w:r>
          </w:p>
        </w:tc>
      </w:tr>
      <w:tr w:rsidR="00C4685E" w14:paraId="38DF04A7" w14:textId="77777777" w:rsidTr="00C4685E">
        <w:tc>
          <w:tcPr>
            <w:tcW w:w="421" w:type="dxa"/>
            <w:vAlign w:val="center"/>
          </w:tcPr>
          <w:p w14:paraId="119CF6D5" w14:textId="77777777" w:rsidR="00C4685E" w:rsidRDefault="00C4685E" w:rsidP="00C4685E">
            <w:pPr>
              <w:spacing w:line="360" w:lineRule="auto"/>
              <w:rPr>
                <w:lang w:val="en-US"/>
              </w:rPr>
            </w:pPr>
            <w:r>
              <w:rPr>
                <w:lang w:val="en-US"/>
              </w:rPr>
              <w:t>9</w:t>
            </w:r>
          </w:p>
        </w:tc>
        <w:tc>
          <w:tcPr>
            <w:tcW w:w="2126" w:type="dxa"/>
            <w:vAlign w:val="center"/>
          </w:tcPr>
          <w:p w14:paraId="4DB5F151" w14:textId="77777777" w:rsidR="00C4685E" w:rsidRDefault="00C4685E" w:rsidP="00C4685E">
            <w:pPr>
              <w:spacing w:line="360" w:lineRule="auto"/>
              <w:rPr>
                <w:lang w:val="en-US"/>
              </w:rPr>
            </w:pPr>
            <w:r>
              <w:rPr>
                <w:lang w:val="en-US"/>
              </w:rPr>
              <w:t xml:space="preserve">Analysis </w:t>
            </w:r>
          </w:p>
        </w:tc>
        <w:tc>
          <w:tcPr>
            <w:tcW w:w="709" w:type="dxa"/>
            <w:vAlign w:val="center"/>
          </w:tcPr>
          <w:p w14:paraId="57F78325" w14:textId="77777777" w:rsidR="00C4685E" w:rsidRDefault="00C4685E" w:rsidP="00C4685E">
            <w:pPr>
              <w:spacing w:line="360" w:lineRule="auto"/>
              <w:jc w:val="center"/>
              <w:rPr>
                <w:lang w:val="en-US"/>
              </w:rPr>
            </w:pPr>
            <w:r>
              <w:rPr>
                <w:lang w:val="en-US"/>
              </w:rPr>
              <w:t>5</w:t>
            </w:r>
          </w:p>
        </w:tc>
        <w:tc>
          <w:tcPr>
            <w:tcW w:w="5760" w:type="dxa"/>
            <w:vAlign w:val="center"/>
          </w:tcPr>
          <w:p w14:paraId="4D6F10A9" w14:textId="77777777" w:rsidR="00C4685E" w:rsidRDefault="00C4685E" w:rsidP="00C4685E">
            <w:pPr>
              <w:spacing w:line="360" w:lineRule="auto"/>
              <w:rPr>
                <w:lang w:val="en-US"/>
              </w:rPr>
            </w:pPr>
            <w:r>
              <w:rPr>
                <w:lang w:val="en-US"/>
              </w:rPr>
              <w:t xml:space="preserve">Intention to treat analysis. </w:t>
            </w:r>
          </w:p>
        </w:tc>
      </w:tr>
    </w:tbl>
    <w:p w14:paraId="5EC24BAA" w14:textId="77777777" w:rsidR="00C4685E" w:rsidRPr="00C4685E" w:rsidRDefault="00C4685E" w:rsidP="00C4685E">
      <w:pPr>
        <w:spacing w:after="0" w:line="360" w:lineRule="auto"/>
        <w:rPr>
          <w:lang w:val="en-US"/>
        </w:rPr>
      </w:pPr>
    </w:p>
    <w:sectPr w:rsidR="00C4685E" w:rsidRPr="00C468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G0tLQwMDUxMjAwtTRS0lEKTi0uzszPAykwrgUA8kBt6iwAAAA="/>
  </w:docVars>
  <w:rsids>
    <w:rsidRoot w:val="00C4685E"/>
    <w:rsid w:val="00536F30"/>
    <w:rsid w:val="00A73D21"/>
    <w:rsid w:val="00AB29D1"/>
    <w:rsid w:val="00C4685E"/>
    <w:rsid w:val="00C5486C"/>
    <w:rsid w:val="00D15B9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611D8"/>
  <w15:chartTrackingRefBased/>
  <w15:docId w15:val="{6BA1AE81-1031-42C8-90E7-3268CEBB7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6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6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F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Alvin Teo Kuo Jing</dc:creator>
  <cp:keywords/>
  <dc:description/>
  <cp:lastModifiedBy>Alvin Teo Kuo Jing</cp:lastModifiedBy>
  <cp:revision>5</cp:revision>
  <dcterms:created xsi:type="dcterms:W3CDTF">2020-01-22T05:56:00Z</dcterms:created>
  <dcterms:modified xsi:type="dcterms:W3CDTF">2020-01-25T08:18:00Z</dcterms:modified>
</cp:coreProperties>
</file>