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22" w:rsidRPr="00170494" w:rsidRDefault="00067B22" w:rsidP="00067B22">
      <w:pPr>
        <w:pStyle w:val="Heading3"/>
        <w:widowControl w:val="0"/>
        <w:spacing w:before="0" w:after="0" w:line="360" w:lineRule="auto"/>
        <w:rPr>
          <w:rFonts w:cs="Times New Roman"/>
        </w:rPr>
      </w:pPr>
      <w:r>
        <w:rPr>
          <w:rFonts w:cs="Times New Roman"/>
        </w:rPr>
        <w:t xml:space="preserve">Additional file </w:t>
      </w:r>
      <w:r w:rsidR="00111923">
        <w:rPr>
          <w:rFonts w:cs="Times New Roman"/>
        </w:rPr>
        <w:t>2</w:t>
      </w:r>
      <w:bookmarkStart w:id="0" w:name="_GoBack"/>
      <w:bookmarkEnd w:id="0"/>
      <w:r w:rsidRPr="00170494">
        <w:rPr>
          <w:rFonts w:cs="Times New Roman"/>
        </w:rPr>
        <w:t>: Overview of meta-analyses regarding beta-blocker therapy after myocardial infarction</w:t>
      </w:r>
    </w:p>
    <w:tbl>
      <w:tblPr>
        <w:tblStyle w:val="Listetabel3-farve3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2100"/>
        <w:gridCol w:w="2332"/>
        <w:gridCol w:w="2216"/>
        <w:gridCol w:w="2216"/>
        <w:gridCol w:w="2330"/>
      </w:tblGrid>
      <w:tr w:rsidR="00067B22" w:rsidRPr="00170494" w:rsidTr="00067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52" w:type="pct"/>
            <w:shd w:val="clear" w:color="auto" w:fill="C2D69B" w:themeFill="accent3" w:themeFillTint="99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color w:val="000000" w:themeColor="text1"/>
                <w:sz w:val="18"/>
                <w:szCs w:val="16"/>
              </w:rPr>
            </w:pPr>
            <w:r w:rsidRPr="00170494">
              <w:rPr>
                <w:rFonts w:cs="Times New Roman"/>
                <w:color w:val="000000" w:themeColor="text1"/>
                <w:sz w:val="18"/>
                <w:szCs w:val="16"/>
              </w:rPr>
              <w:t>Title, author, year</w:t>
            </w:r>
          </w:p>
        </w:tc>
        <w:tc>
          <w:tcPr>
            <w:tcW w:w="797" w:type="pct"/>
            <w:shd w:val="clear" w:color="auto" w:fill="C2D69B" w:themeFill="accent3" w:themeFillTint="99"/>
          </w:tcPr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18"/>
                <w:szCs w:val="16"/>
                <w:lang w:val="en-US"/>
              </w:rPr>
            </w:pPr>
            <w:r w:rsidRPr="00170494">
              <w:rPr>
                <w:rFonts w:cs="Times New Roman"/>
                <w:color w:val="000000" w:themeColor="text1"/>
                <w:sz w:val="18"/>
                <w:szCs w:val="16"/>
                <w:lang w:val="en-US"/>
              </w:rPr>
              <w:t>Inclusion criteria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Type of studies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Sample size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STEMI/NSTEMI/MI</w:t>
            </w:r>
          </w:p>
          <w:p w:rsidR="00067B22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 xml:space="preserve">Follow up duration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Reperfusion status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bCs w:val="0"/>
                <w:i/>
                <w:color w:val="000000" w:themeColor="text1"/>
                <w:sz w:val="16"/>
                <w:szCs w:val="16"/>
                <w:lang w:val="en-US"/>
              </w:rPr>
              <w:t>Other inclusion criteria</w:t>
            </w:r>
          </w:p>
        </w:tc>
        <w:tc>
          <w:tcPr>
            <w:tcW w:w="885" w:type="pct"/>
            <w:shd w:val="clear" w:color="auto" w:fill="C2D69B" w:themeFill="accent3" w:themeFillTint="99"/>
          </w:tcPr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18"/>
                <w:szCs w:val="16"/>
                <w:lang w:val="en-US"/>
              </w:rPr>
            </w:pPr>
            <w:r w:rsidRPr="00170494">
              <w:rPr>
                <w:rFonts w:cs="Times New Roman"/>
                <w:color w:val="000000" w:themeColor="text1"/>
                <w:sz w:val="18"/>
                <w:szCs w:val="16"/>
                <w:lang w:val="en-US"/>
              </w:rPr>
              <w:t>Characteristics of meta-analysis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 xml:space="preserve">Type and number of studies </w:t>
            </w:r>
            <w:r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included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 xml:space="preserve">Number of patients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STEMI/NSTEMI/MI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Reperfusion status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Follow up duration (mean/median, range)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Other characteristics of interest</w:t>
            </w:r>
          </w:p>
        </w:tc>
        <w:tc>
          <w:tcPr>
            <w:tcW w:w="841" w:type="pct"/>
            <w:shd w:val="clear" w:color="auto" w:fill="C2D69B" w:themeFill="accent3" w:themeFillTint="99"/>
          </w:tcPr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000000" w:themeColor="text1"/>
                <w:sz w:val="18"/>
                <w:szCs w:val="16"/>
                <w:lang w:val="en-US"/>
              </w:rPr>
            </w:pPr>
            <w:r w:rsidRPr="00170494">
              <w:rPr>
                <w:rFonts w:cs="Times New Roman"/>
                <w:color w:val="000000" w:themeColor="text1"/>
                <w:sz w:val="18"/>
                <w:szCs w:val="16"/>
                <w:lang w:val="en-US"/>
              </w:rPr>
              <w:t>Outcomes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Primary outcome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-Results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Secondary outcomes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  <w:shd w:val="clear" w:color="auto" w:fill="C2D69B" w:themeFill="accent3" w:themeFillTint="99"/>
          </w:tcPr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000000" w:themeColor="text1"/>
                <w:sz w:val="18"/>
                <w:szCs w:val="16"/>
                <w:lang w:val="en-US"/>
              </w:rPr>
            </w:pPr>
            <w:r w:rsidRPr="00170494">
              <w:rPr>
                <w:rFonts w:cs="Times New Roman"/>
                <w:color w:val="000000" w:themeColor="text1"/>
                <w:sz w:val="18"/>
                <w:szCs w:val="16"/>
                <w:lang w:val="en-US"/>
              </w:rPr>
              <w:t>Subgroup analyses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LVEF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i/>
                <w:color w:val="000000" w:themeColor="text1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Long term follow</w:t>
            </w:r>
            <w:r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up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18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color w:val="000000" w:themeColor="text1"/>
                <w:sz w:val="16"/>
                <w:szCs w:val="16"/>
                <w:lang w:val="en-US"/>
              </w:rPr>
              <w:t>Subgroup analysis of particular interest</w:t>
            </w:r>
          </w:p>
        </w:tc>
        <w:tc>
          <w:tcPr>
            <w:tcW w:w="885" w:type="pct"/>
            <w:shd w:val="clear" w:color="auto" w:fill="C2D69B" w:themeFill="accent3" w:themeFillTint="99"/>
          </w:tcPr>
          <w:p w:rsidR="00067B22" w:rsidRPr="00170494" w:rsidRDefault="00067B22" w:rsidP="00317D6A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18"/>
                <w:szCs w:val="16"/>
              </w:rPr>
            </w:pPr>
            <w:r w:rsidRPr="00170494">
              <w:rPr>
                <w:rFonts w:cs="Times New Roman"/>
                <w:color w:val="000000" w:themeColor="text1"/>
                <w:sz w:val="18"/>
                <w:szCs w:val="16"/>
              </w:rPr>
              <w:t>Conclusion</w:t>
            </w:r>
          </w:p>
        </w:tc>
      </w:tr>
      <w:tr w:rsidR="00067B22" w:rsidRPr="00613D2E" w:rsidTr="0006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Beta-blockade after myocardial infarction: </w:t>
            </w:r>
            <w:r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a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systematic review and meta regression analysis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Freemantle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1999</w:t>
            </w: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Sample size: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&gt;1 day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82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54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234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MI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No reperfusion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-Mean/Median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Range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In hospital - 3 years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Primary outcome: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All-cause mortality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23% odds of death in long term trials (95% CI 15% - 31%). 4% reduction in the odds of death in short term trials </w:t>
            </w:r>
            <w:proofErr w:type="gramStart"/>
            <w:r w:rsidRPr="00170494">
              <w:rPr>
                <w:rFonts w:cs="Times New Roman"/>
                <w:sz w:val="16"/>
                <w:szCs w:val="16"/>
                <w:lang w:val="en-US"/>
              </w:rPr>
              <w:t>( -</w:t>
            </w:r>
            <w:proofErr w:type="gramEnd"/>
            <w:r w:rsidRPr="00170494">
              <w:rPr>
                <w:rFonts w:cs="Times New Roman"/>
                <w:sz w:val="16"/>
                <w:szCs w:val="16"/>
                <w:lang w:val="en-US"/>
              </w:rPr>
              <w:t>8% - 15%).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Secondary outcomes: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-Non­fatal </w:t>
            </w:r>
            <w:proofErr w:type="spellStart"/>
            <w:r w:rsidRPr="00170494">
              <w:rPr>
                <w:rFonts w:cs="Times New Roman"/>
                <w:sz w:val="16"/>
                <w:szCs w:val="16"/>
                <w:lang w:val="en-US"/>
              </w:rPr>
              <w:t>reinfarction</w:t>
            </w:r>
            <w:proofErr w:type="spellEnd"/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-Withdrawal from treatment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No subgroup analysis for preserved LVEF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Long term follow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Long term treatment was defined as 6-48 months. Pooled odds ratio of long-term treatment was 0.77, 95% CI 0.69-0.85.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Beta-blockers are effective in long term secondary prevention after myocardial infarction.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067B22" w:rsidRPr="00613D2E" w:rsidTr="00067B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Clinical Outcomes with beta-blockers for Myocardial Infarction: A Meta-analysis of Randomized Trials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>: Bangalore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>: 2014</w:t>
            </w: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Sample size: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&gt;100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60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102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003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STEMI/NSTEMI/MI: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Reperfusion status: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-48 pre-reperfusion studies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-12 reperfusion studies (50% of patients received reperfusion (</w:t>
            </w:r>
            <w:proofErr w:type="spellStart"/>
            <w:r w:rsidRPr="00170494">
              <w:rPr>
                <w:rFonts w:cs="Times New Roman"/>
                <w:sz w:val="16"/>
                <w:szCs w:val="16"/>
                <w:lang w:val="en-US"/>
              </w:rPr>
              <w:t>trombolytics</w:t>
            </w:r>
            <w:proofErr w:type="spellEnd"/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, aspirin, statin))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Mean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10 months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Range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In-hospital - 4 years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Primary outcome: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All-cause mortality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Overall mortality incidence ratio 0.98, 95% CI 0.92-1.05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Secondary outcomes: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Cardiovascular mortality, sudden death, recurrent myocardial infarction, angina pectoris, heart failure, cardiogenic shock, stroke, and drug discontinuation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No subgroup analysis for preserved LVEF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Long </w:t>
            </w:r>
            <w:proofErr w:type="gramStart"/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term follow</w:t>
            </w:r>
            <w:proofErr w:type="gramEnd"/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Long-term efficacy (&gt;1year) were not investigated in the reperfusion era.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Subgroup analysis of particular interest: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Cardiovascular mortality, sudden death, recurrent myocardial infarction, angina pectoris, heart failure, cardiogenic shock, stroke, and drug discontinuation in acute and post-MI trials. Analysis stratified by reperfusion status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Beta-blockers have no mortality benefit but reduce recurrent MI and angina (short-term) at the expense of increase in HF, cardiogenic shock, and drug discontinuation in the reperfusion era.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067B22" w:rsidRPr="00613D2E" w:rsidTr="0006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Meta-Analysis of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lastRenderedPageBreak/>
              <w:t xml:space="preserve">Relation Between Oral 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>β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-Blocker Therapy and Outcomes in Patients with Acute Myocardial Infarction Who Underwent Percutaneous Coronary Intervention.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>: Huang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>: 2015</w:t>
            </w: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Sample size: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&gt;100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Follow up duration: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&gt;3 months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Treated with PCI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Oral beta-blocker treatment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10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 xml:space="preserve">observational studies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40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873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STEMI/NSTEMI/MI: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PCI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NA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Mean/Median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NA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-Range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1/2 - 4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Primary outcome: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All-cause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mortality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Adjusted hazard ratio for all-cause mortality 0.76, 95% CI 0.62-0.94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Secondary outcomes: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-Cardiac death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-Myocardial infarction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-Heart failure admission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All-cause mortality in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patients with preserved LVEF: relative risk 0.76, 95% CI 0.59-1.07.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Long </w:t>
            </w:r>
            <w:proofErr w:type="gramStart"/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term follow</w:t>
            </w:r>
            <w:proofErr w:type="gramEnd"/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Subgroup analysis with follow-up &lt;1 and &gt;1 year. Efficacy of beta-blocker treatment &gt;1 year after incident MI: relative risk 0.76, 95% CI 0.59-0.98.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The potential benefit of beta-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 xml:space="preserve">blockers in preventing all-cause death was not similar in all population but was restricted to those with reduced ejection fraction, with low use proportion of other secondary prevention drugs or with none ST-segment elevation myocardial infarction. The association between the use of beta-blockers and improved survival rate was significant in &lt;1-year follow-up duration. Rates of cardiac death, myocardial infarction, and heart failure readmission in patients using beta-blockers were not significantly different from those in patients without beta-blocker therapy. In conclusion, there is lack of evidence to support routine use of b-blockers in all patients with AMI who underwent PCI. </w:t>
            </w:r>
          </w:p>
        </w:tc>
      </w:tr>
      <w:tr w:rsidR="00067B22" w:rsidRPr="00613D2E" w:rsidTr="00067B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lastRenderedPageBreak/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Does Oral Beta-Blocker Therapy Improve Long-Term Survival in ST-Segment Elevation Myocardial Infarction with Preserved Systolic Function? A Meta-Analysis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Misumida</w:t>
            </w:r>
            <w:proofErr w:type="spellEnd"/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2016</w:t>
            </w: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RCT’s/observational studies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170494">
              <w:rPr>
                <w:rFonts w:cs="Times New Roman"/>
                <w:i/>
                <w:sz w:val="16"/>
                <w:szCs w:val="16"/>
              </w:rPr>
              <w:t xml:space="preserve">Sample size: </w:t>
            </w:r>
            <w:r w:rsidRPr="00170494">
              <w:rPr>
                <w:rFonts w:cs="Times New Roman"/>
                <w:sz w:val="16"/>
                <w:szCs w:val="16"/>
              </w:rPr>
              <w:t xml:space="preserve">NA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r w:rsidRPr="00170494">
              <w:rPr>
                <w:rFonts w:cs="Times New Roman"/>
                <w:i/>
                <w:sz w:val="16"/>
                <w:szCs w:val="16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</w:rPr>
              <w:t>STEMI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&gt;6 months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Treated with PCI</w:t>
            </w:r>
            <w:r w:rsidRPr="00170494">
              <w:rPr>
                <w:rFonts w:cs="Times New Roman"/>
                <w:b/>
                <w:sz w:val="16"/>
                <w:szCs w:val="16"/>
                <w:lang w:val="en-US"/>
              </w:rPr>
              <w:t xml:space="preserve">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-Preserved LVEF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-Available adjusted HR for observational studies or HR in propensity score-matched patients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7 observational studies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10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857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STEMI/NSTEMI/MI: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STEMI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Reperfusion status: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PCI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Follow up duration: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-Mean/median: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-Range: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6 months - 5.2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Primary outcome: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All-cause mortality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Combined hazard ratio for all-cause mortality 0.79, 95% CI 0.65-0.97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Primary analysis of LVEF&gt;40%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Long term follow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Primary analysis with follow up duration &gt;6 months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In patients with STEMI undergoing primary PCI, who have preserved LVEF oral beta-blocker treatment was associated with decreased all-cause mortality.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067B22" w:rsidRPr="00613D2E" w:rsidTr="0006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Meta-Analysis Comparing Metoprolol and Carvedilol on Mortality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lastRenderedPageBreak/>
              <w:t>Benefits in Patients with Acute Myocardial Infarction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>: Li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Cs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>: 2017</w:t>
            </w:r>
          </w:p>
          <w:p w:rsidR="00067B22" w:rsidRPr="00170494" w:rsidRDefault="00067B22" w:rsidP="00317D6A">
            <w:pPr>
              <w:widowControl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Sample size: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NA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Comparison of carvedilol or metoprolol with placebo or RCTs directly comparing carvedilol with metoprolol.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12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61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081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STEMI/NSTEMI/MI: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Except for 5 trials not reporting the baseline treatments,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cr/>
              <w:t>all trials adopted guideline-recommended standard therapies for MI, with only 1 trial adopting primary PCI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Follow up duration: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-Mean/median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-Range: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0,5 - 40 months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Primary outcome: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All-cause death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Carvedilol vs placebo: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Risk ratio for all-cause death was 0.73, 95% credible interval 0.47-1.10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Metoprolol vs placebo: Risk ratio 0.86, 95% credible interval 0.70-1.00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Secondary outcomes: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A composite cardiovascular events (cardiovascular death, nonfatal re-infarction, and nonfatal stroke), sudden death, cardiovascular death, re-infarction, revascularization, </w:t>
            </w:r>
            <w:proofErr w:type="spellStart"/>
            <w:r w:rsidRPr="00170494">
              <w:rPr>
                <w:rFonts w:cs="Times New Roman"/>
                <w:sz w:val="16"/>
                <w:szCs w:val="16"/>
                <w:lang w:val="en-US"/>
              </w:rPr>
              <w:t>rehospitalization</w:t>
            </w:r>
            <w:proofErr w:type="spellEnd"/>
            <w:r w:rsidRPr="00170494">
              <w:rPr>
                <w:rFonts w:cs="Times New Roman"/>
                <w:sz w:val="16"/>
                <w:szCs w:val="16"/>
                <w:lang w:val="en-US"/>
              </w:rPr>
              <w:t>, ventricular arrhythmia, drug discontinuation for all reasons except for death.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No subgroup analysis for preserved LVEF.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Long term follow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No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subgroup analysis of long-term efficacy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Other subgroup analysis of particular interest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Compared with placebo, carvedilol and metoprolol reduced composite cardiovascular events in patients with MI (risk ratio 0.63, 95% credible interval 0.41-0.85 for carvedilol; risk ratio 0.78; 95% credible interval 0.65-0.93 for metoprolol).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 xml:space="preserve">Pooled results showed that compared with placebo, carvedilol and metoprolol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 xml:space="preserve">significantly reduced composite cardiovascular events and re-infarction in patients with MI. However, neither carvedilol nor metoprolol showed significant benefits on all-cause death, cardiovascular death, revascularization, and </w:t>
            </w:r>
            <w:proofErr w:type="spellStart"/>
            <w:r w:rsidRPr="00170494">
              <w:rPr>
                <w:rFonts w:cs="Times New Roman"/>
                <w:sz w:val="16"/>
                <w:szCs w:val="16"/>
                <w:lang w:val="en-US"/>
              </w:rPr>
              <w:t>rehospitalization</w:t>
            </w:r>
            <w:proofErr w:type="spellEnd"/>
            <w:r w:rsidRPr="00170494">
              <w:rPr>
                <w:rFonts w:cs="Times New Roman"/>
                <w:sz w:val="16"/>
                <w:szCs w:val="16"/>
                <w:lang w:val="en-US"/>
              </w:rPr>
              <w:t>. Also, no obvious difference was found when comparing carvedilol and metoprolol on primary or secondary outcomes.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067B22" w:rsidRPr="00613D2E" w:rsidTr="00067B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lastRenderedPageBreak/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Effect of oral beta-blocker treatment on mortality in contemporary post-myocardial infarction patients: a systematic review and meta-analysis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Author: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 xml:space="preserve"> Dahl Aarvik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</w:rPr>
              <w:t>Year:</w:t>
            </w:r>
            <w:r w:rsidRPr="00170494">
              <w:rPr>
                <w:rFonts w:cs="Times New Roman"/>
                <w:b w:val="0"/>
                <w:sz w:val="16"/>
                <w:szCs w:val="16"/>
              </w:rPr>
              <w:t xml:space="preserve"> 2018</w:t>
            </w: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All study types and sizes</w:t>
            </w:r>
          </w:p>
          <w:p w:rsidR="00067B22" w:rsidRPr="009770DD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s-ES"/>
              </w:rPr>
            </w:pPr>
            <w:proofErr w:type="spellStart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>Sample</w:t>
            </w:r>
            <w:proofErr w:type="spellEnd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>size</w:t>
            </w:r>
            <w:proofErr w:type="spellEnd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 xml:space="preserve">: </w:t>
            </w:r>
            <w:r w:rsidRPr="009770DD">
              <w:rPr>
                <w:rFonts w:cs="Times New Roman"/>
                <w:sz w:val="16"/>
                <w:szCs w:val="16"/>
                <w:lang w:val="es-ES"/>
              </w:rPr>
              <w:t xml:space="preserve">NA </w:t>
            </w:r>
          </w:p>
          <w:p w:rsidR="00067B22" w:rsidRPr="009770DD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s-ES"/>
              </w:rPr>
            </w:pPr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 xml:space="preserve">STEMI/NSTEMI/MI: </w:t>
            </w:r>
            <w:r w:rsidRPr="009770DD">
              <w:rPr>
                <w:rFonts w:cs="Times New Roman"/>
                <w:sz w:val="16"/>
                <w:szCs w:val="16"/>
                <w:lang w:val="es-E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-None or only a minority with HF, </w:t>
            </w:r>
            <w:proofErr w:type="spellStart"/>
            <w:r w:rsidRPr="00170494">
              <w:rPr>
                <w:rFonts w:cs="Times New Roman"/>
                <w:sz w:val="16"/>
                <w:szCs w:val="16"/>
                <w:lang w:val="en-US"/>
              </w:rPr>
              <w:t>Killip</w:t>
            </w:r>
            <w:proofErr w:type="spellEnd"/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class over 3 or LVEF&lt;40%.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-Studies published after 1. January 2000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16 observational studies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164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408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STEMI/NSTEMI/MI: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Reperfusion status: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45.9% had PCI/CABG and 72.1% </w:t>
            </w:r>
            <w:r>
              <w:rPr>
                <w:rFonts w:cs="Times New Roman"/>
                <w:sz w:val="16"/>
                <w:szCs w:val="16"/>
                <w:lang w:val="en-US"/>
              </w:rPr>
              <w:t>were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treated with primary PCI for STEMI.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Follow up duration: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-Median: </w:t>
            </w:r>
            <w:r w:rsidRPr="00170494">
              <w:rPr>
                <w:rFonts w:cs="Times New Roman"/>
                <w:sz w:val="16"/>
                <w:szCs w:val="16"/>
                <w:lang w:val="en-GB"/>
              </w:rPr>
              <w:t>2.7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-Range: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0.5 - 5.2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Primary outcome: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All-cause mortality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Rate ratio for all-cause mortality was 0.74, 95% CI 0.64–0.85. After controlling for bias the rate ratio was 0.90, 95% CI 0.77–1.04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Primary analysis of none or only a minority with HF, </w:t>
            </w:r>
            <w:proofErr w:type="spellStart"/>
            <w:r w:rsidRPr="00170494">
              <w:rPr>
                <w:rFonts w:cs="Times New Roman"/>
                <w:sz w:val="16"/>
                <w:szCs w:val="16"/>
                <w:lang w:val="en-US"/>
              </w:rPr>
              <w:t>Killip</w:t>
            </w:r>
            <w:proofErr w:type="spellEnd"/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class over 3 or LVEF&lt;40%.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Long term follow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Primary analysis with a median follow up of 2.7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The results from the meta-analysis of nearly 200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000 patients following AMI of whom only a minority had reduced LVEF and/or clinical signs of HF, provides evidence that the association between beta-blockers and long-term survival is due to small study effect, and that there might not be a significant reduction in the risk of all-cause mortality when controlling for bias. After controlling for bias no mortality effect of beta-blocker therapy was found.</w:t>
            </w:r>
          </w:p>
        </w:tc>
      </w:tr>
      <w:tr w:rsidR="00067B22" w:rsidRPr="00613D2E" w:rsidTr="0006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Beta-blocker therapy reduces mortality in patients with coronary artery disease treated with percutaneous revascularization: a meta-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lastRenderedPageBreak/>
              <w:t>analysis of adjusted results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Peyracchia</w:t>
            </w:r>
            <w:proofErr w:type="spellEnd"/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 xml:space="preserve">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2018</w:t>
            </w: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Studies with multivariate adjustment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Sample size: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NA </w:t>
            </w:r>
          </w:p>
          <w:p w:rsidR="00067B22" w:rsidRPr="001806BC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&gt;1 year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Treated with PCI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MI or stable angina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2</w:t>
            </w:r>
            <w:r>
              <w:rPr>
                <w:rFonts w:cs="Times New Roman"/>
                <w:sz w:val="16"/>
                <w:szCs w:val="16"/>
                <w:lang w:val="en-US"/>
              </w:rPr>
              <w:t>6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observational studies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863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335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STEMI/NSTEMI/MI: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cs="Times New Roman"/>
                <w:sz w:val="16"/>
                <w:szCs w:val="16"/>
                <w:lang w:val="en-U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Reperfusion status: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PCI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Follow up duration: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-Median: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3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-Range: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1 - 4.3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Patients suffering from MI or stable angina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 xml:space="preserve">Primary outcome: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All-cause death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Risk of all-cause death in patients on beta-blockers after 3 years: odds ratio 0.69, 95% CI 0.66–0.72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Secondary outcomes: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-A composite endpoint of all-cause death or 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-Myocardial infarction 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Subgroup analysis for all cause death in patients with LVEF&gt;40%, odds ratio 0.79, 95% CI 0.69–0.91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Long term follow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After 3 years: odds ratio for all-cause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death for patients with MI and stabile angina 0.69, 95% CI 0.66–0.72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Other subgroup analysis of particular interest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Subgroup analysis for all cause death in patients with MI (odds ratio 0.60, 95% CI 0.56–0.65) and stable angina patients (odds ratio 0.84, 95% CI 0.78–0.91)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 xml:space="preserve">After 3 years, long-term risk of all-cause death was lower in patients on beta-blockers, both for acute coronary syndrome and stable angina patients, independently from ejection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fraction. The risk of long-term MACE was lower but not significant for acute coronary syndrome patients treated with beta-blockers as in stable angina. Similarly, risk of myocardial infarction did not differ between patients treated with beta-blockers or without beta-blockers.</w:t>
            </w:r>
          </w:p>
        </w:tc>
      </w:tr>
      <w:tr w:rsidR="00067B22" w:rsidRPr="00613D2E" w:rsidTr="00067B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lastRenderedPageBreak/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Beta-blockers for heart failure with reduced, mid-range, and preserved ejection fraction: an individual patient-level analysis of double-blind randomized trials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Cleland et al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2018</w:t>
            </w: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Sample size: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Sample &gt; 300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&gt; 6 months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inclusion criteria: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Patients suffering from heart failure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11 RCT’s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Number of patients: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18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637 (819 patients with LVEF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  <w:lang w:val="en-US"/>
                </w:rPr>
                <m:t>≥</m:t>
              </m:r>
            </m:oMath>
            <w:r w:rsidRPr="00170494">
              <w:rPr>
                <w:rFonts w:cs="Times New Roman"/>
                <w:sz w:val="16"/>
                <w:szCs w:val="16"/>
                <w:lang w:val="en-US"/>
              </w:rPr>
              <w:t>40%)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71.8% and 36.1% of patients with 40–49% and  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  <w:lang w:val="en-US"/>
                </w:rPr>
                <m:t>≥</m:t>
              </m:r>
            </m:oMath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 50% had suffered from a prior MI.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Median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1.3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Interquartile range: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0.8–1.9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Patients with heart-failure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Primary outcomes: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All-cause mortality and cardiovascular death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-Results: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Patients with LVEF&lt;40% in sinus rhythm: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-Kaplan Meier plots for unadjusted all-cause mortality (log rank p&lt;0.001) cardiovascular mortality (log rank p&lt;0.001)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Patients with LVEF40–49% in sinus rhythm: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-All-cause mortality: adjusted HR 0.59, 95% CI 0.34–1.03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-Cardiovascular death: adjusted HR 0.48, 95% CI 0.24–0.97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-Kaplan Meier plots for unadjusted all-cause mortality (log rank p = 0.042) cardiovascular mortality (log rank p = 0.022)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Patients with LVEF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  <w:lang w:val="en-US"/>
                </w:rPr>
                <m:t>≥</m:t>
              </m:r>
            </m:oMath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50% in sinus rhythm: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-All-cause mortality: HR 1.79, 95% CI 0.78–4.10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-Cardiovascular death: 1.77, 95% CI 0.61–5.14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-Kaplan Meier plots for unadjusted all-cause mortality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lastRenderedPageBreak/>
              <w:t>(log rank p = 0.51) cardiovascular mortality (log rank p = 0.57)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</w:p>
          <w:p w:rsidR="00067B22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Secondary outcomes: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First cardiovascular hospitalization and the composite of cardiovascular death and cardiovascular hospitalization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Primary analysis stratified by LVEF&lt;40%, LVEF40–49% and LVEF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  <w:lang w:val="en-US"/>
                </w:rPr>
                <m:t>≥</m:t>
              </m:r>
            </m:oMath>
            <w:r w:rsidRPr="00170494">
              <w:rPr>
                <w:rFonts w:cs="Times New Roman"/>
                <w:sz w:val="16"/>
                <w:szCs w:val="16"/>
                <w:lang w:val="en-US"/>
              </w:rPr>
              <w:t>50%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Long term follow up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: Kaplan Meyer plot performed with treatment duration up to 3 years.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For patients with heart failure in sinus rhythm and LVEF &lt;40%, beta-blockers improve left ventricular systolic function and reduce cardiovascular morbidity and mortality. These benefits also apply to patients with LVEF 40–49%. No benefit was seen in patients with LVEF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  <w:lang w:val="en-US"/>
                </w:rPr>
                <m:t>≥</m:t>
              </m:r>
            </m:oMath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50%, but too few patients have been studied in double-blind RCTs to draw firm conclusions on the efficacy or safety of beta-blockers for </w:t>
            </w:r>
            <w:proofErr w:type="spellStart"/>
            <w:r w:rsidRPr="00170494">
              <w:rPr>
                <w:rFonts w:cs="Times New Roman"/>
                <w:sz w:val="16"/>
                <w:szCs w:val="16"/>
                <w:lang w:val="en-US"/>
              </w:rPr>
              <w:t>HFpEF</w:t>
            </w:r>
            <w:proofErr w:type="spellEnd"/>
            <w:r w:rsidRPr="00170494">
              <w:rPr>
                <w:rFonts w:cs="Times New Roman"/>
                <w:sz w:val="16"/>
                <w:szCs w:val="16"/>
                <w:lang w:val="en-US"/>
              </w:rPr>
              <w:t>.</w:t>
            </w:r>
          </w:p>
        </w:tc>
      </w:tr>
      <w:tr w:rsidR="00067B22" w:rsidRPr="00613D2E" w:rsidTr="00067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:rsidR="00067B22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bCs w:val="0"/>
                <w:szCs w:val="16"/>
                <w:lang w:val="en-US"/>
              </w:rPr>
            </w:pPr>
          </w:p>
          <w:p w:rsidR="00067B22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bCs w:val="0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szCs w:val="16"/>
                <w:lang w:val="en-US"/>
              </w:rPr>
            </w:pPr>
            <w:r w:rsidRPr="00170494">
              <w:rPr>
                <w:rFonts w:cs="Times New Roman"/>
                <w:szCs w:val="16"/>
                <w:lang w:val="en-US"/>
              </w:rPr>
              <w:t>Systematic review</w:t>
            </w:r>
            <w:r>
              <w:rPr>
                <w:rFonts w:cs="Times New Roman"/>
                <w:szCs w:val="16"/>
                <w:lang w:val="en-US"/>
              </w:rPr>
              <w:t>s</w:t>
            </w:r>
            <w:r w:rsidRPr="00170494">
              <w:rPr>
                <w:rFonts w:cs="Times New Roman"/>
                <w:szCs w:val="16"/>
                <w:lang w:val="en-US"/>
              </w:rPr>
              <w:t xml:space="preserve"> of particular interest</w:t>
            </w:r>
          </w:p>
        </w:tc>
      </w:tr>
      <w:tr w:rsidR="00067B22" w:rsidRPr="00613D2E" w:rsidTr="00067B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2" w:type="pct"/>
          </w:tcPr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 xml:space="preserve">Title: 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Long-term beta-blocker therapy after myocardial infarction in the reperfusion era: A systematic review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Author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Hong and Berry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b w:val="0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b w:val="0"/>
                <w:i/>
                <w:sz w:val="16"/>
                <w:szCs w:val="16"/>
                <w:lang w:val="en-US"/>
              </w:rPr>
              <w:t>Year</w:t>
            </w:r>
            <w:r w:rsidRPr="00170494">
              <w:rPr>
                <w:rFonts w:cs="Times New Roman"/>
                <w:b w:val="0"/>
                <w:sz w:val="16"/>
                <w:szCs w:val="16"/>
                <w:lang w:val="en-US"/>
              </w:rPr>
              <w:t>: 2018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797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Type of studies</w:t>
            </w:r>
            <w:r>
              <w:rPr>
                <w:rFonts w:cs="Times New Roman"/>
                <w:i/>
                <w:sz w:val="16"/>
                <w:szCs w:val="16"/>
                <w:lang w:val="en-US"/>
              </w:rPr>
              <w:t xml:space="preserve"> included</w:t>
            </w: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RCT’s, regression cohort or propensity score matched studies</w:t>
            </w:r>
          </w:p>
          <w:p w:rsidR="00067B22" w:rsidRPr="009770DD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s-ES"/>
              </w:rPr>
            </w:pPr>
            <w:proofErr w:type="spellStart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>Sample</w:t>
            </w:r>
            <w:proofErr w:type="spellEnd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>size</w:t>
            </w:r>
            <w:proofErr w:type="spellEnd"/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 xml:space="preserve">: </w:t>
            </w:r>
            <w:r w:rsidRPr="009770DD">
              <w:rPr>
                <w:rFonts w:cs="Times New Roman"/>
                <w:sz w:val="16"/>
                <w:szCs w:val="16"/>
                <w:lang w:val="es-ES"/>
              </w:rPr>
              <w:t>NA</w:t>
            </w:r>
          </w:p>
          <w:p w:rsidR="00067B22" w:rsidRPr="009770DD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s-ES"/>
              </w:rPr>
            </w:pPr>
            <w:r w:rsidRPr="009770DD">
              <w:rPr>
                <w:rFonts w:cs="Times New Roman"/>
                <w:i/>
                <w:sz w:val="16"/>
                <w:szCs w:val="16"/>
                <w:lang w:val="es-ES"/>
              </w:rPr>
              <w:t xml:space="preserve">STEMI/NSTEMI/MI: </w:t>
            </w:r>
            <w:r w:rsidRPr="009770DD">
              <w:rPr>
                <w:rFonts w:cs="Times New Roman"/>
                <w:sz w:val="16"/>
                <w:szCs w:val="16"/>
                <w:lang w:val="es-E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&gt; 1 year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Other inclusion criteria: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-LVEF &gt; 30%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-Studies based on data from 1. January 2000 onward</w:t>
            </w: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Type and number of studies: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8 cohort studies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Number of patients: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31</w:t>
            </w:r>
            <w:r>
              <w:rPr>
                <w:rFonts w:cs="Times New Roman"/>
                <w:sz w:val="16"/>
                <w:szCs w:val="16"/>
                <w:lang w:val="en-US"/>
              </w:rPr>
              <w:t>,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501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STEMI/NSTEMI/MI: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MI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Reperfusion status: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Follow up duration: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GB"/>
              </w:rPr>
            </w:pPr>
            <w:r w:rsidRPr="00170494">
              <w:rPr>
                <w:rFonts w:cs="Times New Roman"/>
                <w:sz w:val="16"/>
                <w:szCs w:val="16"/>
                <w:lang w:val="en-GB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GB"/>
              </w:rPr>
              <w:t>Median</w:t>
            </w:r>
            <w:r w:rsidRPr="00170494">
              <w:rPr>
                <w:rFonts w:cs="Times New Roman"/>
                <w:sz w:val="16"/>
                <w:szCs w:val="16"/>
                <w:lang w:val="en-GB"/>
              </w:rPr>
              <w:t>: 3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GB"/>
              </w:rPr>
            </w:pPr>
            <w:r w:rsidRPr="00170494">
              <w:rPr>
                <w:rFonts w:cs="Times New Roman"/>
                <w:sz w:val="16"/>
                <w:szCs w:val="16"/>
                <w:lang w:val="en-GB"/>
              </w:rPr>
              <w:t>-</w:t>
            </w:r>
            <w:r w:rsidRPr="00170494">
              <w:rPr>
                <w:rFonts w:cs="Times New Roman"/>
                <w:i/>
                <w:sz w:val="16"/>
                <w:szCs w:val="16"/>
                <w:lang w:val="en-GB"/>
              </w:rPr>
              <w:t>Range</w:t>
            </w:r>
            <w:r w:rsidRPr="00170494">
              <w:rPr>
                <w:rFonts w:cs="Times New Roman"/>
                <w:sz w:val="16"/>
                <w:szCs w:val="16"/>
                <w:lang w:val="en-GB"/>
              </w:rPr>
              <w:t>: 1-5.2 years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 xml:space="preserve">Other characteristics: 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NA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>Outcomes of interest included all-cause and cardiovascular mortality, nonfatal MI, and nonfatal stroke.</w:t>
            </w:r>
          </w:p>
        </w:tc>
        <w:tc>
          <w:tcPr>
            <w:tcW w:w="841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LVEF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Primary analysis with LVEF&gt;30%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i/>
                <w:sz w:val="16"/>
                <w:szCs w:val="16"/>
                <w:lang w:val="en-US"/>
              </w:rPr>
              <w:t>Long term duration</w:t>
            </w:r>
            <w:r w:rsidRPr="00170494">
              <w:rPr>
                <w:rFonts w:cs="Times New Roman"/>
                <w:sz w:val="16"/>
                <w:szCs w:val="16"/>
                <w:lang w:val="en-US"/>
              </w:rPr>
              <w:t>: Primary analysis with follow up &gt; 1 year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885" w:type="pct"/>
          </w:tcPr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  <w:r w:rsidRPr="00170494">
              <w:rPr>
                <w:rFonts w:cs="Times New Roman"/>
                <w:sz w:val="16"/>
                <w:szCs w:val="16"/>
                <w:lang w:val="en-US"/>
              </w:rPr>
              <w:t xml:space="preserve">The majority of the included studies in the systemic review failed to demonstrate a benefit in survival or cardiovascular events with long-term beta-blockers (&gt;1 year) in post-MI patients with normal left ventricular function. </w:t>
            </w:r>
          </w:p>
          <w:p w:rsidR="00067B22" w:rsidRPr="00170494" w:rsidRDefault="00067B22" w:rsidP="00317D6A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</w:tbl>
    <w:p w:rsidR="00A00DEB" w:rsidRPr="00067B22" w:rsidRDefault="00A00DEB" w:rsidP="00067B22"/>
    <w:sectPr w:rsidR="00A00DEB" w:rsidRPr="00067B22" w:rsidSect="00067B2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B227B"/>
    <w:rsid w:val="00067B22"/>
    <w:rsid w:val="000B5DA6"/>
    <w:rsid w:val="00111923"/>
    <w:rsid w:val="00457334"/>
    <w:rsid w:val="007C021E"/>
    <w:rsid w:val="00961F61"/>
    <w:rsid w:val="00985BDF"/>
    <w:rsid w:val="009B227B"/>
    <w:rsid w:val="00A00DEB"/>
    <w:rsid w:val="00D6268F"/>
    <w:rsid w:val="00F1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27B"/>
    <w:pPr>
      <w:spacing w:before="120" w:after="120" w:line="240" w:lineRule="auto"/>
      <w:outlineLvl w:val="2"/>
    </w:pPr>
    <w:rPr>
      <w:rFonts w:ascii="Times New Roman" w:hAnsi="Times New Roman"/>
      <w:b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227B"/>
    <w:rPr>
      <w:rFonts w:ascii="Times New Roman" w:hAnsi="Times New Roman"/>
      <w:b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B227B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27B"/>
    <w:rPr>
      <w:color w:val="0000FF" w:themeColor="hyperlink"/>
      <w:u w:val="single"/>
    </w:rPr>
  </w:style>
  <w:style w:type="paragraph" w:customStyle="1" w:styleId="TableTitle">
    <w:name w:val="TableTitle"/>
    <w:basedOn w:val="Normal"/>
    <w:rsid w:val="007C021E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7C021E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C021E"/>
  </w:style>
  <w:style w:type="table" w:customStyle="1" w:styleId="Listetabel3-farve31">
    <w:name w:val="Listetabel 3 - farve 31"/>
    <w:basedOn w:val="TableNormal"/>
    <w:uiPriority w:val="48"/>
    <w:rsid w:val="00067B22"/>
    <w:pPr>
      <w:spacing w:after="0" w:line="240" w:lineRule="auto"/>
    </w:pPr>
    <w:rPr>
      <w:lang w:val="da-DK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B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27B"/>
    <w:pPr>
      <w:spacing w:before="120" w:after="120" w:line="240" w:lineRule="auto"/>
      <w:outlineLvl w:val="2"/>
    </w:pPr>
    <w:rPr>
      <w:rFonts w:ascii="Times New Roman" w:hAnsi="Times New Roman"/>
      <w:b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227B"/>
    <w:rPr>
      <w:rFonts w:ascii="Times New Roman" w:hAnsi="Times New Roman"/>
      <w:b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B227B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27B"/>
    <w:rPr>
      <w:color w:val="0000FF" w:themeColor="hyperlink"/>
      <w:u w:val="single"/>
    </w:rPr>
  </w:style>
  <w:style w:type="paragraph" w:customStyle="1" w:styleId="TableTitle">
    <w:name w:val="TableTitle"/>
    <w:basedOn w:val="Normal"/>
    <w:rsid w:val="007C021E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7C021E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C021E"/>
  </w:style>
  <w:style w:type="table" w:customStyle="1" w:styleId="Listetabel3-farve31">
    <w:name w:val="Listetabel 3 - farve 31"/>
    <w:basedOn w:val="TableNormal"/>
    <w:uiPriority w:val="48"/>
    <w:rsid w:val="00067B22"/>
    <w:pPr>
      <w:spacing w:after="0" w:line="240" w:lineRule="auto"/>
    </w:pPr>
    <w:rPr>
      <w:lang w:val="da-DK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B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2097</Words>
  <Characters>12693</Characters>
  <Application>Microsoft Office Word</Application>
  <DocSecurity>0</DocSecurity>
  <Lines>668</Lines>
  <Paragraphs>301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MLAPINIG</cp:lastModifiedBy>
  <cp:revision>3</cp:revision>
  <dcterms:created xsi:type="dcterms:W3CDTF">2020-03-03T07:41:00Z</dcterms:created>
  <dcterms:modified xsi:type="dcterms:W3CDTF">2020-03-19T00:53:00Z</dcterms:modified>
</cp:coreProperties>
</file>