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91A51" w14:textId="6D58661A" w:rsidR="00576F9C" w:rsidRPr="00BE1853" w:rsidRDefault="00CB5277" w:rsidP="00BE1853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BE1853">
        <w:rPr>
          <w:rFonts w:ascii="Arial" w:hAnsi="Arial" w:cs="Arial"/>
          <w:sz w:val="20"/>
          <w:szCs w:val="20"/>
          <w:lang w:val="en-AU"/>
        </w:rPr>
        <w:t>WHO Trial Registration Data Set (Version 1.3.1)</w:t>
      </w:r>
    </w:p>
    <w:p w14:paraId="7351D958" w14:textId="77777777" w:rsidR="00BE1853" w:rsidRPr="00BE1853" w:rsidRDefault="00BE1853" w:rsidP="00BE1853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B5277" w:rsidRPr="00BE1853" w14:paraId="0F7746DA" w14:textId="77777777" w:rsidTr="00CB5277">
        <w:tc>
          <w:tcPr>
            <w:tcW w:w="4508" w:type="dxa"/>
          </w:tcPr>
          <w:p w14:paraId="4E08408A" w14:textId="57295019" w:rsidR="00CB5277" w:rsidRPr="00BE1853" w:rsidRDefault="00CB5277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 xml:space="preserve">Primary Registry and Trial Identifying Number </w:t>
            </w:r>
          </w:p>
        </w:tc>
        <w:tc>
          <w:tcPr>
            <w:tcW w:w="4508" w:type="dxa"/>
          </w:tcPr>
          <w:p w14:paraId="2DA0DE27" w14:textId="2EC4DB97" w:rsidR="00CB5277" w:rsidRPr="00BE1853" w:rsidRDefault="00CB5277" w:rsidP="00BE1853">
            <w:pPr>
              <w:rPr>
                <w:rFonts w:ascii="Arial" w:hAnsi="Arial" w:cs="Arial"/>
                <w:sz w:val="20"/>
                <w:szCs w:val="20"/>
              </w:rPr>
            </w:pPr>
            <w:r w:rsidRPr="00BE1853">
              <w:rPr>
                <w:rFonts w:ascii="Arial" w:hAnsi="Arial" w:cs="Arial"/>
                <w:sz w:val="20"/>
                <w:szCs w:val="20"/>
              </w:rPr>
              <w:t>ClinicalTrials.gov identifier: NCT04238390</w:t>
            </w:r>
          </w:p>
        </w:tc>
      </w:tr>
      <w:tr w:rsidR="00CB5277" w:rsidRPr="00BE1853" w14:paraId="0EA5C536" w14:textId="77777777" w:rsidTr="00CB5277">
        <w:tc>
          <w:tcPr>
            <w:tcW w:w="4508" w:type="dxa"/>
          </w:tcPr>
          <w:p w14:paraId="6DE5D403" w14:textId="44E52878" w:rsidR="00CB5277" w:rsidRPr="00BE1853" w:rsidRDefault="00CB5277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Date of Registration in Primary Registry</w:t>
            </w:r>
          </w:p>
        </w:tc>
        <w:tc>
          <w:tcPr>
            <w:tcW w:w="4508" w:type="dxa"/>
          </w:tcPr>
          <w:p w14:paraId="2503677C" w14:textId="70CBA1C1" w:rsidR="00CB5277" w:rsidRPr="00BE1853" w:rsidRDefault="00CB5277" w:rsidP="00BE1853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January 23, 2020</w:t>
            </w:r>
          </w:p>
        </w:tc>
      </w:tr>
      <w:tr w:rsidR="00CB5277" w:rsidRPr="00BE1853" w14:paraId="5D765D12" w14:textId="77777777" w:rsidTr="00CB5277">
        <w:tc>
          <w:tcPr>
            <w:tcW w:w="4508" w:type="dxa"/>
          </w:tcPr>
          <w:p w14:paraId="088B4ED6" w14:textId="4FEEEC48" w:rsidR="00CB5277" w:rsidRPr="00BE1853" w:rsidRDefault="00CB5277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 xml:space="preserve">Secondary Identifying Numbers </w:t>
            </w:r>
          </w:p>
        </w:tc>
        <w:tc>
          <w:tcPr>
            <w:tcW w:w="4508" w:type="dxa"/>
          </w:tcPr>
          <w:p w14:paraId="635C0D48" w14:textId="786441A1" w:rsidR="00CB5277" w:rsidRPr="00BE1853" w:rsidRDefault="00CB5277" w:rsidP="00BE1853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Sponsor Issues Trial Number: UQCCR-DP-AS-2019-001</w:t>
            </w:r>
          </w:p>
        </w:tc>
      </w:tr>
      <w:tr w:rsidR="00CB5277" w:rsidRPr="00BE1853" w14:paraId="3F9D94C9" w14:textId="77777777" w:rsidTr="00CB5277">
        <w:tc>
          <w:tcPr>
            <w:tcW w:w="4508" w:type="dxa"/>
          </w:tcPr>
          <w:p w14:paraId="20DD542E" w14:textId="75044EE8" w:rsidR="00CB5277" w:rsidRPr="00BE1853" w:rsidRDefault="00CB5277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Source(s) of Monetary or Material Support</w:t>
            </w:r>
          </w:p>
        </w:tc>
        <w:tc>
          <w:tcPr>
            <w:tcW w:w="4508" w:type="dxa"/>
          </w:tcPr>
          <w:p w14:paraId="65F33DFA" w14:textId="04FCED35" w:rsidR="00CB5277" w:rsidRPr="00BE1853" w:rsidRDefault="00CB5277" w:rsidP="00BE1853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</w:rPr>
              <w:t>Merck Sharp &amp; Dohme (Australia) Pty Limited investigator Initiated Funding</w:t>
            </w:r>
          </w:p>
        </w:tc>
      </w:tr>
      <w:tr w:rsidR="00CB5277" w:rsidRPr="00BE1853" w14:paraId="7375315A" w14:textId="77777777" w:rsidTr="00CB5277">
        <w:tc>
          <w:tcPr>
            <w:tcW w:w="4508" w:type="dxa"/>
          </w:tcPr>
          <w:p w14:paraId="76004122" w14:textId="6BCA6E7C" w:rsidR="00CB5277" w:rsidRPr="00BE1853" w:rsidRDefault="00CB5277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Primary Sponsor</w:t>
            </w:r>
          </w:p>
        </w:tc>
        <w:tc>
          <w:tcPr>
            <w:tcW w:w="4508" w:type="dxa"/>
          </w:tcPr>
          <w:p w14:paraId="02CFA838" w14:textId="7F4B3FDB" w:rsidR="00CB5277" w:rsidRPr="00BE1853" w:rsidRDefault="00CB5277" w:rsidP="00BE1853">
            <w:pPr>
              <w:rPr>
                <w:rFonts w:ascii="Arial" w:hAnsi="Arial" w:cs="Arial"/>
                <w:sz w:val="20"/>
                <w:szCs w:val="20"/>
              </w:rPr>
            </w:pPr>
            <w:r w:rsidRPr="00BE1853">
              <w:rPr>
                <w:rFonts w:ascii="Arial" w:hAnsi="Arial" w:cs="Arial"/>
                <w:sz w:val="20"/>
                <w:szCs w:val="20"/>
              </w:rPr>
              <w:t>University of Queensland, St Lucia, Queensland, Australia, 4072</w:t>
            </w:r>
          </w:p>
        </w:tc>
      </w:tr>
      <w:tr w:rsidR="00CB5277" w:rsidRPr="00BE1853" w14:paraId="5AC1FBC9" w14:textId="77777777" w:rsidTr="00CB5277">
        <w:tc>
          <w:tcPr>
            <w:tcW w:w="4508" w:type="dxa"/>
          </w:tcPr>
          <w:p w14:paraId="1A4C7306" w14:textId="383F86FD" w:rsidR="00CB5277" w:rsidRPr="00BE1853" w:rsidRDefault="00CB5277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Secondary Sponsor</w:t>
            </w:r>
          </w:p>
        </w:tc>
        <w:tc>
          <w:tcPr>
            <w:tcW w:w="4508" w:type="dxa"/>
          </w:tcPr>
          <w:p w14:paraId="01E574E4" w14:textId="690039AC" w:rsidR="00CB5277" w:rsidRPr="00BE1853" w:rsidRDefault="00CB5277" w:rsidP="00BE1853">
            <w:pPr>
              <w:rPr>
                <w:rFonts w:ascii="Arial" w:hAnsi="Arial" w:cs="Arial"/>
                <w:sz w:val="20"/>
                <w:szCs w:val="20"/>
              </w:rPr>
            </w:pPr>
            <w:r w:rsidRPr="00BE1853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CB5277" w:rsidRPr="00BE1853" w14:paraId="0A904FB9" w14:textId="77777777" w:rsidTr="00CB5277">
        <w:tc>
          <w:tcPr>
            <w:tcW w:w="4508" w:type="dxa"/>
          </w:tcPr>
          <w:p w14:paraId="12CDD172" w14:textId="4B9C2F62" w:rsidR="00CB5277" w:rsidRPr="00BE1853" w:rsidRDefault="00CB5277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Contact for Public Queries</w:t>
            </w:r>
          </w:p>
        </w:tc>
        <w:tc>
          <w:tcPr>
            <w:tcW w:w="4508" w:type="dxa"/>
          </w:tcPr>
          <w:p w14:paraId="0379552B" w14:textId="77777777" w:rsidR="00CB5277" w:rsidRPr="00BE1853" w:rsidRDefault="00CB5277" w:rsidP="00BE1853">
            <w:pPr>
              <w:rPr>
                <w:rFonts w:ascii="Arial" w:hAnsi="Arial" w:cs="Arial"/>
                <w:sz w:val="20"/>
                <w:szCs w:val="20"/>
              </w:rPr>
            </w:pPr>
            <w:r w:rsidRPr="00BE1853">
              <w:rPr>
                <w:rFonts w:ascii="Arial" w:hAnsi="Arial" w:cs="Arial"/>
                <w:sz w:val="20"/>
                <w:szCs w:val="20"/>
              </w:rPr>
              <w:t>Professor David Paterson, University of Queensland Centre for Clinical Research, Building 71/918 RBWH Herston, Brisbane City, QLD 4029</w:t>
            </w:r>
          </w:p>
          <w:p w14:paraId="7CE8D069" w14:textId="604420CD" w:rsidR="00CB5277" w:rsidRPr="00BE1853" w:rsidRDefault="00CB5277" w:rsidP="00BE1853">
            <w:pPr>
              <w:rPr>
                <w:rFonts w:ascii="Arial" w:hAnsi="Arial" w:cs="Arial"/>
                <w:sz w:val="20"/>
                <w:szCs w:val="20"/>
              </w:rPr>
            </w:pPr>
            <w:r w:rsidRPr="00BE1853">
              <w:rPr>
                <w:rFonts w:ascii="Arial" w:hAnsi="Arial" w:cs="Arial"/>
                <w:sz w:val="20"/>
                <w:szCs w:val="20"/>
              </w:rPr>
              <w:t>+61 7 33466074</w:t>
            </w:r>
          </w:p>
        </w:tc>
      </w:tr>
      <w:tr w:rsidR="00CB5277" w:rsidRPr="00BE1853" w14:paraId="4F704EC4" w14:textId="77777777" w:rsidTr="00CB5277">
        <w:tc>
          <w:tcPr>
            <w:tcW w:w="4508" w:type="dxa"/>
          </w:tcPr>
          <w:p w14:paraId="7393D697" w14:textId="5AD19C30" w:rsidR="00CB5277" w:rsidRPr="00BE1853" w:rsidRDefault="00CB5277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Contact for Scientific Queries</w:t>
            </w:r>
          </w:p>
        </w:tc>
        <w:tc>
          <w:tcPr>
            <w:tcW w:w="4508" w:type="dxa"/>
          </w:tcPr>
          <w:p w14:paraId="5A910A7E" w14:textId="77777777" w:rsidR="00CB5277" w:rsidRPr="00BE1853" w:rsidRDefault="00CB5277" w:rsidP="00BE1853">
            <w:pPr>
              <w:rPr>
                <w:rFonts w:ascii="Arial" w:hAnsi="Arial" w:cs="Arial"/>
                <w:sz w:val="20"/>
                <w:szCs w:val="20"/>
              </w:rPr>
            </w:pPr>
            <w:r w:rsidRPr="00BE1853">
              <w:rPr>
                <w:rFonts w:ascii="Arial" w:hAnsi="Arial" w:cs="Arial"/>
                <w:sz w:val="20"/>
                <w:szCs w:val="20"/>
              </w:rPr>
              <w:t>Professor David Paterson, University of Queensland Centre for Clinical Research, Building 71/918 RBWH Herston, Brisbane City, QLD 4029</w:t>
            </w:r>
          </w:p>
          <w:p w14:paraId="099C6235" w14:textId="094C71B2" w:rsidR="00CB5277" w:rsidRPr="00BE1853" w:rsidRDefault="00CB5277" w:rsidP="00BE1853">
            <w:pPr>
              <w:rPr>
                <w:rFonts w:ascii="Arial" w:hAnsi="Arial" w:cs="Arial"/>
                <w:sz w:val="20"/>
                <w:szCs w:val="20"/>
              </w:rPr>
            </w:pPr>
            <w:r w:rsidRPr="00BE1853">
              <w:rPr>
                <w:rFonts w:ascii="Arial" w:hAnsi="Arial" w:cs="Arial"/>
                <w:sz w:val="20"/>
                <w:szCs w:val="20"/>
              </w:rPr>
              <w:t>+61 7 33466074</w:t>
            </w:r>
          </w:p>
        </w:tc>
      </w:tr>
      <w:tr w:rsidR="00CB5277" w:rsidRPr="00BE1853" w14:paraId="5691F647" w14:textId="77777777" w:rsidTr="00CB5277">
        <w:tc>
          <w:tcPr>
            <w:tcW w:w="4508" w:type="dxa"/>
          </w:tcPr>
          <w:p w14:paraId="2618AE03" w14:textId="6D84D4B7" w:rsidR="00CB5277" w:rsidRPr="00BE1853" w:rsidRDefault="00CB5277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 xml:space="preserve">Public Title </w:t>
            </w:r>
          </w:p>
        </w:tc>
        <w:tc>
          <w:tcPr>
            <w:tcW w:w="4508" w:type="dxa"/>
          </w:tcPr>
          <w:p w14:paraId="1BD85DC4" w14:textId="33316A74" w:rsidR="00CB5277" w:rsidRPr="00BE1853" w:rsidRDefault="00CB5277" w:rsidP="00BE1853">
            <w:pPr>
              <w:rPr>
                <w:rFonts w:ascii="Arial" w:hAnsi="Arial" w:cs="Arial"/>
                <w:sz w:val="20"/>
                <w:szCs w:val="20"/>
              </w:rPr>
            </w:pPr>
            <w:r w:rsidRPr="00BE1853">
              <w:rPr>
                <w:rFonts w:ascii="Arial" w:hAnsi="Arial" w:cs="Arial"/>
                <w:sz w:val="20"/>
                <w:szCs w:val="20"/>
              </w:rPr>
              <w:t>MERINO 3</w:t>
            </w:r>
          </w:p>
        </w:tc>
      </w:tr>
      <w:tr w:rsidR="00CB5277" w:rsidRPr="00BE1853" w14:paraId="3F4AF2CA" w14:textId="77777777" w:rsidTr="00CB5277">
        <w:tc>
          <w:tcPr>
            <w:tcW w:w="4508" w:type="dxa"/>
          </w:tcPr>
          <w:p w14:paraId="71F54F53" w14:textId="288D0FC0" w:rsidR="00CB5277" w:rsidRPr="00BE1853" w:rsidRDefault="00CB5277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 xml:space="preserve">Scientific Title </w:t>
            </w:r>
          </w:p>
        </w:tc>
        <w:tc>
          <w:tcPr>
            <w:tcW w:w="4508" w:type="dxa"/>
          </w:tcPr>
          <w:p w14:paraId="6AF11F4E" w14:textId="58D2C93F" w:rsidR="00CB5277" w:rsidRPr="00BE1853" w:rsidRDefault="00CB5277" w:rsidP="00BE185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1853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AU"/>
              </w:rPr>
              <w:t>Ceftolozane</w:t>
            </w:r>
            <w:proofErr w:type="spellEnd"/>
            <w:r w:rsidRPr="00BE1853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AU"/>
              </w:rPr>
              <w:t xml:space="preserve">-tazobactam versus meropenem for definitive treatment of bloodstream infection due to Extended-Spectrum Beta-Lactamase (ESBL) and </w:t>
            </w:r>
            <w:proofErr w:type="spellStart"/>
            <w:r w:rsidRPr="00BE1853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AU"/>
              </w:rPr>
              <w:t>AmpC</w:t>
            </w:r>
            <w:proofErr w:type="spellEnd"/>
            <w:r w:rsidRPr="00BE1853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AU"/>
              </w:rPr>
              <w:t xml:space="preserve">-producing </w:t>
            </w:r>
            <w:proofErr w:type="spellStart"/>
            <w:r w:rsidRPr="00BE1853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AU"/>
              </w:rPr>
              <w:t>Enterobacterales</w:t>
            </w:r>
            <w:proofErr w:type="spellEnd"/>
            <w:r w:rsidRPr="00BE1853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AU"/>
              </w:rPr>
              <w:t xml:space="preserve"> (“MERINO-3”): study protocol for a multicentre, open-label randomised non-inferiority trial</w:t>
            </w:r>
          </w:p>
        </w:tc>
      </w:tr>
      <w:tr w:rsidR="00CB5277" w:rsidRPr="00BE1853" w14:paraId="0CBB8118" w14:textId="77777777" w:rsidTr="00CB5277">
        <w:tc>
          <w:tcPr>
            <w:tcW w:w="4508" w:type="dxa"/>
          </w:tcPr>
          <w:p w14:paraId="5AE14703" w14:textId="062A1D44" w:rsidR="00CB5277" w:rsidRPr="00BE1853" w:rsidRDefault="00CB5277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 xml:space="preserve">Countries of Recruitment </w:t>
            </w:r>
          </w:p>
        </w:tc>
        <w:tc>
          <w:tcPr>
            <w:tcW w:w="4508" w:type="dxa"/>
          </w:tcPr>
          <w:p w14:paraId="0F6E122A" w14:textId="2D8C8AA9" w:rsidR="00CB5277" w:rsidRPr="00BE1853" w:rsidRDefault="00CB5277" w:rsidP="00BE1853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AU"/>
              </w:rPr>
            </w:pPr>
            <w:r w:rsidRPr="00BE1853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AU"/>
              </w:rPr>
              <w:t>Australia, Singapore, Lebanon, Saudi Arabia, Spain, Italy</w:t>
            </w:r>
          </w:p>
        </w:tc>
      </w:tr>
      <w:tr w:rsidR="00CB5277" w:rsidRPr="00BE1853" w14:paraId="2452D12D" w14:textId="77777777" w:rsidTr="00CB5277">
        <w:tc>
          <w:tcPr>
            <w:tcW w:w="4508" w:type="dxa"/>
          </w:tcPr>
          <w:p w14:paraId="68BED3A7" w14:textId="4D142AB3" w:rsidR="00CB5277" w:rsidRPr="00BE1853" w:rsidRDefault="00CB5277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Health Condition(s) or Problem(s) Studied</w:t>
            </w:r>
          </w:p>
        </w:tc>
        <w:tc>
          <w:tcPr>
            <w:tcW w:w="4508" w:type="dxa"/>
          </w:tcPr>
          <w:p w14:paraId="7BCA8B66" w14:textId="3E53BBA1" w:rsidR="00CB5277" w:rsidRPr="00BE1853" w:rsidRDefault="00CB5277" w:rsidP="00BE1853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AU"/>
              </w:rPr>
            </w:pPr>
            <w:r w:rsidRPr="00BE1853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AU"/>
              </w:rPr>
              <w:t xml:space="preserve">Bloodstream infection due to Extended-Spectrum Beta-Lactamase (ESBL) and </w:t>
            </w:r>
            <w:proofErr w:type="spellStart"/>
            <w:r w:rsidRPr="00BE1853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AU"/>
              </w:rPr>
              <w:t>AmpC</w:t>
            </w:r>
            <w:proofErr w:type="spellEnd"/>
            <w:r w:rsidRPr="00BE1853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AU"/>
              </w:rPr>
              <w:t xml:space="preserve">-producing </w:t>
            </w:r>
            <w:proofErr w:type="spellStart"/>
            <w:r w:rsidRPr="00BE1853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AU"/>
              </w:rPr>
              <w:t>Enterobacterales</w:t>
            </w:r>
            <w:proofErr w:type="spellEnd"/>
          </w:p>
        </w:tc>
      </w:tr>
      <w:tr w:rsidR="00CB5277" w:rsidRPr="00BE1853" w14:paraId="675666ED" w14:textId="77777777" w:rsidTr="00CB5277">
        <w:tc>
          <w:tcPr>
            <w:tcW w:w="4508" w:type="dxa"/>
          </w:tcPr>
          <w:p w14:paraId="00D1B83B" w14:textId="4C0C55C4" w:rsidR="00CB5277" w:rsidRPr="00BE1853" w:rsidRDefault="00CB5277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Intervention(s)</w:t>
            </w:r>
          </w:p>
        </w:tc>
        <w:tc>
          <w:tcPr>
            <w:tcW w:w="4508" w:type="dxa"/>
          </w:tcPr>
          <w:p w14:paraId="08956BD4" w14:textId="47A1CDF6" w:rsidR="00CB5277" w:rsidRPr="00BE1853" w:rsidRDefault="00CB5277" w:rsidP="00BE1853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en-AU"/>
              </w:rPr>
            </w:pPr>
            <w:r w:rsidRPr="00BE185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Meropenem 1 gram or </w:t>
            </w:r>
            <w:proofErr w:type="spellStart"/>
            <w:r w:rsidRPr="00BE1853">
              <w:rPr>
                <w:rFonts w:ascii="Arial" w:hAnsi="Arial" w:cs="Arial"/>
                <w:color w:val="000000" w:themeColor="text1"/>
                <w:sz w:val="20"/>
                <w:szCs w:val="20"/>
              </w:rPr>
              <w:t>ceftolozane</w:t>
            </w:r>
            <w:proofErr w:type="spellEnd"/>
            <w:r w:rsidRPr="00BE185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-tazobactam 3 grams, will both be administered every 8 hours intravenously as per product information guidelines. Meropenem will be administered over 30 minutes and </w:t>
            </w:r>
            <w:proofErr w:type="spellStart"/>
            <w:r w:rsidRPr="00BE1853">
              <w:rPr>
                <w:rFonts w:ascii="Arial" w:hAnsi="Arial" w:cs="Arial"/>
                <w:color w:val="000000" w:themeColor="text1"/>
                <w:sz w:val="20"/>
                <w:szCs w:val="20"/>
              </w:rPr>
              <w:t>ceftolozane</w:t>
            </w:r>
            <w:proofErr w:type="spellEnd"/>
            <w:r w:rsidRPr="00BE1853">
              <w:rPr>
                <w:rFonts w:ascii="Arial" w:hAnsi="Arial" w:cs="Arial"/>
                <w:color w:val="000000" w:themeColor="text1"/>
                <w:sz w:val="20"/>
                <w:szCs w:val="20"/>
              </w:rPr>
              <w:t>-tazobactam over 60 minutes</w:t>
            </w:r>
          </w:p>
        </w:tc>
      </w:tr>
      <w:tr w:rsidR="00CB5277" w:rsidRPr="00BE1853" w14:paraId="3697DD0E" w14:textId="77777777" w:rsidTr="00CB5277">
        <w:tc>
          <w:tcPr>
            <w:tcW w:w="4508" w:type="dxa"/>
          </w:tcPr>
          <w:p w14:paraId="5CCA66DE" w14:textId="0FF36DAB" w:rsidR="00CB5277" w:rsidRPr="00BE1853" w:rsidRDefault="00CB5277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Key Inclusion and Exclusion Criteria</w:t>
            </w:r>
          </w:p>
        </w:tc>
        <w:tc>
          <w:tcPr>
            <w:tcW w:w="4508" w:type="dxa"/>
          </w:tcPr>
          <w:p w14:paraId="0DB4FD51" w14:textId="77777777" w:rsidR="00CB5277" w:rsidRPr="00BE1853" w:rsidRDefault="00CB5277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>Inclusion criteria:</w:t>
            </w:r>
          </w:p>
          <w:p w14:paraId="7366BF26" w14:textId="77777777" w:rsidR="00CB5277" w:rsidRPr="00BE1853" w:rsidRDefault="00CB5277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1. Qualifying bloodstream infection is defined as at least one peripheral blood culture draw demonstrating </w:t>
            </w:r>
            <w:proofErr w:type="spellStart"/>
            <w:r w:rsidRPr="00BE1853">
              <w:rPr>
                <w:rFonts w:cs="Arial"/>
              </w:rPr>
              <w:t>Enterobacterales</w:t>
            </w:r>
            <w:proofErr w:type="spellEnd"/>
            <w:r w:rsidRPr="00BE1853">
              <w:rPr>
                <w:rFonts w:cs="Arial"/>
              </w:rPr>
              <w:t xml:space="preserve"> with proven non-susceptibility to third generation cephalosporins or a cephalosporin susceptible chromosomal </w:t>
            </w:r>
            <w:proofErr w:type="spellStart"/>
            <w:r w:rsidRPr="00BE1853">
              <w:rPr>
                <w:rFonts w:cs="Arial"/>
              </w:rPr>
              <w:t>AmpC</w:t>
            </w:r>
            <w:proofErr w:type="spellEnd"/>
            <w:r w:rsidRPr="00BE1853">
              <w:rPr>
                <w:rFonts w:cs="Arial"/>
              </w:rPr>
              <w:t xml:space="preserve">-producing </w:t>
            </w:r>
            <w:proofErr w:type="spellStart"/>
            <w:r w:rsidRPr="00BE1853">
              <w:rPr>
                <w:rFonts w:cs="Arial"/>
              </w:rPr>
              <w:t>Enterobacterales</w:t>
            </w:r>
            <w:proofErr w:type="spellEnd"/>
            <w:r w:rsidRPr="00BE1853">
              <w:rPr>
                <w:rFonts w:cs="Arial"/>
              </w:rPr>
              <w:t xml:space="preserve"> (</w:t>
            </w:r>
            <w:r w:rsidRPr="00BE1853">
              <w:rPr>
                <w:rFonts w:cs="Arial"/>
                <w:i/>
                <w:iCs/>
              </w:rPr>
              <w:t>Enterobacter</w:t>
            </w:r>
            <w:r w:rsidRPr="00BE1853">
              <w:rPr>
                <w:rFonts w:cs="Arial"/>
              </w:rPr>
              <w:t xml:space="preserve"> spp., </w:t>
            </w:r>
            <w:r w:rsidRPr="00BE1853">
              <w:rPr>
                <w:rFonts w:cs="Arial"/>
                <w:i/>
                <w:iCs/>
              </w:rPr>
              <w:t>Klebsiella aerogenes</w:t>
            </w:r>
            <w:r w:rsidRPr="00BE1853">
              <w:rPr>
                <w:rFonts w:cs="Arial"/>
              </w:rPr>
              <w:t xml:space="preserve">, </w:t>
            </w:r>
            <w:r w:rsidRPr="00BE1853">
              <w:rPr>
                <w:rFonts w:cs="Arial"/>
                <w:i/>
                <w:iCs/>
              </w:rPr>
              <w:t xml:space="preserve">Citrobacter </w:t>
            </w:r>
            <w:proofErr w:type="spellStart"/>
            <w:r w:rsidRPr="00BE1853">
              <w:rPr>
                <w:rFonts w:cs="Arial"/>
                <w:i/>
                <w:iCs/>
              </w:rPr>
              <w:t>freundii</w:t>
            </w:r>
            <w:proofErr w:type="spellEnd"/>
            <w:r w:rsidRPr="00BE1853">
              <w:rPr>
                <w:rFonts w:cs="Arial"/>
              </w:rPr>
              <w:t xml:space="preserve">, </w:t>
            </w:r>
            <w:proofErr w:type="spellStart"/>
            <w:r w:rsidRPr="00BE1853">
              <w:rPr>
                <w:rFonts w:cs="Arial"/>
                <w:i/>
                <w:iCs/>
              </w:rPr>
              <w:t>Morganella</w:t>
            </w:r>
            <w:proofErr w:type="spellEnd"/>
            <w:r w:rsidRPr="00BE1853">
              <w:rPr>
                <w:rFonts w:cs="Arial"/>
                <w:i/>
                <w:iCs/>
              </w:rPr>
              <w:t xml:space="preserve"> morganii</w:t>
            </w:r>
            <w:r w:rsidRPr="00BE1853">
              <w:rPr>
                <w:rFonts w:cs="Arial"/>
              </w:rPr>
              <w:t xml:space="preserve">, </w:t>
            </w:r>
            <w:r w:rsidRPr="00BE1853">
              <w:rPr>
                <w:rFonts w:cs="Arial"/>
                <w:i/>
                <w:iCs/>
              </w:rPr>
              <w:t>Providencia</w:t>
            </w:r>
            <w:r w:rsidRPr="00BE1853">
              <w:rPr>
                <w:rFonts w:cs="Arial"/>
              </w:rPr>
              <w:t xml:space="preserve"> spp. or </w:t>
            </w:r>
            <w:r w:rsidRPr="00BE1853">
              <w:rPr>
                <w:rFonts w:cs="Arial"/>
                <w:i/>
                <w:iCs/>
              </w:rPr>
              <w:t>Serratia marcescens</w:t>
            </w:r>
            <w:r w:rsidRPr="00BE1853">
              <w:rPr>
                <w:rFonts w:cs="Arial"/>
              </w:rPr>
              <w:t xml:space="preserve">). Non-susceptibility to third generation cephalosporins (any one of ceftriaxone, </w:t>
            </w:r>
            <w:proofErr w:type="gramStart"/>
            <w:r w:rsidRPr="00BE1853">
              <w:rPr>
                <w:rFonts w:cs="Arial"/>
              </w:rPr>
              <w:t>cefotaxime</w:t>
            </w:r>
            <w:proofErr w:type="gramEnd"/>
            <w:r w:rsidRPr="00BE1853">
              <w:rPr>
                <w:rFonts w:cs="Arial"/>
              </w:rPr>
              <w:t xml:space="preserve"> or ceftazidime) is defined by susceptibility breakpoints used in the local testing laboratory (either EUCAST or CLSI). Bacterial identification to species level will be performed using standard laboratory methods (e.g. MALDI-TOF) and susceptibility testing (e.g. VITEK2) according to local practice and standards. This may include newly </w:t>
            </w:r>
            <w:r w:rsidRPr="00BE1853">
              <w:rPr>
                <w:rFonts w:cs="Arial"/>
              </w:rPr>
              <w:lastRenderedPageBreak/>
              <w:t xml:space="preserve">validated methods such as the Accelerate </w:t>
            </w:r>
            <w:proofErr w:type="spellStart"/>
            <w:r w:rsidRPr="00BE1853">
              <w:rPr>
                <w:rFonts w:cs="Arial"/>
              </w:rPr>
              <w:t>Pheno</w:t>
            </w:r>
            <w:r w:rsidRPr="00BE1853">
              <w:rPr>
                <w:rFonts w:cs="Arial"/>
                <w:vertAlign w:val="superscript"/>
              </w:rPr>
              <w:t>TM</w:t>
            </w:r>
            <w:proofErr w:type="spellEnd"/>
            <w:r w:rsidRPr="00BE1853">
              <w:rPr>
                <w:rFonts w:cs="Arial"/>
              </w:rPr>
              <w:t xml:space="preserve"> system.   </w:t>
            </w:r>
          </w:p>
          <w:p w14:paraId="47C013E2" w14:textId="77777777" w:rsidR="00CB5277" w:rsidRPr="00BE1853" w:rsidRDefault="00CB5277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2. Participant is aged 18 years and over (21 and over in Singapore) </w:t>
            </w:r>
          </w:p>
          <w:p w14:paraId="2EC7A157" w14:textId="77777777" w:rsidR="00CB5277" w:rsidRPr="00BE1853" w:rsidRDefault="00CB5277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3. The participant or approved proxy </w:t>
            </w:r>
            <w:proofErr w:type="gramStart"/>
            <w:r w:rsidRPr="00BE1853">
              <w:rPr>
                <w:rFonts w:cs="Arial"/>
              </w:rPr>
              <w:t>is able to</w:t>
            </w:r>
            <w:proofErr w:type="gramEnd"/>
            <w:r w:rsidRPr="00BE1853">
              <w:rPr>
                <w:rFonts w:cs="Arial"/>
              </w:rPr>
              <w:t xml:space="preserve"> provide informed consent </w:t>
            </w:r>
          </w:p>
          <w:p w14:paraId="3B855116" w14:textId="77777777" w:rsidR="00CB5277" w:rsidRPr="00BE1853" w:rsidRDefault="00CB5277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4. ≤72 hours </w:t>
            </w:r>
            <w:proofErr w:type="gramStart"/>
            <w:r w:rsidRPr="00BE1853">
              <w:rPr>
                <w:rFonts w:cs="Arial"/>
              </w:rPr>
              <w:t>has</w:t>
            </w:r>
            <w:proofErr w:type="gramEnd"/>
            <w:r w:rsidRPr="00BE1853">
              <w:rPr>
                <w:rFonts w:cs="Arial"/>
              </w:rPr>
              <w:t xml:space="preserve"> elapsed since the first positive qualifying (index) blood culture collection </w:t>
            </w:r>
          </w:p>
          <w:p w14:paraId="0484819A" w14:textId="77777777" w:rsidR="00CB5277" w:rsidRPr="00BE1853" w:rsidRDefault="00CB5277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5. Expected to receive IV therapy for ≥5 days.  </w:t>
            </w:r>
          </w:p>
          <w:p w14:paraId="6A6CA4CB" w14:textId="77777777" w:rsidR="00CB5277" w:rsidRPr="00BE1853" w:rsidRDefault="00CB5277" w:rsidP="00BE1853">
            <w:pPr>
              <w:pStyle w:val="Body"/>
              <w:widowControl w:val="0"/>
              <w:rPr>
                <w:rFonts w:cs="Arial"/>
              </w:rPr>
            </w:pPr>
          </w:p>
          <w:p w14:paraId="64FAF442" w14:textId="77777777" w:rsidR="00CB5277" w:rsidRPr="00BE1853" w:rsidRDefault="00CB5277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>Exclusion criteria:</w:t>
            </w:r>
          </w:p>
          <w:p w14:paraId="0A797321" w14:textId="77777777" w:rsidR="00CB5277" w:rsidRPr="00BE1853" w:rsidRDefault="00CB5277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1. Known hypersensitivity to a cephalosporin or a carbapenem, or anaphylaxis to beta-lactam antibiotics. </w:t>
            </w:r>
          </w:p>
          <w:p w14:paraId="704262B9" w14:textId="77777777" w:rsidR="00CB5277" w:rsidRPr="00BE1853" w:rsidRDefault="00CB5277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2. Participant with significant polymicrobial bloodstream infection (i.e. not a contaminant) </w:t>
            </w:r>
          </w:p>
          <w:p w14:paraId="3DD233B7" w14:textId="77777777" w:rsidR="00CB5277" w:rsidRPr="00BE1853" w:rsidRDefault="00CB5277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3. Treatment is not with the intent to cure the infection (i.e. palliative intent) or the expected survival is ≤5 days </w:t>
            </w:r>
          </w:p>
          <w:p w14:paraId="4416CB85" w14:textId="77777777" w:rsidR="00CB5277" w:rsidRPr="00BE1853" w:rsidRDefault="00CB5277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4. Participant is pregnant or breast-feeding </w:t>
            </w:r>
          </w:p>
          <w:p w14:paraId="398A9791" w14:textId="77777777" w:rsidR="00CB5277" w:rsidRPr="00BE1853" w:rsidRDefault="00CB5277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5. Use of concomitant antimicrobials with known activity against Gram-negative bacilli (except trimethoprim/sulfamethoxazole for Pneumocystis prophylaxis and when adding metronidazole for suspected IAI) in the first 5 days post-randomisation </w:t>
            </w:r>
          </w:p>
          <w:p w14:paraId="14E55EE2" w14:textId="77777777" w:rsidR="00CB5277" w:rsidRPr="00BE1853" w:rsidRDefault="00CB5277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>6. Participants with creatinine clearance (</w:t>
            </w:r>
            <w:proofErr w:type="spellStart"/>
            <w:r w:rsidRPr="00BE1853">
              <w:rPr>
                <w:rFonts w:cs="Arial"/>
              </w:rPr>
              <w:t>CrCl</w:t>
            </w:r>
            <w:proofErr w:type="spellEnd"/>
            <w:r w:rsidRPr="00BE1853">
              <w:rPr>
                <w:rFonts w:cs="Arial"/>
              </w:rPr>
              <w:t xml:space="preserve">) &lt;15 mL/minute (determined by Cockcroft-Gault formula or Modification of Diet in Renal Disease (MDRD) formula) or on renal replacement therapy  </w:t>
            </w:r>
          </w:p>
          <w:p w14:paraId="3E75C956" w14:textId="77777777" w:rsidR="00CB5277" w:rsidRPr="00BE1853" w:rsidRDefault="00CB5277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7. Previously randomised in the MERINO-3 trial or concurrently enrolled in another therapeutic antibiotic clinical trial </w:t>
            </w:r>
          </w:p>
          <w:p w14:paraId="5BD93374" w14:textId="4A5138E9" w:rsidR="00CB5277" w:rsidRPr="00BE1853" w:rsidRDefault="00CB5277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8. Blood culture isolate with in-vitro resistance to either meropenem or </w:t>
            </w:r>
            <w:proofErr w:type="spellStart"/>
            <w:r w:rsidRPr="00BE1853">
              <w:rPr>
                <w:rFonts w:cs="Arial"/>
              </w:rPr>
              <w:t>ceftolozane</w:t>
            </w:r>
            <w:proofErr w:type="spellEnd"/>
            <w:r w:rsidRPr="00BE1853">
              <w:rPr>
                <w:rFonts w:cs="Arial"/>
              </w:rPr>
              <w:t xml:space="preserve">-tazobactam (known either at time of enrolment or </w:t>
            </w:r>
            <w:proofErr w:type="gramStart"/>
            <w:r w:rsidRPr="00BE1853">
              <w:rPr>
                <w:rFonts w:cs="Arial"/>
              </w:rPr>
              <w:t>during the course of</w:t>
            </w:r>
            <w:proofErr w:type="gramEnd"/>
            <w:r w:rsidRPr="00BE1853">
              <w:rPr>
                <w:rFonts w:cs="Arial"/>
              </w:rPr>
              <w:t xml:space="preserve"> study treatment, in which case the participant will be withdrawn).</w:t>
            </w:r>
          </w:p>
        </w:tc>
      </w:tr>
      <w:tr w:rsidR="00CB5277" w:rsidRPr="00BE1853" w14:paraId="57381350" w14:textId="77777777" w:rsidTr="00CB5277">
        <w:tc>
          <w:tcPr>
            <w:tcW w:w="4508" w:type="dxa"/>
          </w:tcPr>
          <w:p w14:paraId="7F02DF91" w14:textId="5F75EEA6" w:rsidR="00CB5277" w:rsidRPr="00BE1853" w:rsidRDefault="00CB5277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lastRenderedPageBreak/>
              <w:t>Study Type</w:t>
            </w:r>
          </w:p>
        </w:tc>
        <w:tc>
          <w:tcPr>
            <w:tcW w:w="4508" w:type="dxa"/>
          </w:tcPr>
          <w:p w14:paraId="2C47BD5B" w14:textId="175600EC" w:rsidR="00CB5277" w:rsidRPr="00BE1853" w:rsidRDefault="00BF0D9D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Phase 3 open-label, randomised, parallel group non-inferiority trial </w:t>
            </w:r>
          </w:p>
        </w:tc>
      </w:tr>
      <w:tr w:rsidR="00BF0D9D" w:rsidRPr="00BE1853" w14:paraId="7C2F2C54" w14:textId="77777777" w:rsidTr="00CB5277">
        <w:tc>
          <w:tcPr>
            <w:tcW w:w="4508" w:type="dxa"/>
          </w:tcPr>
          <w:p w14:paraId="7D70993C" w14:textId="5614BFB2" w:rsidR="00BF0D9D" w:rsidRPr="00BE1853" w:rsidRDefault="00BF0D9D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 xml:space="preserve">Date of First </w:t>
            </w:r>
            <w:proofErr w:type="spellStart"/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Enrollment</w:t>
            </w:r>
            <w:proofErr w:type="spellEnd"/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4508" w:type="dxa"/>
          </w:tcPr>
          <w:p w14:paraId="63B39A31" w14:textId="6AC5F12A" w:rsidR="00BF0D9D" w:rsidRPr="00BE1853" w:rsidRDefault="0063097A" w:rsidP="00BE1853">
            <w:pPr>
              <w:pStyle w:val="Body"/>
              <w:widowControl w:val="0"/>
              <w:rPr>
                <w:rFonts w:cs="Arial"/>
              </w:rPr>
            </w:pPr>
            <w:r>
              <w:rPr>
                <w:rFonts w:cs="Arial"/>
              </w:rPr>
              <w:t>January</w:t>
            </w:r>
            <w:r w:rsidR="00BF0D9D" w:rsidRPr="00BE1853">
              <w:rPr>
                <w:rFonts w:cs="Arial"/>
              </w:rPr>
              <w:t xml:space="preserve"> 202</w:t>
            </w:r>
            <w:r>
              <w:rPr>
                <w:rFonts w:cs="Arial"/>
              </w:rPr>
              <w:t>2</w:t>
            </w:r>
          </w:p>
        </w:tc>
      </w:tr>
      <w:tr w:rsidR="00BF0D9D" w:rsidRPr="00BE1853" w14:paraId="25473890" w14:textId="77777777" w:rsidTr="00CB5277">
        <w:tc>
          <w:tcPr>
            <w:tcW w:w="4508" w:type="dxa"/>
          </w:tcPr>
          <w:p w14:paraId="1683BC75" w14:textId="60994990" w:rsidR="00BF0D9D" w:rsidRPr="00BE1853" w:rsidRDefault="00BF0D9D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Sample Size</w:t>
            </w:r>
          </w:p>
        </w:tc>
        <w:tc>
          <w:tcPr>
            <w:tcW w:w="4508" w:type="dxa"/>
          </w:tcPr>
          <w:p w14:paraId="56E188BA" w14:textId="19F0CEDA" w:rsidR="00BF0D9D" w:rsidRPr="00BE1853" w:rsidRDefault="00BF0D9D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Planning to enrol 600 participants </w:t>
            </w:r>
          </w:p>
        </w:tc>
      </w:tr>
      <w:tr w:rsidR="00BF0D9D" w:rsidRPr="00BE1853" w14:paraId="5FBB49AA" w14:textId="77777777" w:rsidTr="00CB5277">
        <w:tc>
          <w:tcPr>
            <w:tcW w:w="4508" w:type="dxa"/>
          </w:tcPr>
          <w:p w14:paraId="373918B8" w14:textId="433D722F" w:rsidR="00BF0D9D" w:rsidRPr="00BE1853" w:rsidRDefault="00BF0D9D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Recruitment Status</w:t>
            </w:r>
          </w:p>
        </w:tc>
        <w:tc>
          <w:tcPr>
            <w:tcW w:w="4508" w:type="dxa"/>
          </w:tcPr>
          <w:p w14:paraId="24760C1C" w14:textId="3F45F096" w:rsidR="00BF0D9D" w:rsidRPr="00BE1853" w:rsidRDefault="00BF0D9D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>Pending: participants are not yet being recruited</w:t>
            </w:r>
          </w:p>
        </w:tc>
      </w:tr>
      <w:tr w:rsidR="00BF0D9D" w:rsidRPr="00BE1853" w14:paraId="25B19E94" w14:textId="77777777" w:rsidTr="00CB5277">
        <w:tc>
          <w:tcPr>
            <w:tcW w:w="4508" w:type="dxa"/>
          </w:tcPr>
          <w:p w14:paraId="02E0039A" w14:textId="7B6F17E8" w:rsidR="00BF0D9D" w:rsidRPr="00BE1853" w:rsidRDefault="00BF0D9D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Primary Outcome(s)</w:t>
            </w:r>
          </w:p>
        </w:tc>
        <w:tc>
          <w:tcPr>
            <w:tcW w:w="4508" w:type="dxa"/>
          </w:tcPr>
          <w:p w14:paraId="66F6D0B5" w14:textId="2F51748B" w:rsidR="00BF0D9D" w:rsidRPr="00BE1853" w:rsidRDefault="00BF0D9D" w:rsidP="00BE1853">
            <w:pPr>
              <w:pStyle w:val="Body"/>
              <w:widowControl w:val="0"/>
              <w:rPr>
                <w:rFonts w:cs="Arial"/>
              </w:rPr>
            </w:pPr>
            <w:proofErr w:type="gramStart"/>
            <w:r w:rsidRPr="00BE1853">
              <w:rPr>
                <w:rFonts w:cs="Arial"/>
              </w:rPr>
              <w:t>30 day</w:t>
            </w:r>
            <w:proofErr w:type="gramEnd"/>
            <w:r w:rsidRPr="00BE1853">
              <w:rPr>
                <w:rFonts w:cs="Arial"/>
              </w:rPr>
              <w:t xml:space="preserve"> all-cause mortality post-randomisation </w:t>
            </w:r>
          </w:p>
        </w:tc>
      </w:tr>
      <w:tr w:rsidR="00BF0D9D" w:rsidRPr="00BE1853" w14:paraId="23A85F1D" w14:textId="77777777" w:rsidTr="00CB5277">
        <w:tc>
          <w:tcPr>
            <w:tcW w:w="4508" w:type="dxa"/>
          </w:tcPr>
          <w:p w14:paraId="455A7644" w14:textId="7FA4A9A9" w:rsidR="00BF0D9D" w:rsidRPr="00BE1853" w:rsidRDefault="00BF0D9D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Key Secondary Outcome(s)</w:t>
            </w:r>
          </w:p>
        </w:tc>
        <w:tc>
          <w:tcPr>
            <w:tcW w:w="4508" w:type="dxa"/>
          </w:tcPr>
          <w:p w14:paraId="46C314E0" w14:textId="5EADA32C" w:rsidR="00BF0D9D" w:rsidRPr="00BE1853" w:rsidRDefault="00BF0D9D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1. </w:t>
            </w:r>
            <w:proofErr w:type="gramStart"/>
            <w:r w:rsidRPr="00BE1853">
              <w:rPr>
                <w:rFonts w:cs="Arial"/>
              </w:rPr>
              <w:t>14 day</w:t>
            </w:r>
            <w:proofErr w:type="gramEnd"/>
            <w:r w:rsidRPr="00BE1853">
              <w:rPr>
                <w:rFonts w:cs="Arial"/>
              </w:rPr>
              <w:t xml:space="preserve"> all-cause mortality post-randomisation </w:t>
            </w:r>
          </w:p>
          <w:p w14:paraId="4504B8CF" w14:textId="2DF8D0F8" w:rsidR="00BF0D9D" w:rsidRPr="00BE1853" w:rsidRDefault="00BF0D9D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2. Clinical and microbiologic success at day 5 post-randomisation (participant alive, fever resolved &lt;38°C, SOFA score or modified SOFA score improved, absence of growth of index organism from blood culture) </w:t>
            </w:r>
          </w:p>
          <w:p w14:paraId="6132A91A" w14:textId="58B0C12E" w:rsidR="00BF0D9D" w:rsidRPr="00BE1853" w:rsidRDefault="00BF0D9D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3. Functional Bacteraemia Score (FBS) at 30 days post-randomisation  </w:t>
            </w:r>
          </w:p>
          <w:p w14:paraId="6F8E245B" w14:textId="1BDD38B1" w:rsidR="00BF0D9D" w:rsidRPr="00BE1853" w:rsidRDefault="00BF0D9D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>4. Rates of microbiological relapse (growth of same organism as index blood culture up to 30 days post-randomisation)</w:t>
            </w:r>
          </w:p>
          <w:p w14:paraId="3B15B610" w14:textId="559D56F5" w:rsidR="00BF0D9D" w:rsidRPr="00BE1853" w:rsidRDefault="00BF0D9D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5. Growth of a new organism from blood cultures (not a contaminant) up to and </w:t>
            </w:r>
            <w:proofErr w:type="gramStart"/>
            <w:r w:rsidRPr="00BE1853">
              <w:rPr>
                <w:rFonts w:cs="Arial"/>
              </w:rPr>
              <w:t>including  30</w:t>
            </w:r>
            <w:proofErr w:type="gramEnd"/>
            <w:r w:rsidRPr="00BE1853">
              <w:rPr>
                <w:rFonts w:cs="Arial"/>
              </w:rPr>
              <w:t xml:space="preserve"> days post-randomisation</w:t>
            </w:r>
          </w:p>
          <w:p w14:paraId="4AF65928" w14:textId="77777777" w:rsidR="00BF0D9D" w:rsidRPr="00BE1853" w:rsidRDefault="00BF0D9D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6. Length of hospital and ICU stay with each </w:t>
            </w:r>
            <w:r w:rsidRPr="00BE1853">
              <w:rPr>
                <w:rFonts w:cs="Arial"/>
              </w:rPr>
              <w:lastRenderedPageBreak/>
              <w:t xml:space="preserve">regimen  </w:t>
            </w:r>
          </w:p>
          <w:p w14:paraId="67C72919" w14:textId="77777777" w:rsidR="00BF0D9D" w:rsidRPr="00BE1853" w:rsidRDefault="00BF0D9D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7. Treatment emergent serious adverse events </w:t>
            </w:r>
          </w:p>
          <w:p w14:paraId="5E808E8E" w14:textId="77777777" w:rsidR="00BF0D9D" w:rsidRPr="00BE1853" w:rsidRDefault="00BF0D9D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8. Rates of Clostridium Difficile Infection (CDI) post treatment </w:t>
            </w:r>
          </w:p>
          <w:p w14:paraId="04E9BBB3" w14:textId="77777777" w:rsidR="00BF0D9D" w:rsidRPr="00BE1853" w:rsidRDefault="00BF0D9D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 xml:space="preserve">9. Rates of colonization and/or infection with multi-resistant bacterial organisms (MROs) </w:t>
            </w:r>
          </w:p>
          <w:p w14:paraId="15D27AE7" w14:textId="77777777" w:rsidR="00BF0D9D" w:rsidRPr="00BE1853" w:rsidRDefault="00BF0D9D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>10. Desirability of Outcome Ranking (DOOR) with partial credit for both groups.</w:t>
            </w:r>
          </w:p>
          <w:p w14:paraId="3A77DEBA" w14:textId="77777777" w:rsidR="00BF0D9D" w:rsidRPr="00BE1853" w:rsidRDefault="00BF0D9D" w:rsidP="00BE1853">
            <w:pPr>
              <w:pStyle w:val="Body"/>
              <w:widowControl w:val="0"/>
              <w:rPr>
                <w:rFonts w:cs="Arial"/>
              </w:rPr>
            </w:pPr>
          </w:p>
        </w:tc>
      </w:tr>
      <w:tr w:rsidR="00BE1853" w:rsidRPr="00BE1853" w14:paraId="3D8DAD61" w14:textId="77777777" w:rsidTr="00CB5277">
        <w:tc>
          <w:tcPr>
            <w:tcW w:w="4508" w:type="dxa"/>
          </w:tcPr>
          <w:p w14:paraId="79042FE8" w14:textId="2B16DAD1" w:rsidR="00BE1853" w:rsidRPr="00BE1853" w:rsidRDefault="00BE1853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lastRenderedPageBreak/>
              <w:t>Ethics Review</w:t>
            </w:r>
          </w:p>
        </w:tc>
        <w:tc>
          <w:tcPr>
            <w:tcW w:w="4508" w:type="dxa"/>
          </w:tcPr>
          <w:p w14:paraId="3455885D" w14:textId="77777777" w:rsidR="00BE1853" w:rsidRPr="00BE1853" w:rsidRDefault="00BE1853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>Approved 17</w:t>
            </w:r>
            <w:r w:rsidRPr="00BE1853">
              <w:rPr>
                <w:rFonts w:cs="Arial"/>
                <w:vertAlign w:val="superscript"/>
              </w:rPr>
              <w:t>th</w:t>
            </w:r>
            <w:r w:rsidRPr="00BE1853">
              <w:rPr>
                <w:rFonts w:cs="Arial"/>
              </w:rPr>
              <w:t xml:space="preserve"> </w:t>
            </w:r>
            <w:proofErr w:type="gramStart"/>
            <w:r w:rsidRPr="00BE1853">
              <w:rPr>
                <w:rFonts w:cs="Arial"/>
              </w:rPr>
              <w:t>February,</w:t>
            </w:r>
            <w:proofErr w:type="gramEnd"/>
            <w:r w:rsidRPr="00BE1853">
              <w:rPr>
                <w:rFonts w:cs="Arial"/>
              </w:rPr>
              <w:t xml:space="preserve"> 2020</w:t>
            </w:r>
          </w:p>
          <w:p w14:paraId="0EC496CC" w14:textId="77777777" w:rsidR="00BE1853" w:rsidRPr="00BE1853" w:rsidRDefault="00BE1853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>Royal Brisbane &amp; Women’s Hospital Human Research Ethics Committee</w:t>
            </w:r>
          </w:p>
          <w:p w14:paraId="30AED0D1" w14:textId="053C00E2" w:rsidR="00BE1853" w:rsidRPr="00BE1853" w:rsidRDefault="00BE1853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>RBWH-Ethics@health.qld.gov.au</w:t>
            </w:r>
          </w:p>
        </w:tc>
      </w:tr>
      <w:tr w:rsidR="00BE1853" w:rsidRPr="00BE1853" w14:paraId="43F2D82E" w14:textId="77777777" w:rsidTr="00CB5277">
        <w:tc>
          <w:tcPr>
            <w:tcW w:w="4508" w:type="dxa"/>
          </w:tcPr>
          <w:p w14:paraId="3E1A53AA" w14:textId="41892F78" w:rsidR="00BE1853" w:rsidRPr="00BE1853" w:rsidRDefault="00BE1853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Completion Date</w:t>
            </w:r>
          </w:p>
        </w:tc>
        <w:tc>
          <w:tcPr>
            <w:tcW w:w="4508" w:type="dxa"/>
          </w:tcPr>
          <w:p w14:paraId="1308640C" w14:textId="1A36A59C" w:rsidR="00BE1853" w:rsidRPr="00BE1853" w:rsidRDefault="00BE1853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>January 2024</w:t>
            </w:r>
          </w:p>
        </w:tc>
      </w:tr>
      <w:tr w:rsidR="00BE1853" w:rsidRPr="00BE1853" w14:paraId="26FD6BD4" w14:textId="77777777" w:rsidTr="00CB5277">
        <w:tc>
          <w:tcPr>
            <w:tcW w:w="4508" w:type="dxa"/>
          </w:tcPr>
          <w:p w14:paraId="7E23F84A" w14:textId="74E20C44" w:rsidR="00BE1853" w:rsidRPr="00BE1853" w:rsidRDefault="00BE1853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Summary Results</w:t>
            </w:r>
          </w:p>
        </w:tc>
        <w:tc>
          <w:tcPr>
            <w:tcW w:w="4508" w:type="dxa"/>
          </w:tcPr>
          <w:p w14:paraId="44F931EF" w14:textId="484BCD01" w:rsidR="00BE1853" w:rsidRPr="00BE1853" w:rsidRDefault="00BE1853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>N/A</w:t>
            </w:r>
          </w:p>
        </w:tc>
      </w:tr>
      <w:tr w:rsidR="00BE1853" w:rsidRPr="00BE1853" w14:paraId="5EF986B8" w14:textId="77777777" w:rsidTr="00CB5277">
        <w:tc>
          <w:tcPr>
            <w:tcW w:w="4508" w:type="dxa"/>
          </w:tcPr>
          <w:p w14:paraId="463C0325" w14:textId="2A8F5728" w:rsidR="00BE1853" w:rsidRPr="00BE1853" w:rsidRDefault="00BE1853" w:rsidP="00BE18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E1853">
              <w:rPr>
                <w:rFonts w:ascii="Arial" w:hAnsi="Arial" w:cs="Arial"/>
                <w:sz w:val="20"/>
                <w:szCs w:val="20"/>
                <w:lang w:val="en-AU"/>
              </w:rPr>
              <w:t>IPD Sharing Statement</w:t>
            </w:r>
          </w:p>
        </w:tc>
        <w:tc>
          <w:tcPr>
            <w:tcW w:w="4508" w:type="dxa"/>
          </w:tcPr>
          <w:p w14:paraId="07518F77" w14:textId="5A123D54" w:rsidR="00BE1853" w:rsidRPr="00BE1853" w:rsidRDefault="00BE1853" w:rsidP="00BE1853">
            <w:pPr>
              <w:pStyle w:val="Body"/>
              <w:widowControl w:val="0"/>
              <w:rPr>
                <w:rFonts w:cs="Arial"/>
              </w:rPr>
            </w:pPr>
            <w:r w:rsidRPr="00BE1853">
              <w:rPr>
                <w:rFonts w:cs="Arial"/>
              </w:rPr>
              <w:t>IPD will be shared to contribute to future meta-analyses</w:t>
            </w:r>
          </w:p>
        </w:tc>
      </w:tr>
    </w:tbl>
    <w:p w14:paraId="16D4B85E" w14:textId="77777777" w:rsidR="00CB5277" w:rsidRPr="00BE1853" w:rsidRDefault="00CB5277" w:rsidP="00BE1853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sectPr w:rsidR="00CB5277" w:rsidRPr="00BE18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98E326" w14:textId="77777777" w:rsidR="00285D0B" w:rsidRDefault="00285D0B" w:rsidP="0063097A">
      <w:pPr>
        <w:spacing w:after="0" w:line="240" w:lineRule="auto"/>
      </w:pPr>
      <w:r>
        <w:separator/>
      </w:r>
    </w:p>
  </w:endnote>
  <w:endnote w:type="continuationSeparator" w:id="0">
    <w:p w14:paraId="5F50E634" w14:textId="77777777" w:rsidR="00285D0B" w:rsidRDefault="00285D0B" w:rsidP="00630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CFDDE3" w14:textId="77777777" w:rsidR="00285D0B" w:rsidRDefault="00285D0B" w:rsidP="0063097A">
      <w:pPr>
        <w:spacing w:after="0" w:line="240" w:lineRule="auto"/>
      </w:pPr>
      <w:r>
        <w:separator/>
      </w:r>
    </w:p>
  </w:footnote>
  <w:footnote w:type="continuationSeparator" w:id="0">
    <w:p w14:paraId="61B8B548" w14:textId="77777777" w:rsidR="00285D0B" w:rsidRDefault="00285D0B" w:rsidP="006309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F105FC"/>
    <w:multiLevelType w:val="hybridMultilevel"/>
    <w:tmpl w:val="AB20842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77"/>
    <w:rsid w:val="00285D0B"/>
    <w:rsid w:val="00576F9C"/>
    <w:rsid w:val="0063097A"/>
    <w:rsid w:val="00BE1853"/>
    <w:rsid w:val="00BF0D9D"/>
    <w:rsid w:val="00CB5277"/>
    <w:rsid w:val="00FA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E640A1"/>
  <w15:chartTrackingRefBased/>
  <w15:docId w15:val="{9C37D0AD-9CD2-415C-A8DD-166DE5EB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GB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5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52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27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277"/>
    <w:rPr>
      <w:rFonts w:ascii="Segoe UI" w:hAnsi="Segoe UI" w:cs="Angsana New"/>
      <w:sz w:val="18"/>
      <w:szCs w:val="22"/>
    </w:rPr>
  </w:style>
  <w:style w:type="paragraph" w:customStyle="1" w:styleId="Body">
    <w:name w:val="Body"/>
    <w:rsid w:val="00CB527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BE18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185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309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97A"/>
  </w:style>
  <w:style w:type="paragraph" w:styleId="Footer">
    <w:name w:val="footer"/>
    <w:basedOn w:val="Normal"/>
    <w:link w:val="FooterChar"/>
    <w:uiPriority w:val="99"/>
    <w:unhideWhenUsed/>
    <w:rsid w:val="006309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Stewart</dc:creator>
  <cp:keywords/>
  <dc:description/>
  <cp:lastModifiedBy>Adam Stewart</cp:lastModifiedBy>
  <cp:revision>2</cp:revision>
  <dcterms:created xsi:type="dcterms:W3CDTF">2021-03-04T11:50:00Z</dcterms:created>
  <dcterms:modified xsi:type="dcterms:W3CDTF">2021-03-04T11:50:00Z</dcterms:modified>
</cp:coreProperties>
</file>