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D8259" w14:textId="77777777" w:rsidR="00D020FF" w:rsidRPr="00794A38" w:rsidRDefault="00D020FF" w:rsidP="00D020FF">
      <w:pPr>
        <w:pStyle w:val="Body"/>
        <w:widowControl w:val="0"/>
        <w:spacing w:before="120" w:line="360" w:lineRule="auto"/>
        <w:rPr>
          <w:rStyle w:val="None"/>
          <w:b/>
          <w:bCs/>
          <w:sz w:val="24"/>
          <w:szCs w:val="24"/>
          <w:lang w:val="en-AU"/>
        </w:rPr>
      </w:pPr>
      <w:bookmarkStart w:id="0" w:name="_Toc50383823"/>
      <w:r w:rsidRPr="007C12D1">
        <w:rPr>
          <w:rStyle w:val="None"/>
          <w:b/>
          <w:bCs/>
          <w:sz w:val="24"/>
          <w:szCs w:val="24"/>
          <w:lang w:val="en-AU"/>
        </w:rPr>
        <w:t>Adverse event reporting and harms {22}</w:t>
      </w:r>
    </w:p>
    <w:p w14:paraId="5A7CEAD0" w14:textId="1B2DA790" w:rsidR="00C55307" w:rsidRDefault="005C22F3" w:rsidP="00C55307">
      <w:pPr>
        <w:pStyle w:val="Heading2"/>
        <w:rPr>
          <w:rFonts w:cs="Arial"/>
          <w:sz w:val="20"/>
          <w:szCs w:val="20"/>
          <w:lang w:val="en-AU"/>
        </w:rPr>
      </w:pPr>
      <w:r w:rsidRPr="00EA1DAA">
        <w:rPr>
          <w:rFonts w:cs="Arial"/>
          <w:sz w:val="20"/>
          <w:szCs w:val="20"/>
          <w:lang w:val="en-AU"/>
        </w:rPr>
        <w:t>Definitions</w:t>
      </w:r>
      <w:bookmarkEnd w:id="0"/>
    </w:p>
    <w:p w14:paraId="4181FAE1" w14:textId="5FFCEFDE" w:rsidR="00C55307" w:rsidRDefault="00C55307" w:rsidP="00C55307">
      <w:pPr>
        <w:rPr>
          <w:rFonts w:ascii="Arial" w:hAnsi="Arial" w:cs="Arial"/>
          <w:sz w:val="20"/>
          <w:szCs w:val="20"/>
        </w:rPr>
      </w:pPr>
      <w:r>
        <w:rPr>
          <w:rFonts w:ascii="Arial" w:hAnsi="Arial" w:cs="Arial"/>
          <w:sz w:val="20"/>
          <w:szCs w:val="20"/>
        </w:rPr>
        <w:t xml:space="preserve">The trial will use the following definitions as recommended by the </w:t>
      </w:r>
      <w:r w:rsidRPr="00C55307">
        <w:rPr>
          <w:rFonts w:ascii="Arial" w:hAnsi="Arial" w:cs="Arial"/>
          <w:sz w:val="20"/>
          <w:szCs w:val="20"/>
        </w:rPr>
        <w:t xml:space="preserve">National Health and Medical Research Council Safety monitoring </w:t>
      </w:r>
      <w:r>
        <w:rPr>
          <w:rFonts w:ascii="Arial" w:hAnsi="Arial" w:cs="Arial"/>
          <w:sz w:val="20"/>
          <w:szCs w:val="20"/>
        </w:rPr>
        <w:t>guidelines for clinical trials involving therapeutic devices.</w:t>
      </w:r>
    </w:p>
    <w:p w14:paraId="058AEEB8" w14:textId="77777777" w:rsidR="00C55307" w:rsidRPr="00C55307" w:rsidRDefault="00C55307" w:rsidP="00C55307">
      <w:pPr>
        <w:rPr>
          <w:rFonts w:ascii="Arial" w:hAnsi="Arial" w:cs="Arial"/>
          <w:sz w:val="20"/>
          <w:szCs w:val="20"/>
          <w:lang w:val="en-AU"/>
        </w:rPr>
      </w:pPr>
    </w:p>
    <w:p w14:paraId="73DF8238" w14:textId="77777777" w:rsidR="005C22F3" w:rsidRPr="00EA1DAA" w:rsidRDefault="005C22F3" w:rsidP="005C22F3">
      <w:pPr>
        <w:pStyle w:val="NoSpacing"/>
        <w:rPr>
          <w:rFonts w:ascii="Arial" w:hAnsi="Arial" w:cs="Arial"/>
          <w:b/>
          <w:bCs/>
          <w:sz w:val="20"/>
          <w:szCs w:val="20"/>
        </w:rPr>
      </w:pPr>
      <w:r w:rsidRPr="00EA1DAA">
        <w:rPr>
          <w:rFonts w:ascii="Arial" w:hAnsi="Arial" w:cs="Arial"/>
          <w:b/>
          <w:bCs/>
          <w:sz w:val="20"/>
          <w:szCs w:val="20"/>
        </w:rPr>
        <w:t xml:space="preserve">Adverse Event (AE) </w:t>
      </w:r>
    </w:p>
    <w:p w14:paraId="6093A4FD" w14:textId="77777777" w:rsidR="005C22F3" w:rsidRPr="00EA1DAA" w:rsidRDefault="005C22F3" w:rsidP="005C22F3">
      <w:pPr>
        <w:pStyle w:val="NoSpacing"/>
        <w:rPr>
          <w:rFonts w:ascii="Arial" w:hAnsi="Arial" w:cs="Arial"/>
          <w:sz w:val="20"/>
          <w:szCs w:val="20"/>
        </w:rPr>
      </w:pPr>
      <w:r w:rsidRPr="00EA1DAA">
        <w:rPr>
          <w:rFonts w:ascii="Arial" w:hAnsi="Arial" w:cs="Arial"/>
          <w:sz w:val="20"/>
          <w:szCs w:val="20"/>
        </w:rPr>
        <w:t xml:space="preserve">Any untoward medical occurrence, unintended disease or injury, or untoward clinical signs in participants, users, or other persons, </w:t>
      </w:r>
      <w:proofErr w:type="gramStart"/>
      <w:r w:rsidRPr="00EA1DAA">
        <w:rPr>
          <w:rFonts w:ascii="Arial" w:hAnsi="Arial" w:cs="Arial"/>
          <w:sz w:val="20"/>
          <w:szCs w:val="20"/>
        </w:rPr>
        <w:t>whether or not</w:t>
      </w:r>
      <w:proofErr w:type="gramEnd"/>
      <w:r w:rsidRPr="00EA1DAA">
        <w:rPr>
          <w:rFonts w:ascii="Arial" w:hAnsi="Arial" w:cs="Arial"/>
          <w:sz w:val="20"/>
          <w:szCs w:val="20"/>
        </w:rPr>
        <w:t xml:space="preserve"> related to the investigational medical device.</w:t>
      </w:r>
    </w:p>
    <w:p w14:paraId="1B2D677D" w14:textId="77777777" w:rsidR="005C22F3" w:rsidRPr="00EA1DAA" w:rsidRDefault="005C22F3" w:rsidP="005C22F3">
      <w:pPr>
        <w:pStyle w:val="NoSpacing"/>
        <w:rPr>
          <w:rFonts w:ascii="Arial" w:hAnsi="Arial" w:cs="Arial"/>
          <w:sz w:val="20"/>
          <w:szCs w:val="20"/>
        </w:rPr>
      </w:pPr>
    </w:p>
    <w:p w14:paraId="37E7D744" w14:textId="77777777" w:rsidR="005C22F3" w:rsidRPr="00EA1DAA" w:rsidRDefault="005C22F3" w:rsidP="005C22F3">
      <w:pPr>
        <w:pStyle w:val="NoSpacing"/>
        <w:rPr>
          <w:rFonts w:ascii="Arial" w:hAnsi="Arial" w:cs="Arial"/>
          <w:b/>
          <w:bCs/>
          <w:sz w:val="20"/>
          <w:szCs w:val="20"/>
        </w:rPr>
      </w:pPr>
      <w:r w:rsidRPr="00EA1DAA">
        <w:rPr>
          <w:rFonts w:ascii="Arial" w:hAnsi="Arial" w:cs="Arial"/>
          <w:b/>
          <w:bCs/>
          <w:sz w:val="20"/>
          <w:szCs w:val="20"/>
        </w:rPr>
        <w:t>Adverse Device Effect (ADE)</w:t>
      </w:r>
    </w:p>
    <w:p w14:paraId="543A0FAA" w14:textId="77777777" w:rsidR="005C22F3" w:rsidRPr="00EA1DAA" w:rsidRDefault="005C22F3" w:rsidP="005C22F3">
      <w:pPr>
        <w:pStyle w:val="NoSpacing"/>
        <w:rPr>
          <w:rFonts w:ascii="Arial" w:hAnsi="Arial" w:cs="Arial"/>
          <w:sz w:val="20"/>
          <w:szCs w:val="20"/>
        </w:rPr>
      </w:pPr>
      <w:r w:rsidRPr="00EA1DAA">
        <w:rPr>
          <w:rFonts w:ascii="Arial" w:hAnsi="Arial" w:cs="Arial"/>
          <w:sz w:val="20"/>
          <w:szCs w:val="20"/>
        </w:rPr>
        <w:t>Adverse event related to the use of an investigational medical device. In this trial an example of an ADE may be increased anxiety associated with the intervention.</w:t>
      </w:r>
    </w:p>
    <w:p w14:paraId="5277BCEE" w14:textId="77777777" w:rsidR="005C22F3" w:rsidRPr="00EA1DAA" w:rsidRDefault="005C22F3" w:rsidP="005C22F3">
      <w:pPr>
        <w:pStyle w:val="NoSpacing"/>
        <w:rPr>
          <w:rFonts w:ascii="Arial" w:hAnsi="Arial" w:cs="Arial"/>
          <w:sz w:val="20"/>
          <w:szCs w:val="20"/>
        </w:rPr>
      </w:pPr>
    </w:p>
    <w:p w14:paraId="5697DDF0" w14:textId="77777777" w:rsidR="005C22F3" w:rsidRPr="00EA1DAA" w:rsidRDefault="005C22F3" w:rsidP="005C22F3">
      <w:pPr>
        <w:pStyle w:val="NoSpacing"/>
        <w:rPr>
          <w:rFonts w:ascii="Arial" w:hAnsi="Arial" w:cs="Arial"/>
          <w:b/>
          <w:bCs/>
          <w:sz w:val="20"/>
          <w:szCs w:val="20"/>
        </w:rPr>
      </w:pPr>
      <w:r w:rsidRPr="00EA1DAA">
        <w:rPr>
          <w:rFonts w:ascii="Arial" w:hAnsi="Arial" w:cs="Arial"/>
          <w:b/>
          <w:bCs/>
          <w:sz w:val="20"/>
          <w:szCs w:val="20"/>
        </w:rPr>
        <w:t xml:space="preserve">Device Deficiencies </w:t>
      </w:r>
    </w:p>
    <w:p w14:paraId="1B2A141C" w14:textId="77777777" w:rsidR="005C22F3" w:rsidRPr="00EA1DAA" w:rsidRDefault="005C22F3" w:rsidP="005C22F3">
      <w:pPr>
        <w:pStyle w:val="NoSpacing"/>
        <w:rPr>
          <w:rFonts w:ascii="Arial" w:hAnsi="Arial" w:cs="Arial"/>
          <w:sz w:val="20"/>
          <w:szCs w:val="20"/>
        </w:rPr>
      </w:pPr>
      <w:r w:rsidRPr="00EA1DAA">
        <w:rPr>
          <w:rFonts w:ascii="Arial" w:hAnsi="Arial" w:cs="Arial"/>
          <w:sz w:val="20"/>
          <w:szCs w:val="20"/>
        </w:rPr>
        <w:t xml:space="preserve">Inadequacy of a medical device with respect to its identity, quality, durability, reliability, </w:t>
      </w:r>
      <w:proofErr w:type="gramStart"/>
      <w:r w:rsidRPr="00EA1DAA">
        <w:rPr>
          <w:rFonts w:ascii="Arial" w:hAnsi="Arial" w:cs="Arial"/>
          <w:sz w:val="20"/>
          <w:szCs w:val="20"/>
        </w:rPr>
        <w:t>safety</w:t>
      </w:r>
      <w:proofErr w:type="gramEnd"/>
      <w:r w:rsidRPr="00EA1DAA">
        <w:rPr>
          <w:rFonts w:ascii="Arial" w:hAnsi="Arial" w:cs="Arial"/>
          <w:sz w:val="20"/>
          <w:szCs w:val="20"/>
        </w:rPr>
        <w:t xml:space="preserve"> or performance. </w:t>
      </w:r>
    </w:p>
    <w:p w14:paraId="38523A6F" w14:textId="77777777" w:rsidR="005C22F3" w:rsidRPr="00EA1DAA" w:rsidRDefault="005C22F3" w:rsidP="005C22F3">
      <w:pPr>
        <w:pStyle w:val="NoSpacing"/>
        <w:rPr>
          <w:rFonts w:ascii="Arial" w:hAnsi="Arial" w:cs="Arial"/>
          <w:sz w:val="20"/>
          <w:szCs w:val="20"/>
        </w:rPr>
      </w:pPr>
      <w:r w:rsidRPr="00EA1DAA">
        <w:rPr>
          <w:rFonts w:ascii="Arial" w:hAnsi="Arial" w:cs="Arial"/>
          <w:sz w:val="20"/>
          <w:szCs w:val="20"/>
        </w:rPr>
        <w:t>Device deficiencies related to teledermoscopy and use of the smartphone app and dermatoscope may include:</w:t>
      </w:r>
    </w:p>
    <w:p w14:paraId="45987A02" w14:textId="77777777" w:rsidR="005C22F3" w:rsidRPr="00EA1DAA" w:rsidRDefault="005C22F3" w:rsidP="005C22F3">
      <w:pPr>
        <w:pStyle w:val="NoSpacing"/>
        <w:numPr>
          <w:ilvl w:val="0"/>
          <w:numId w:val="1"/>
        </w:numPr>
        <w:rPr>
          <w:rFonts w:ascii="Arial" w:hAnsi="Arial" w:cs="Arial"/>
          <w:sz w:val="20"/>
          <w:szCs w:val="20"/>
        </w:rPr>
      </w:pPr>
      <w:r w:rsidRPr="00EA1DAA">
        <w:rPr>
          <w:rFonts w:ascii="Arial" w:hAnsi="Arial" w:cs="Arial"/>
          <w:sz w:val="20"/>
          <w:szCs w:val="20"/>
        </w:rPr>
        <w:t xml:space="preserve">Issues related to timeliness of assessment such as problems with transmission of the image to the dermatologist and delayed result communication. </w:t>
      </w:r>
    </w:p>
    <w:p w14:paraId="058D75B9" w14:textId="77777777" w:rsidR="005C22F3" w:rsidRPr="00EA1DAA" w:rsidRDefault="005C22F3" w:rsidP="005C22F3">
      <w:pPr>
        <w:pStyle w:val="NoSpacing"/>
        <w:numPr>
          <w:ilvl w:val="0"/>
          <w:numId w:val="1"/>
        </w:numPr>
        <w:rPr>
          <w:rFonts w:ascii="Arial" w:hAnsi="Arial" w:cs="Arial"/>
          <w:sz w:val="20"/>
          <w:szCs w:val="20"/>
        </w:rPr>
      </w:pPr>
      <w:r w:rsidRPr="00EA1DAA">
        <w:rPr>
          <w:rFonts w:ascii="Arial" w:hAnsi="Arial" w:cs="Arial"/>
          <w:sz w:val="20"/>
          <w:szCs w:val="20"/>
        </w:rPr>
        <w:t>Device faults and repairs.</w:t>
      </w:r>
    </w:p>
    <w:p w14:paraId="1EE9E944" w14:textId="77777777" w:rsidR="005C22F3" w:rsidRPr="00EA1DAA" w:rsidRDefault="005C22F3" w:rsidP="005C22F3">
      <w:pPr>
        <w:pStyle w:val="NoSpacing"/>
        <w:numPr>
          <w:ilvl w:val="0"/>
          <w:numId w:val="1"/>
        </w:numPr>
        <w:rPr>
          <w:rFonts w:ascii="Arial" w:hAnsi="Arial" w:cs="Arial"/>
          <w:sz w:val="20"/>
          <w:szCs w:val="20"/>
        </w:rPr>
      </w:pPr>
      <w:r w:rsidRPr="00EA1DAA">
        <w:rPr>
          <w:rFonts w:ascii="Arial" w:hAnsi="Arial" w:cs="Arial"/>
          <w:sz w:val="20"/>
          <w:szCs w:val="20"/>
        </w:rPr>
        <w:t>Issues related to difficulty of use</w:t>
      </w:r>
    </w:p>
    <w:p w14:paraId="0EA68BE1" w14:textId="77777777" w:rsidR="005C22F3" w:rsidRPr="00EA1DAA" w:rsidRDefault="005C22F3" w:rsidP="005C22F3">
      <w:pPr>
        <w:pStyle w:val="NoSpacing"/>
        <w:rPr>
          <w:rFonts w:ascii="Arial" w:hAnsi="Arial" w:cs="Arial"/>
          <w:sz w:val="20"/>
          <w:szCs w:val="20"/>
        </w:rPr>
      </w:pPr>
    </w:p>
    <w:p w14:paraId="2650F6BB" w14:textId="77777777" w:rsidR="005C22F3" w:rsidRPr="00EA1DAA" w:rsidRDefault="005C22F3" w:rsidP="005C22F3">
      <w:pPr>
        <w:pStyle w:val="NoSpacing"/>
        <w:rPr>
          <w:rFonts w:ascii="Arial" w:hAnsi="Arial" w:cs="Arial"/>
          <w:b/>
          <w:bCs/>
          <w:sz w:val="20"/>
          <w:szCs w:val="20"/>
        </w:rPr>
      </w:pPr>
      <w:r w:rsidRPr="00EA1DAA">
        <w:rPr>
          <w:rFonts w:ascii="Arial" w:hAnsi="Arial" w:cs="Arial"/>
          <w:b/>
          <w:bCs/>
          <w:sz w:val="20"/>
          <w:szCs w:val="20"/>
        </w:rPr>
        <w:t xml:space="preserve">Serious Adverse Event (SAE) </w:t>
      </w:r>
    </w:p>
    <w:p w14:paraId="0B161C0F" w14:textId="77777777" w:rsidR="005C22F3" w:rsidRPr="00EA1DAA" w:rsidRDefault="005C22F3" w:rsidP="005C22F3">
      <w:pPr>
        <w:pStyle w:val="NoSpacing"/>
        <w:rPr>
          <w:rFonts w:ascii="Arial" w:hAnsi="Arial" w:cs="Arial"/>
          <w:sz w:val="20"/>
          <w:szCs w:val="20"/>
        </w:rPr>
      </w:pPr>
      <w:r w:rsidRPr="00EA1DAA">
        <w:rPr>
          <w:rFonts w:ascii="Arial" w:hAnsi="Arial" w:cs="Arial"/>
          <w:sz w:val="20"/>
          <w:szCs w:val="20"/>
        </w:rPr>
        <w:t xml:space="preserve">An adverse event that: </w:t>
      </w:r>
    </w:p>
    <w:p w14:paraId="6A3F20CC" w14:textId="77777777" w:rsidR="005C22F3" w:rsidRPr="00EA1DAA" w:rsidRDefault="005C22F3" w:rsidP="005C22F3">
      <w:pPr>
        <w:pStyle w:val="NoSpacing"/>
        <w:numPr>
          <w:ilvl w:val="0"/>
          <w:numId w:val="3"/>
        </w:numPr>
        <w:rPr>
          <w:rFonts w:ascii="Arial" w:hAnsi="Arial" w:cs="Arial"/>
          <w:sz w:val="20"/>
          <w:szCs w:val="20"/>
        </w:rPr>
      </w:pPr>
      <w:r w:rsidRPr="00EA1DAA">
        <w:rPr>
          <w:rFonts w:ascii="Arial" w:hAnsi="Arial" w:cs="Arial"/>
          <w:sz w:val="20"/>
          <w:szCs w:val="20"/>
        </w:rPr>
        <w:t xml:space="preserve">Led to death </w:t>
      </w:r>
    </w:p>
    <w:p w14:paraId="12DA188A" w14:textId="77777777" w:rsidR="005C22F3" w:rsidRPr="00EA1DAA" w:rsidRDefault="005C22F3" w:rsidP="005C22F3">
      <w:pPr>
        <w:pStyle w:val="NoSpacing"/>
        <w:numPr>
          <w:ilvl w:val="0"/>
          <w:numId w:val="3"/>
        </w:numPr>
        <w:rPr>
          <w:rFonts w:ascii="Arial" w:hAnsi="Arial" w:cs="Arial"/>
          <w:sz w:val="20"/>
          <w:szCs w:val="20"/>
        </w:rPr>
      </w:pPr>
      <w:r w:rsidRPr="00EA1DAA">
        <w:rPr>
          <w:rFonts w:ascii="Arial" w:hAnsi="Arial" w:cs="Arial"/>
          <w:sz w:val="20"/>
          <w:szCs w:val="20"/>
        </w:rPr>
        <w:t>Led to serious deterioration in the health of the participant, that either resulted in:</w:t>
      </w:r>
    </w:p>
    <w:p w14:paraId="53EC2539" w14:textId="77777777" w:rsidR="005C22F3" w:rsidRPr="00EA1DAA" w:rsidRDefault="005C22F3" w:rsidP="005C22F3">
      <w:pPr>
        <w:pStyle w:val="NoSpacing"/>
        <w:numPr>
          <w:ilvl w:val="1"/>
          <w:numId w:val="3"/>
        </w:numPr>
        <w:rPr>
          <w:rFonts w:ascii="Arial" w:hAnsi="Arial" w:cs="Arial"/>
          <w:sz w:val="20"/>
          <w:szCs w:val="20"/>
        </w:rPr>
      </w:pPr>
      <w:r w:rsidRPr="00EA1DAA">
        <w:rPr>
          <w:rFonts w:ascii="Arial" w:hAnsi="Arial" w:cs="Arial"/>
          <w:sz w:val="20"/>
          <w:szCs w:val="20"/>
        </w:rPr>
        <w:t>a life-threatening illness or injury, or</w:t>
      </w:r>
    </w:p>
    <w:p w14:paraId="255CD34D" w14:textId="77777777" w:rsidR="005C22F3" w:rsidRPr="00EA1DAA" w:rsidRDefault="005C22F3" w:rsidP="005C22F3">
      <w:pPr>
        <w:pStyle w:val="NoSpacing"/>
        <w:numPr>
          <w:ilvl w:val="1"/>
          <w:numId w:val="3"/>
        </w:numPr>
        <w:rPr>
          <w:rFonts w:ascii="Arial" w:hAnsi="Arial" w:cs="Arial"/>
          <w:sz w:val="20"/>
          <w:szCs w:val="20"/>
        </w:rPr>
      </w:pPr>
      <w:r w:rsidRPr="00EA1DAA">
        <w:rPr>
          <w:rFonts w:ascii="Arial" w:hAnsi="Arial" w:cs="Arial"/>
          <w:sz w:val="20"/>
          <w:szCs w:val="20"/>
        </w:rPr>
        <w:t>a permanent impairment of a body structure or a body function, or</w:t>
      </w:r>
    </w:p>
    <w:p w14:paraId="7522F168" w14:textId="77777777" w:rsidR="005C22F3" w:rsidRPr="00EA1DAA" w:rsidRDefault="005C22F3" w:rsidP="005C22F3">
      <w:pPr>
        <w:pStyle w:val="NoSpacing"/>
        <w:numPr>
          <w:ilvl w:val="1"/>
          <w:numId w:val="3"/>
        </w:numPr>
        <w:rPr>
          <w:rFonts w:ascii="Arial" w:hAnsi="Arial" w:cs="Arial"/>
          <w:sz w:val="20"/>
          <w:szCs w:val="20"/>
        </w:rPr>
      </w:pPr>
      <w:r w:rsidRPr="00EA1DAA">
        <w:rPr>
          <w:rFonts w:ascii="Arial" w:hAnsi="Arial" w:cs="Arial"/>
          <w:sz w:val="20"/>
          <w:szCs w:val="20"/>
        </w:rPr>
        <w:t xml:space="preserve">in-patient or prolonged hospitalisation, or </w:t>
      </w:r>
    </w:p>
    <w:p w14:paraId="58942B13" w14:textId="77777777" w:rsidR="005C22F3" w:rsidRPr="00EA1DAA" w:rsidRDefault="005C22F3" w:rsidP="005C22F3">
      <w:pPr>
        <w:pStyle w:val="NoSpacing"/>
        <w:numPr>
          <w:ilvl w:val="1"/>
          <w:numId w:val="3"/>
        </w:numPr>
        <w:rPr>
          <w:rFonts w:ascii="Arial" w:hAnsi="Arial" w:cs="Arial"/>
          <w:sz w:val="20"/>
          <w:szCs w:val="20"/>
        </w:rPr>
      </w:pPr>
      <w:r w:rsidRPr="00EA1DAA">
        <w:rPr>
          <w:rFonts w:ascii="Arial" w:hAnsi="Arial" w:cs="Arial"/>
          <w:sz w:val="20"/>
          <w:szCs w:val="20"/>
        </w:rPr>
        <w:t>medical or surgical intervention to prevent life-threatening illness or injury or permanent impairment to a body structure or function.</w:t>
      </w:r>
    </w:p>
    <w:p w14:paraId="47456154" w14:textId="77777777" w:rsidR="005C22F3" w:rsidRPr="00EA1DAA" w:rsidRDefault="005C22F3" w:rsidP="005C22F3">
      <w:pPr>
        <w:pStyle w:val="NoSpacing"/>
        <w:rPr>
          <w:rFonts w:ascii="Arial" w:hAnsi="Arial" w:cs="Arial"/>
          <w:b/>
          <w:bCs/>
          <w:sz w:val="20"/>
          <w:szCs w:val="20"/>
        </w:rPr>
      </w:pPr>
    </w:p>
    <w:p w14:paraId="4BB39CCC" w14:textId="77777777" w:rsidR="005C22F3" w:rsidRPr="00EA1DAA" w:rsidRDefault="005C22F3" w:rsidP="005C22F3">
      <w:pPr>
        <w:pStyle w:val="NoSpacing"/>
        <w:rPr>
          <w:rFonts w:ascii="Arial" w:hAnsi="Arial" w:cs="Arial"/>
          <w:b/>
          <w:bCs/>
          <w:sz w:val="20"/>
          <w:szCs w:val="20"/>
        </w:rPr>
      </w:pPr>
      <w:r w:rsidRPr="00EA1DAA">
        <w:rPr>
          <w:rFonts w:ascii="Arial" w:hAnsi="Arial" w:cs="Arial"/>
          <w:b/>
          <w:bCs/>
          <w:sz w:val="20"/>
          <w:szCs w:val="20"/>
        </w:rPr>
        <w:t xml:space="preserve">Serious Adverse Device Effect (SADE) </w:t>
      </w:r>
    </w:p>
    <w:p w14:paraId="44930A50" w14:textId="77777777" w:rsidR="005C22F3" w:rsidRPr="00EA1DAA" w:rsidRDefault="005C22F3" w:rsidP="005C22F3">
      <w:pPr>
        <w:pStyle w:val="NoSpacing"/>
        <w:rPr>
          <w:rFonts w:ascii="Arial" w:hAnsi="Arial" w:cs="Arial"/>
          <w:sz w:val="20"/>
          <w:szCs w:val="20"/>
        </w:rPr>
      </w:pPr>
      <w:r w:rsidRPr="00EA1DAA">
        <w:rPr>
          <w:rFonts w:ascii="Arial" w:hAnsi="Arial" w:cs="Arial"/>
          <w:sz w:val="20"/>
          <w:szCs w:val="20"/>
        </w:rPr>
        <w:t xml:space="preserve">An adverse device effect that has resulted in any of the consequences characteristic of a serious adverse event. </w:t>
      </w:r>
    </w:p>
    <w:p w14:paraId="57FF6E7C" w14:textId="77777777" w:rsidR="005C22F3" w:rsidRPr="00EA1DAA" w:rsidRDefault="005C22F3" w:rsidP="005C22F3">
      <w:pPr>
        <w:pStyle w:val="NoSpacing"/>
        <w:rPr>
          <w:rFonts w:ascii="Arial" w:hAnsi="Arial" w:cs="Arial"/>
          <w:sz w:val="20"/>
          <w:szCs w:val="20"/>
        </w:rPr>
      </w:pPr>
    </w:p>
    <w:p w14:paraId="7D3E7990" w14:textId="77777777" w:rsidR="005C22F3" w:rsidRPr="00EA1DAA" w:rsidRDefault="005C22F3" w:rsidP="005C22F3">
      <w:pPr>
        <w:pStyle w:val="NoSpacing"/>
        <w:rPr>
          <w:rFonts w:ascii="Arial" w:hAnsi="Arial" w:cs="Arial"/>
          <w:b/>
          <w:bCs/>
          <w:sz w:val="20"/>
          <w:szCs w:val="20"/>
        </w:rPr>
      </w:pPr>
      <w:r w:rsidRPr="00EA1DAA">
        <w:rPr>
          <w:rFonts w:ascii="Arial" w:hAnsi="Arial" w:cs="Arial"/>
          <w:b/>
          <w:bCs/>
          <w:sz w:val="20"/>
          <w:szCs w:val="20"/>
        </w:rPr>
        <w:t xml:space="preserve">Significant Safety Issue (SSI) </w:t>
      </w:r>
    </w:p>
    <w:p w14:paraId="60CA8671" w14:textId="77777777" w:rsidR="005C22F3" w:rsidRPr="00EA1DAA" w:rsidRDefault="005C22F3" w:rsidP="005C22F3">
      <w:pPr>
        <w:pStyle w:val="NoSpacing"/>
        <w:rPr>
          <w:rFonts w:ascii="Arial" w:hAnsi="Arial" w:cs="Arial"/>
          <w:sz w:val="20"/>
          <w:szCs w:val="20"/>
        </w:rPr>
      </w:pPr>
      <w:r w:rsidRPr="00EA1DAA">
        <w:rPr>
          <w:rFonts w:ascii="Arial" w:hAnsi="Arial" w:cs="Arial"/>
          <w:sz w:val="20"/>
          <w:szCs w:val="20"/>
        </w:rPr>
        <w:t xml:space="preserve">A safety issue that could adversely affect the safety of participants or materially impact on the continued ethical acceptability or conduct of the trial. </w:t>
      </w:r>
    </w:p>
    <w:p w14:paraId="54948414" w14:textId="77777777" w:rsidR="005C22F3" w:rsidRPr="00EA1DAA" w:rsidRDefault="005C22F3" w:rsidP="005C22F3">
      <w:pPr>
        <w:pStyle w:val="NoSpacing"/>
        <w:rPr>
          <w:rFonts w:ascii="Arial" w:hAnsi="Arial" w:cs="Arial"/>
          <w:sz w:val="20"/>
          <w:szCs w:val="20"/>
        </w:rPr>
      </w:pPr>
    </w:p>
    <w:p w14:paraId="609BC3BD" w14:textId="77777777" w:rsidR="005C22F3" w:rsidRPr="00EA1DAA" w:rsidRDefault="005C22F3" w:rsidP="005C22F3">
      <w:pPr>
        <w:pStyle w:val="NoSpacing"/>
        <w:rPr>
          <w:rFonts w:ascii="Arial" w:hAnsi="Arial" w:cs="Arial"/>
          <w:b/>
          <w:bCs/>
          <w:sz w:val="20"/>
          <w:szCs w:val="20"/>
        </w:rPr>
      </w:pPr>
      <w:r w:rsidRPr="00EA1DAA">
        <w:rPr>
          <w:rFonts w:ascii="Arial" w:hAnsi="Arial" w:cs="Arial"/>
          <w:b/>
          <w:bCs/>
          <w:sz w:val="20"/>
          <w:szCs w:val="20"/>
        </w:rPr>
        <w:t xml:space="preserve">Unanticipated Serious Adverse Device Effect (USADE) </w:t>
      </w:r>
    </w:p>
    <w:p w14:paraId="52B106A5" w14:textId="77777777" w:rsidR="005C22F3" w:rsidRPr="00EA1DAA" w:rsidRDefault="005C22F3" w:rsidP="005C22F3">
      <w:pPr>
        <w:pStyle w:val="NoSpacing"/>
        <w:rPr>
          <w:rFonts w:ascii="Arial" w:hAnsi="Arial" w:cs="Arial"/>
          <w:sz w:val="20"/>
          <w:szCs w:val="20"/>
        </w:rPr>
      </w:pPr>
      <w:r w:rsidRPr="00EA1DAA">
        <w:rPr>
          <w:rFonts w:ascii="Arial" w:hAnsi="Arial" w:cs="Arial"/>
          <w:sz w:val="20"/>
          <w:szCs w:val="20"/>
        </w:rPr>
        <w:t xml:space="preserve">Serious adverse device effect which by its nature, incidence, severity, or outcome has not been identified in the current version of the risk analysis report. </w:t>
      </w:r>
    </w:p>
    <w:p w14:paraId="6C58D1BD" w14:textId="77777777" w:rsidR="005C22F3" w:rsidRPr="00EA1DAA" w:rsidRDefault="005C22F3" w:rsidP="005C22F3">
      <w:pPr>
        <w:pStyle w:val="NoSpacing"/>
        <w:rPr>
          <w:rFonts w:ascii="Arial" w:hAnsi="Arial" w:cs="Arial"/>
          <w:sz w:val="20"/>
          <w:szCs w:val="20"/>
        </w:rPr>
      </w:pPr>
    </w:p>
    <w:p w14:paraId="26732BC9" w14:textId="77777777" w:rsidR="005C22F3" w:rsidRPr="00EA1DAA" w:rsidRDefault="005C22F3" w:rsidP="005C22F3">
      <w:pPr>
        <w:pStyle w:val="NoSpacing"/>
        <w:rPr>
          <w:rFonts w:ascii="Arial" w:hAnsi="Arial" w:cs="Arial"/>
          <w:sz w:val="20"/>
          <w:szCs w:val="20"/>
        </w:rPr>
      </w:pPr>
      <w:r w:rsidRPr="00EA1DAA">
        <w:rPr>
          <w:rFonts w:ascii="Arial" w:hAnsi="Arial" w:cs="Arial"/>
          <w:b/>
          <w:bCs/>
          <w:sz w:val="20"/>
          <w:szCs w:val="20"/>
        </w:rPr>
        <w:t>Anticipated serious adverse device effect (ASADE)</w:t>
      </w:r>
      <w:r w:rsidRPr="00EA1DAA">
        <w:rPr>
          <w:rFonts w:ascii="Arial" w:hAnsi="Arial" w:cs="Arial"/>
          <w:sz w:val="20"/>
          <w:szCs w:val="20"/>
        </w:rPr>
        <w:t xml:space="preserve"> is an effect which by its nature, incidence, severity, or outcome has been identified in the risk analysis report. </w:t>
      </w:r>
    </w:p>
    <w:p w14:paraId="2B6375B1" w14:textId="77777777" w:rsidR="005C22F3" w:rsidRPr="00EA1DAA" w:rsidRDefault="005C22F3" w:rsidP="005C22F3">
      <w:pPr>
        <w:pStyle w:val="NoSpacing"/>
        <w:rPr>
          <w:rFonts w:ascii="Arial" w:hAnsi="Arial" w:cs="Arial"/>
          <w:sz w:val="20"/>
          <w:szCs w:val="20"/>
        </w:rPr>
      </w:pPr>
    </w:p>
    <w:p w14:paraId="21A6DF92" w14:textId="77777777" w:rsidR="005C22F3" w:rsidRPr="00EA1DAA" w:rsidRDefault="005C22F3" w:rsidP="005C22F3">
      <w:pPr>
        <w:pStyle w:val="NoSpacing"/>
        <w:rPr>
          <w:rFonts w:ascii="Arial" w:hAnsi="Arial" w:cs="Arial"/>
          <w:sz w:val="20"/>
          <w:szCs w:val="20"/>
        </w:rPr>
      </w:pPr>
      <w:r w:rsidRPr="00EA1DAA">
        <w:rPr>
          <w:rFonts w:ascii="Arial" w:hAnsi="Arial" w:cs="Arial"/>
          <w:b/>
          <w:bCs/>
          <w:sz w:val="20"/>
          <w:szCs w:val="20"/>
        </w:rPr>
        <w:t>Urgent Safety Measure (USM)</w:t>
      </w:r>
      <w:r w:rsidRPr="00EA1DAA">
        <w:rPr>
          <w:rFonts w:ascii="Arial" w:hAnsi="Arial" w:cs="Arial"/>
          <w:sz w:val="20"/>
          <w:szCs w:val="20"/>
        </w:rPr>
        <w:t xml:space="preserve"> </w:t>
      </w:r>
    </w:p>
    <w:p w14:paraId="19DB9678" w14:textId="5046D204" w:rsidR="005C22F3" w:rsidRDefault="005C22F3" w:rsidP="005C22F3">
      <w:pPr>
        <w:pStyle w:val="NoSpacing"/>
        <w:rPr>
          <w:rFonts w:ascii="Arial" w:hAnsi="Arial" w:cs="Arial"/>
          <w:sz w:val="20"/>
          <w:szCs w:val="20"/>
        </w:rPr>
      </w:pPr>
      <w:r w:rsidRPr="00EA1DAA">
        <w:rPr>
          <w:rFonts w:ascii="Arial" w:hAnsi="Arial" w:cs="Arial"/>
          <w:sz w:val="20"/>
          <w:szCs w:val="20"/>
        </w:rPr>
        <w:t xml:space="preserve">A measure required to be taken </w:t>
      </w:r>
      <w:proofErr w:type="gramStart"/>
      <w:r w:rsidRPr="00EA1DAA">
        <w:rPr>
          <w:rFonts w:ascii="Arial" w:hAnsi="Arial" w:cs="Arial"/>
          <w:sz w:val="20"/>
          <w:szCs w:val="20"/>
        </w:rPr>
        <w:t>in order to</w:t>
      </w:r>
      <w:proofErr w:type="gramEnd"/>
      <w:r w:rsidRPr="00EA1DAA">
        <w:rPr>
          <w:rFonts w:ascii="Arial" w:hAnsi="Arial" w:cs="Arial"/>
          <w:sz w:val="20"/>
          <w:szCs w:val="20"/>
        </w:rPr>
        <w:t xml:space="preserve"> eliminate an immediate hazard to a participant’s health or safety. Note: Action to address this type of significant safety issue can be instigated by either the investigator or sponsor and can be implemented before seeking approval from HRECs or institutions.</w:t>
      </w:r>
    </w:p>
    <w:p w14:paraId="47F3C289" w14:textId="77777777" w:rsidR="00980D13" w:rsidRPr="00EA1DAA" w:rsidRDefault="00980D13" w:rsidP="005C22F3">
      <w:pPr>
        <w:pStyle w:val="NoSpacing"/>
        <w:rPr>
          <w:rFonts w:ascii="Arial" w:hAnsi="Arial" w:cs="Arial"/>
          <w:sz w:val="20"/>
          <w:szCs w:val="20"/>
        </w:rPr>
      </w:pPr>
    </w:p>
    <w:p w14:paraId="18283670" w14:textId="77777777" w:rsidR="005C22F3" w:rsidRPr="00EA1DAA" w:rsidRDefault="005C22F3" w:rsidP="00980D13">
      <w:pPr>
        <w:pStyle w:val="Heading2"/>
        <w:spacing w:after="0"/>
        <w:rPr>
          <w:rFonts w:cs="Arial"/>
          <w:sz w:val="20"/>
          <w:szCs w:val="20"/>
          <w:lang w:val="en-AU"/>
        </w:rPr>
      </w:pPr>
      <w:bookmarkStart w:id="1" w:name="_Toc50383824"/>
      <w:r w:rsidRPr="00EA1DAA">
        <w:rPr>
          <w:rFonts w:cs="Arial"/>
          <w:sz w:val="20"/>
          <w:szCs w:val="20"/>
          <w:lang w:val="en-AU"/>
        </w:rPr>
        <w:t>Collection</w:t>
      </w:r>
      <w:bookmarkEnd w:id="1"/>
    </w:p>
    <w:p w14:paraId="4C45564C" w14:textId="3DF4BEDE" w:rsidR="005C22F3" w:rsidRPr="00EA1DAA" w:rsidRDefault="005C22F3" w:rsidP="005C22F3">
      <w:pPr>
        <w:pStyle w:val="Protocolparagraph"/>
        <w:rPr>
          <w:sz w:val="20"/>
          <w:szCs w:val="20"/>
        </w:rPr>
      </w:pPr>
      <w:r w:rsidRPr="00EA1DAA">
        <w:rPr>
          <w:sz w:val="20"/>
          <w:szCs w:val="20"/>
        </w:rPr>
        <w:t>Data related to harms and device deficiencies will be collected through multiple sources by the site coordinators, including contacts they have with the patient as part of follow-up related to intervention activities, clinic visit records and doctors’ letters.</w:t>
      </w:r>
    </w:p>
    <w:p w14:paraId="1B0C8185" w14:textId="77777777" w:rsidR="005C22F3" w:rsidRPr="00EA1DAA" w:rsidRDefault="005C22F3" w:rsidP="005C22F3">
      <w:pPr>
        <w:pStyle w:val="Heading2"/>
        <w:rPr>
          <w:rFonts w:cs="Arial"/>
          <w:sz w:val="20"/>
          <w:szCs w:val="20"/>
          <w:lang w:val="en-AU"/>
        </w:rPr>
      </w:pPr>
      <w:bookmarkStart w:id="2" w:name="_Toc50383825"/>
      <w:r w:rsidRPr="00EA1DAA">
        <w:rPr>
          <w:rFonts w:cs="Arial"/>
          <w:sz w:val="20"/>
          <w:szCs w:val="20"/>
          <w:lang w:val="en-AU"/>
        </w:rPr>
        <w:lastRenderedPageBreak/>
        <w:t>Assessment</w:t>
      </w:r>
      <w:bookmarkEnd w:id="2"/>
      <w:r w:rsidRPr="00EA1DAA">
        <w:rPr>
          <w:rFonts w:cs="Arial"/>
          <w:sz w:val="20"/>
          <w:szCs w:val="20"/>
          <w:lang w:val="en-AU"/>
        </w:rPr>
        <w:t xml:space="preserve"> </w:t>
      </w:r>
    </w:p>
    <w:p w14:paraId="49D191F9" w14:textId="77777777" w:rsidR="005C22F3" w:rsidRPr="00794A38" w:rsidRDefault="005C22F3" w:rsidP="005C22F3">
      <w:pPr>
        <w:autoSpaceDE w:val="0"/>
        <w:autoSpaceDN w:val="0"/>
        <w:adjustRightInd w:val="0"/>
        <w:rPr>
          <w:rFonts w:ascii="Arial" w:hAnsi="Arial" w:cs="Arial"/>
          <w:sz w:val="20"/>
          <w:szCs w:val="20"/>
          <w:lang w:val="en-AU"/>
        </w:rPr>
      </w:pPr>
      <w:r w:rsidRPr="00794A38">
        <w:rPr>
          <w:rFonts w:ascii="Arial" w:hAnsi="Arial" w:cs="Arial"/>
          <w:sz w:val="20"/>
          <w:szCs w:val="20"/>
          <w:lang w:val="en-AU"/>
        </w:rPr>
        <w:t>The site PI should assess all adverse events and act on these as clinical care dictates. Each adverse event will be evaluated for:</w:t>
      </w:r>
    </w:p>
    <w:p w14:paraId="07D9E250" w14:textId="77777777" w:rsidR="005C22F3" w:rsidRPr="00EA1DAA" w:rsidRDefault="005C22F3" w:rsidP="005C22F3">
      <w:pPr>
        <w:pStyle w:val="ListParagraph"/>
        <w:numPr>
          <w:ilvl w:val="0"/>
          <w:numId w:val="2"/>
        </w:numPr>
        <w:autoSpaceDE w:val="0"/>
        <w:autoSpaceDN w:val="0"/>
        <w:adjustRightInd w:val="0"/>
        <w:rPr>
          <w:rFonts w:ascii="Arial" w:hAnsi="Arial" w:cs="Arial"/>
          <w:sz w:val="20"/>
          <w:szCs w:val="20"/>
          <w:lang w:val="en-AU"/>
        </w:rPr>
      </w:pPr>
      <w:r w:rsidRPr="00EA1DAA">
        <w:rPr>
          <w:rFonts w:ascii="Arial" w:hAnsi="Arial" w:cs="Arial"/>
          <w:sz w:val="20"/>
          <w:szCs w:val="20"/>
          <w:lang w:val="en-AU"/>
        </w:rPr>
        <w:t>Seriousness: An assessment of whether the adverse event meets the definition of a SAE.</w:t>
      </w:r>
    </w:p>
    <w:p w14:paraId="4CCBDD45" w14:textId="77777777" w:rsidR="005C22F3" w:rsidRPr="00EA1DAA" w:rsidRDefault="005C22F3" w:rsidP="005C22F3">
      <w:pPr>
        <w:pStyle w:val="ListParagraph"/>
        <w:numPr>
          <w:ilvl w:val="0"/>
          <w:numId w:val="2"/>
        </w:numPr>
        <w:autoSpaceDE w:val="0"/>
        <w:autoSpaceDN w:val="0"/>
        <w:adjustRightInd w:val="0"/>
        <w:rPr>
          <w:rFonts w:ascii="Arial" w:hAnsi="Arial" w:cs="Arial"/>
          <w:sz w:val="20"/>
          <w:szCs w:val="20"/>
          <w:lang w:val="en-AU"/>
        </w:rPr>
      </w:pPr>
      <w:r w:rsidRPr="00EA1DAA">
        <w:rPr>
          <w:rFonts w:ascii="Arial" w:hAnsi="Arial" w:cs="Arial"/>
          <w:sz w:val="20"/>
          <w:szCs w:val="20"/>
          <w:lang w:val="en-AU"/>
        </w:rPr>
        <w:t>Causality: A clinical assessment of whether there is a reasonable causal</w:t>
      </w:r>
    </w:p>
    <w:p w14:paraId="43F48179" w14:textId="77777777" w:rsidR="005C22F3" w:rsidRPr="00EA1DAA" w:rsidRDefault="005C22F3" w:rsidP="005C22F3">
      <w:pPr>
        <w:pStyle w:val="ListParagraph"/>
        <w:autoSpaceDE w:val="0"/>
        <w:autoSpaceDN w:val="0"/>
        <w:adjustRightInd w:val="0"/>
        <w:rPr>
          <w:rFonts w:ascii="Arial" w:hAnsi="Arial" w:cs="Arial"/>
          <w:sz w:val="20"/>
          <w:szCs w:val="20"/>
          <w:lang w:val="en-AU"/>
        </w:rPr>
      </w:pPr>
      <w:r w:rsidRPr="00EA1DAA">
        <w:rPr>
          <w:rFonts w:ascii="Arial" w:hAnsi="Arial" w:cs="Arial"/>
          <w:sz w:val="20"/>
          <w:szCs w:val="20"/>
          <w:lang w:val="en-AU"/>
        </w:rPr>
        <w:t>relationship between the adverse event and the use of the investigational medical device.</w:t>
      </w:r>
    </w:p>
    <w:p w14:paraId="1617DDE5" w14:textId="77777777" w:rsidR="005C22F3" w:rsidRPr="00EA1DAA" w:rsidRDefault="005C22F3" w:rsidP="005C22F3">
      <w:pPr>
        <w:pStyle w:val="ListParagraph"/>
        <w:numPr>
          <w:ilvl w:val="0"/>
          <w:numId w:val="2"/>
        </w:numPr>
        <w:autoSpaceDE w:val="0"/>
        <w:autoSpaceDN w:val="0"/>
        <w:adjustRightInd w:val="0"/>
        <w:rPr>
          <w:rFonts w:ascii="Arial" w:hAnsi="Arial" w:cs="Arial"/>
          <w:sz w:val="20"/>
          <w:szCs w:val="20"/>
          <w:lang w:val="en-AU"/>
        </w:rPr>
      </w:pPr>
      <w:r w:rsidRPr="00EA1DAA">
        <w:rPr>
          <w:rFonts w:ascii="Arial" w:hAnsi="Arial" w:cs="Arial"/>
          <w:sz w:val="20"/>
          <w:szCs w:val="20"/>
          <w:lang w:val="en-AU"/>
        </w:rPr>
        <w:t>Expectedness: An assessment of whether the adverse reaction or adverse</w:t>
      </w:r>
    </w:p>
    <w:p w14:paraId="2CA852FD" w14:textId="77777777" w:rsidR="005C22F3" w:rsidRPr="00EA1DAA" w:rsidRDefault="005C22F3" w:rsidP="005C22F3">
      <w:pPr>
        <w:pStyle w:val="ListParagraph"/>
        <w:autoSpaceDE w:val="0"/>
        <w:autoSpaceDN w:val="0"/>
        <w:adjustRightInd w:val="0"/>
        <w:rPr>
          <w:rFonts w:ascii="Arial" w:hAnsi="Arial" w:cs="Arial"/>
          <w:sz w:val="20"/>
          <w:szCs w:val="20"/>
          <w:lang w:val="en-AU"/>
        </w:rPr>
      </w:pPr>
      <w:r w:rsidRPr="00EA1DAA">
        <w:rPr>
          <w:rFonts w:ascii="Arial" w:hAnsi="Arial" w:cs="Arial"/>
          <w:sz w:val="20"/>
          <w:szCs w:val="20"/>
          <w:lang w:val="en-AU"/>
        </w:rPr>
        <w:t>device effect is consistent with information previously known.</w:t>
      </w:r>
    </w:p>
    <w:p w14:paraId="5084819C" w14:textId="77777777" w:rsidR="005C22F3" w:rsidRPr="00EA1DAA" w:rsidRDefault="005C22F3" w:rsidP="005C22F3">
      <w:pPr>
        <w:pStyle w:val="ListParagraph"/>
        <w:autoSpaceDE w:val="0"/>
        <w:autoSpaceDN w:val="0"/>
        <w:adjustRightInd w:val="0"/>
        <w:rPr>
          <w:rFonts w:ascii="Arial" w:hAnsi="Arial" w:cs="Arial"/>
          <w:sz w:val="20"/>
          <w:szCs w:val="20"/>
          <w:lang w:val="en-AU"/>
        </w:rPr>
      </w:pPr>
    </w:p>
    <w:p w14:paraId="066D2560" w14:textId="77777777" w:rsidR="005C22F3" w:rsidRPr="00EA1DAA" w:rsidRDefault="005C22F3" w:rsidP="005C22F3">
      <w:pPr>
        <w:pStyle w:val="Heading2"/>
        <w:rPr>
          <w:rFonts w:cs="Arial"/>
          <w:sz w:val="20"/>
          <w:szCs w:val="20"/>
          <w:lang w:val="en-AU"/>
        </w:rPr>
      </w:pPr>
      <w:bookmarkStart w:id="3" w:name="_Toc50383826"/>
      <w:r w:rsidRPr="00EA1DAA">
        <w:rPr>
          <w:rFonts w:cs="Arial"/>
          <w:sz w:val="20"/>
          <w:szCs w:val="20"/>
          <w:lang w:val="en-AU"/>
        </w:rPr>
        <w:t>Reporting</w:t>
      </w:r>
      <w:bookmarkEnd w:id="3"/>
    </w:p>
    <w:p w14:paraId="243F9657" w14:textId="77777777" w:rsidR="005C22F3" w:rsidRPr="00EA1DAA" w:rsidRDefault="005C22F3" w:rsidP="005C22F3">
      <w:pPr>
        <w:pStyle w:val="Protocolparagraph"/>
        <w:rPr>
          <w:sz w:val="20"/>
          <w:szCs w:val="20"/>
        </w:rPr>
      </w:pPr>
      <w:r w:rsidRPr="00EA1DAA">
        <w:rPr>
          <w:sz w:val="20"/>
          <w:szCs w:val="20"/>
        </w:rPr>
        <w:t>All AEs, ADEs and device deficiencies occurring from enrolment into the study until completion of trial activities by the participant will be recorded. These will be reviewed by the TMC, the DMSC and included in the annual report to the Ethics committee.</w:t>
      </w:r>
    </w:p>
    <w:p w14:paraId="36773F81" w14:textId="77777777" w:rsidR="005C22F3" w:rsidRPr="00EA1DAA" w:rsidRDefault="005C22F3" w:rsidP="005C22F3">
      <w:pPr>
        <w:pStyle w:val="Protocolparagraph"/>
        <w:rPr>
          <w:sz w:val="20"/>
          <w:szCs w:val="20"/>
        </w:rPr>
      </w:pPr>
    </w:p>
    <w:p w14:paraId="7CA2A09C" w14:textId="4899D32A" w:rsidR="005C22F3" w:rsidRPr="00EA1DAA" w:rsidRDefault="005C22F3" w:rsidP="005C22F3">
      <w:pPr>
        <w:pStyle w:val="Protocolparagraph"/>
        <w:rPr>
          <w:sz w:val="20"/>
          <w:szCs w:val="20"/>
        </w:rPr>
      </w:pPr>
      <w:r w:rsidRPr="00EA1DAA">
        <w:rPr>
          <w:sz w:val="20"/>
          <w:szCs w:val="20"/>
        </w:rPr>
        <w:t>Principal investigators should ensure that serious adverse events are reported to the TCT and CPI within 24 hours.</w:t>
      </w:r>
      <w:r w:rsidR="00980D13">
        <w:rPr>
          <w:sz w:val="20"/>
          <w:szCs w:val="20"/>
        </w:rPr>
        <w:t xml:space="preserve"> </w:t>
      </w:r>
      <w:r w:rsidRPr="00EA1DAA">
        <w:rPr>
          <w:sz w:val="20"/>
          <w:szCs w:val="20"/>
        </w:rPr>
        <w:t>SAEs will be reported according to NHMRC and NSW Health guidelines and are outlined in tables and flowcharts in the appendix.</w:t>
      </w:r>
      <w:r w:rsidR="00980D13">
        <w:rPr>
          <w:sz w:val="20"/>
          <w:szCs w:val="20"/>
        </w:rPr>
        <w:t xml:space="preserve"> </w:t>
      </w:r>
      <w:r w:rsidRPr="00EA1DAA">
        <w:rPr>
          <w:sz w:val="20"/>
          <w:szCs w:val="20"/>
        </w:rPr>
        <w:t>Adverse events (AEs) and any AE reported as an SAE will be summarised with the proportion of overall AEs and SAEs reported per randomised group. If appropriate, the proportion of subtypes of AEs and SAEs may be reported as well as the confidence interval and statistical test to estimate the difference between randomised groups.</w:t>
      </w:r>
    </w:p>
    <w:p w14:paraId="05F87F14" w14:textId="77777777" w:rsidR="005C22F3" w:rsidRPr="00EA1DAA" w:rsidRDefault="005C22F3" w:rsidP="005C22F3">
      <w:pPr>
        <w:pStyle w:val="Protocolparagraph"/>
      </w:pPr>
    </w:p>
    <w:p w14:paraId="7075A4FF" w14:textId="38138DAF" w:rsidR="005C22F3" w:rsidRPr="00794A38" w:rsidRDefault="005C22F3" w:rsidP="005C22F3">
      <w:pPr>
        <w:rPr>
          <w:rFonts w:ascii="Arial" w:hAnsi="Arial" w:cs="Arial"/>
          <w:b/>
          <w:sz w:val="20"/>
          <w:szCs w:val="20"/>
          <w:lang w:val="en-AU"/>
        </w:rPr>
      </w:pPr>
      <w:r>
        <w:rPr>
          <w:rFonts w:ascii="Arial" w:hAnsi="Arial" w:cs="Arial"/>
          <w:b/>
          <w:sz w:val="20"/>
          <w:szCs w:val="20"/>
          <w:lang w:val="en-AU"/>
        </w:rPr>
        <w:t xml:space="preserve">Table </w:t>
      </w:r>
      <w:r w:rsidR="00C55307">
        <w:rPr>
          <w:rFonts w:ascii="Arial" w:hAnsi="Arial" w:cs="Arial"/>
          <w:b/>
          <w:sz w:val="20"/>
          <w:szCs w:val="20"/>
          <w:lang w:val="en-AU"/>
        </w:rPr>
        <w:t>1</w:t>
      </w:r>
      <w:r w:rsidRPr="00794A38">
        <w:rPr>
          <w:rFonts w:ascii="Arial" w:hAnsi="Arial" w:cs="Arial"/>
          <w:b/>
          <w:sz w:val="20"/>
          <w:szCs w:val="20"/>
          <w:lang w:val="en-AU"/>
        </w:rPr>
        <w:t>. Safety reporting responsibilities.</w:t>
      </w:r>
    </w:p>
    <w:p w14:paraId="6C47C4EB" w14:textId="77777777" w:rsidR="005C22F3" w:rsidRPr="00794A38" w:rsidRDefault="005C22F3" w:rsidP="005C22F3">
      <w:pPr>
        <w:rPr>
          <w:rFonts w:ascii="Arial" w:hAnsi="Arial" w:cs="Arial"/>
          <w:sz w:val="20"/>
          <w:szCs w:val="20"/>
          <w:lang w:val="en-AU"/>
        </w:rPr>
      </w:pPr>
    </w:p>
    <w:tbl>
      <w:tblPr>
        <w:tblStyle w:val="TableGrid1"/>
        <w:tblW w:w="0" w:type="auto"/>
        <w:tblLook w:val="04A0" w:firstRow="1" w:lastRow="0" w:firstColumn="1" w:lastColumn="0" w:noHBand="0" w:noVBand="1"/>
      </w:tblPr>
      <w:tblGrid>
        <w:gridCol w:w="2277"/>
        <w:gridCol w:w="2246"/>
        <w:gridCol w:w="2247"/>
        <w:gridCol w:w="2246"/>
      </w:tblGrid>
      <w:tr w:rsidR="005C22F3" w:rsidRPr="00EA1DAA" w14:paraId="75A84CA3" w14:textId="77777777" w:rsidTr="00541253">
        <w:tc>
          <w:tcPr>
            <w:tcW w:w="2284" w:type="dxa"/>
          </w:tcPr>
          <w:p w14:paraId="185A55FF"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Type of Event</w:t>
            </w:r>
          </w:p>
        </w:tc>
        <w:tc>
          <w:tcPr>
            <w:tcW w:w="2254" w:type="dxa"/>
          </w:tcPr>
          <w:p w14:paraId="5CA1DD65"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Who reports</w:t>
            </w:r>
          </w:p>
        </w:tc>
        <w:tc>
          <w:tcPr>
            <w:tcW w:w="2254" w:type="dxa"/>
          </w:tcPr>
          <w:p w14:paraId="48B749A7"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To whom</w:t>
            </w:r>
          </w:p>
        </w:tc>
        <w:tc>
          <w:tcPr>
            <w:tcW w:w="2254" w:type="dxa"/>
          </w:tcPr>
          <w:p w14:paraId="3A915CF7"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When</w:t>
            </w:r>
          </w:p>
        </w:tc>
      </w:tr>
      <w:tr w:rsidR="005C22F3" w:rsidRPr="00EA1DAA" w14:paraId="0F18508A" w14:textId="77777777" w:rsidTr="00541253">
        <w:tc>
          <w:tcPr>
            <w:tcW w:w="2284" w:type="dxa"/>
          </w:tcPr>
          <w:p w14:paraId="54911268"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All AEs and device deficiencies that occur at the site</w:t>
            </w:r>
          </w:p>
        </w:tc>
        <w:tc>
          <w:tcPr>
            <w:tcW w:w="2254" w:type="dxa"/>
          </w:tcPr>
          <w:p w14:paraId="5C7C1019"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PI assesses and records all AEs and device deficiencies</w:t>
            </w:r>
          </w:p>
        </w:tc>
        <w:tc>
          <w:tcPr>
            <w:tcW w:w="2254" w:type="dxa"/>
          </w:tcPr>
          <w:p w14:paraId="1E8273A3"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CPI, TCT, DSMC</w:t>
            </w:r>
          </w:p>
        </w:tc>
        <w:tc>
          <w:tcPr>
            <w:tcW w:w="2254" w:type="dxa"/>
          </w:tcPr>
          <w:p w14:paraId="0D9B04EB"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Within 72 hours</w:t>
            </w:r>
          </w:p>
        </w:tc>
      </w:tr>
      <w:tr w:rsidR="005C22F3" w:rsidRPr="00EA1DAA" w14:paraId="48C534C5" w14:textId="77777777" w:rsidTr="00541253">
        <w:tc>
          <w:tcPr>
            <w:tcW w:w="2284" w:type="dxa"/>
          </w:tcPr>
          <w:p w14:paraId="32D67535"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All SAEs</w:t>
            </w:r>
          </w:p>
        </w:tc>
        <w:tc>
          <w:tcPr>
            <w:tcW w:w="2254" w:type="dxa"/>
          </w:tcPr>
          <w:p w14:paraId="685B3922"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PI</w:t>
            </w:r>
          </w:p>
        </w:tc>
        <w:tc>
          <w:tcPr>
            <w:tcW w:w="2254" w:type="dxa"/>
          </w:tcPr>
          <w:p w14:paraId="0EABC71D"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CPI</w:t>
            </w:r>
          </w:p>
        </w:tc>
        <w:tc>
          <w:tcPr>
            <w:tcW w:w="2254" w:type="dxa"/>
          </w:tcPr>
          <w:p w14:paraId="6F025D61"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Within 24 hours</w:t>
            </w:r>
          </w:p>
        </w:tc>
      </w:tr>
      <w:tr w:rsidR="005C22F3" w:rsidRPr="00EA1DAA" w14:paraId="66E61247" w14:textId="77777777" w:rsidTr="00541253">
        <w:tc>
          <w:tcPr>
            <w:tcW w:w="2284" w:type="dxa"/>
          </w:tcPr>
          <w:p w14:paraId="50863E03"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SSI instigated as USM</w:t>
            </w:r>
          </w:p>
        </w:tc>
        <w:tc>
          <w:tcPr>
            <w:tcW w:w="2254" w:type="dxa"/>
          </w:tcPr>
          <w:p w14:paraId="4905C7C4"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CPI</w:t>
            </w:r>
          </w:p>
        </w:tc>
        <w:tc>
          <w:tcPr>
            <w:tcW w:w="2254" w:type="dxa"/>
          </w:tcPr>
          <w:p w14:paraId="7DCD7966"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 xml:space="preserve">Reviewing HREC (SLHD – RPA) </w:t>
            </w:r>
          </w:p>
          <w:p w14:paraId="4EB73E08"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DSMB</w:t>
            </w:r>
          </w:p>
          <w:p w14:paraId="66D39C09"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All investigators</w:t>
            </w:r>
          </w:p>
        </w:tc>
        <w:tc>
          <w:tcPr>
            <w:tcW w:w="2254" w:type="dxa"/>
          </w:tcPr>
          <w:p w14:paraId="5F15EB05"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Within 72 hours of notification</w:t>
            </w:r>
          </w:p>
        </w:tc>
      </w:tr>
      <w:tr w:rsidR="005C22F3" w:rsidRPr="00EA1DAA" w14:paraId="457A6EE3" w14:textId="77777777" w:rsidTr="00541253">
        <w:tc>
          <w:tcPr>
            <w:tcW w:w="2284" w:type="dxa"/>
          </w:tcPr>
          <w:p w14:paraId="23582A7A"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SSI not implemented as USM</w:t>
            </w:r>
          </w:p>
        </w:tc>
        <w:tc>
          <w:tcPr>
            <w:tcW w:w="2254" w:type="dxa"/>
          </w:tcPr>
          <w:p w14:paraId="08624764"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CPI</w:t>
            </w:r>
          </w:p>
        </w:tc>
        <w:tc>
          <w:tcPr>
            <w:tcW w:w="2254" w:type="dxa"/>
          </w:tcPr>
          <w:p w14:paraId="3D597C3A"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Reviewing HREC</w:t>
            </w:r>
          </w:p>
          <w:p w14:paraId="2CFFA00D"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DSM</w:t>
            </w:r>
            <w:r>
              <w:rPr>
                <w:rFonts w:ascii="Arial" w:hAnsi="Arial" w:cs="Arial"/>
                <w:sz w:val="20"/>
                <w:szCs w:val="20"/>
                <w:lang w:val="en-AU"/>
              </w:rPr>
              <w:t>C</w:t>
            </w:r>
          </w:p>
          <w:p w14:paraId="65ABEA89"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All investigators</w:t>
            </w:r>
          </w:p>
        </w:tc>
        <w:tc>
          <w:tcPr>
            <w:tcW w:w="2254" w:type="dxa"/>
          </w:tcPr>
          <w:p w14:paraId="0F51857B"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Within 15 days of notification</w:t>
            </w:r>
          </w:p>
        </w:tc>
      </w:tr>
      <w:tr w:rsidR="005C22F3" w:rsidRPr="00EA1DAA" w14:paraId="2C66A83E" w14:textId="77777777" w:rsidTr="00541253">
        <w:tc>
          <w:tcPr>
            <w:tcW w:w="2284" w:type="dxa"/>
          </w:tcPr>
          <w:p w14:paraId="04FCE4F1"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All SSIs</w:t>
            </w:r>
          </w:p>
        </w:tc>
        <w:tc>
          <w:tcPr>
            <w:tcW w:w="2254" w:type="dxa"/>
          </w:tcPr>
          <w:p w14:paraId="74E7A94B"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PI</w:t>
            </w:r>
          </w:p>
        </w:tc>
        <w:tc>
          <w:tcPr>
            <w:tcW w:w="2254" w:type="dxa"/>
          </w:tcPr>
          <w:p w14:paraId="7656A7D7"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The Research Governance officer for the site where the incident occurred.</w:t>
            </w:r>
          </w:p>
        </w:tc>
        <w:tc>
          <w:tcPr>
            <w:tcW w:w="2254" w:type="dxa"/>
          </w:tcPr>
          <w:p w14:paraId="7571DE36"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As soon as possible and no later than 72 hours after PI aware of event.</w:t>
            </w:r>
          </w:p>
        </w:tc>
      </w:tr>
      <w:tr w:rsidR="005C22F3" w:rsidRPr="00EA1DAA" w14:paraId="32BE4EAA" w14:textId="77777777" w:rsidTr="00541253">
        <w:tc>
          <w:tcPr>
            <w:tcW w:w="2284" w:type="dxa"/>
          </w:tcPr>
          <w:p w14:paraId="79511847"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USADEs</w:t>
            </w:r>
          </w:p>
        </w:tc>
        <w:tc>
          <w:tcPr>
            <w:tcW w:w="2254" w:type="dxa"/>
          </w:tcPr>
          <w:p w14:paraId="371D601E"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PI</w:t>
            </w:r>
          </w:p>
        </w:tc>
        <w:tc>
          <w:tcPr>
            <w:tcW w:w="2254" w:type="dxa"/>
          </w:tcPr>
          <w:p w14:paraId="7CFD3058"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The Research Governance officer for the site where the incident occurred.</w:t>
            </w:r>
          </w:p>
        </w:tc>
        <w:tc>
          <w:tcPr>
            <w:tcW w:w="2254" w:type="dxa"/>
          </w:tcPr>
          <w:p w14:paraId="18348AD2"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Within 72 hours of the PI becoming aware of the event</w:t>
            </w:r>
          </w:p>
        </w:tc>
      </w:tr>
      <w:tr w:rsidR="005C22F3" w:rsidRPr="00EA1DAA" w14:paraId="1CA9066A" w14:textId="77777777" w:rsidTr="00541253">
        <w:tc>
          <w:tcPr>
            <w:tcW w:w="2284" w:type="dxa"/>
          </w:tcPr>
          <w:p w14:paraId="49DCA853"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Investigator Brochure updates</w:t>
            </w:r>
          </w:p>
        </w:tc>
        <w:tc>
          <w:tcPr>
            <w:tcW w:w="2254" w:type="dxa"/>
          </w:tcPr>
          <w:p w14:paraId="31324674"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CPI</w:t>
            </w:r>
          </w:p>
        </w:tc>
        <w:tc>
          <w:tcPr>
            <w:tcW w:w="2254" w:type="dxa"/>
          </w:tcPr>
          <w:p w14:paraId="70C5A2DC"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Reviewing HREC (SLHD – RPA)</w:t>
            </w:r>
          </w:p>
        </w:tc>
        <w:tc>
          <w:tcPr>
            <w:tcW w:w="2254" w:type="dxa"/>
          </w:tcPr>
          <w:p w14:paraId="6905C024"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When updates generated</w:t>
            </w:r>
          </w:p>
        </w:tc>
      </w:tr>
      <w:tr w:rsidR="005C22F3" w:rsidRPr="00EA1DAA" w14:paraId="37B0AB35" w14:textId="77777777" w:rsidTr="00541253">
        <w:tc>
          <w:tcPr>
            <w:tcW w:w="2284" w:type="dxa"/>
          </w:tcPr>
          <w:p w14:paraId="1B67C21D"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Annual safety report</w:t>
            </w:r>
          </w:p>
        </w:tc>
        <w:tc>
          <w:tcPr>
            <w:tcW w:w="2254" w:type="dxa"/>
          </w:tcPr>
          <w:p w14:paraId="768E8F73"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CPI</w:t>
            </w:r>
          </w:p>
        </w:tc>
        <w:tc>
          <w:tcPr>
            <w:tcW w:w="2254" w:type="dxa"/>
          </w:tcPr>
          <w:p w14:paraId="56222277"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 xml:space="preserve">Reviewing HREC (SLHD – RPA) </w:t>
            </w:r>
          </w:p>
        </w:tc>
        <w:tc>
          <w:tcPr>
            <w:tcW w:w="2254" w:type="dxa"/>
          </w:tcPr>
          <w:p w14:paraId="76911A73" w14:textId="77777777" w:rsidR="005C22F3" w:rsidRPr="00794A38" w:rsidRDefault="005C22F3" w:rsidP="00541253">
            <w:pPr>
              <w:rPr>
                <w:rFonts w:ascii="Arial" w:hAnsi="Arial" w:cs="Arial"/>
                <w:sz w:val="20"/>
                <w:szCs w:val="20"/>
                <w:lang w:val="en-AU"/>
              </w:rPr>
            </w:pPr>
            <w:r w:rsidRPr="00794A38">
              <w:rPr>
                <w:rFonts w:ascii="Arial" w:hAnsi="Arial" w:cs="Arial"/>
                <w:sz w:val="20"/>
                <w:szCs w:val="20"/>
                <w:lang w:val="en-AU"/>
              </w:rPr>
              <w:t>Within annual progress report sent to HREC.</w:t>
            </w:r>
          </w:p>
        </w:tc>
      </w:tr>
    </w:tbl>
    <w:p w14:paraId="0FA4ECCB" w14:textId="612F484A" w:rsidR="005C22F3" w:rsidRDefault="005C22F3" w:rsidP="005C22F3">
      <w:pPr>
        <w:pStyle w:val="NoSpacing"/>
        <w:rPr>
          <w:rFonts w:ascii="Arial" w:hAnsi="Arial" w:cs="Arial"/>
          <w:i/>
          <w:iCs/>
          <w:sz w:val="20"/>
          <w:szCs w:val="20"/>
        </w:rPr>
      </w:pPr>
      <w:bookmarkStart w:id="4" w:name="_Hlk57099187"/>
      <w:r w:rsidRPr="001E4F59">
        <w:rPr>
          <w:rFonts w:ascii="Arial" w:hAnsi="Arial" w:cs="Arial"/>
          <w:i/>
          <w:iCs/>
          <w:sz w:val="16"/>
          <w:szCs w:val="16"/>
        </w:rPr>
        <w:t>AE (Adverse Event) SAE (Serious Adverse Event) SSI (Significant Safety Issue) USM (Urgent Safety Measure) USADE (Unanticipated Serious Adverse Device Effect) PI (Principal Investigator) CPI (Coordinating Principal Investigator) DSMC Data Safety Management Committee) HREC ( Human Research Ethics Committee</w:t>
      </w:r>
      <w:bookmarkEnd w:id="4"/>
      <w:r w:rsidRPr="001E4F59">
        <w:rPr>
          <w:rFonts w:ascii="Arial" w:hAnsi="Arial" w:cs="Arial"/>
          <w:i/>
          <w:iCs/>
          <w:sz w:val="16"/>
          <w:szCs w:val="16"/>
        </w:rPr>
        <w:t>) SLHD (Sydney Local Health District</w:t>
      </w:r>
      <w:r>
        <w:rPr>
          <w:rFonts w:ascii="Arial" w:hAnsi="Arial" w:cs="Arial"/>
          <w:i/>
          <w:iCs/>
          <w:sz w:val="20"/>
          <w:szCs w:val="20"/>
        </w:rPr>
        <w:t>)</w:t>
      </w:r>
    </w:p>
    <w:p w14:paraId="6DF5374A" w14:textId="78DC6A29" w:rsidR="00C55307" w:rsidRPr="00C55307" w:rsidRDefault="00C55307" w:rsidP="00C55307">
      <w:pPr>
        <w:pStyle w:val="CommentText"/>
        <w:rPr>
          <w:rFonts w:ascii="Arial" w:hAnsi="Arial" w:cs="Arial"/>
          <w:i/>
          <w:iCs/>
          <w:sz w:val="16"/>
          <w:szCs w:val="16"/>
        </w:rPr>
      </w:pPr>
      <w:r w:rsidRPr="00C55307">
        <w:rPr>
          <w:rFonts w:ascii="Arial" w:hAnsi="Arial" w:cs="Arial"/>
          <w:i/>
          <w:iCs/>
          <w:sz w:val="16"/>
          <w:szCs w:val="16"/>
        </w:rPr>
        <w:t>Adapted from National Health and Medical Research Council (2016). Guidance: Safety monitoring and reporting in clinical trials involving therapeutic goods. Canberra: National Health and Medical Research Council.</w:t>
      </w:r>
    </w:p>
    <w:p w14:paraId="451CE7BC" w14:textId="77777777" w:rsidR="005C22F3" w:rsidRPr="00EA1DAA" w:rsidRDefault="005C22F3" w:rsidP="005C22F3">
      <w:pPr>
        <w:pStyle w:val="NoSpacing"/>
        <w:rPr>
          <w:rFonts w:ascii="Arial" w:hAnsi="Arial" w:cs="Arial"/>
          <w:b/>
          <w:bCs/>
          <w:sz w:val="20"/>
          <w:szCs w:val="20"/>
        </w:rPr>
      </w:pPr>
    </w:p>
    <w:p w14:paraId="00F2F5C9" w14:textId="77777777" w:rsidR="005C22F3" w:rsidRDefault="005C22F3" w:rsidP="005C22F3">
      <w:pPr>
        <w:ind w:right="-507"/>
        <w:jc w:val="both"/>
        <w:rPr>
          <w:rFonts w:ascii="Arial" w:hAnsi="Arial" w:cs="Arial"/>
          <w:b/>
          <w:bCs/>
          <w:snapToGrid w:val="0"/>
          <w:sz w:val="20"/>
          <w:szCs w:val="20"/>
          <w:lang w:val="en-AU"/>
        </w:rPr>
      </w:pPr>
    </w:p>
    <w:p w14:paraId="03CBD55F" w14:textId="77777777" w:rsidR="005C22F3" w:rsidRDefault="005C22F3" w:rsidP="005C22F3">
      <w:pPr>
        <w:ind w:right="-507"/>
        <w:jc w:val="both"/>
        <w:rPr>
          <w:rFonts w:ascii="Arial" w:hAnsi="Arial" w:cs="Arial"/>
          <w:b/>
          <w:bCs/>
          <w:snapToGrid w:val="0"/>
          <w:sz w:val="20"/>
          <w:szCs w:val="20"/>
          <w:lang w:val="en-AU"/>
        </w:rPr>
      </w:pPr>
    </w:p>
    <w:p w14:paraId="3DC55D94" w14:textId="77777777" w:rsidR="005C22F3" w:rsidRPr="00794A38" w:rsidRDefault="005C22F3" w:rsidP="005C22F3">
      <w:pPr>
        <w:rPr>
          <w:lang w:val="en-AU"/>
        </w:rPr>
      </w:pPr>
    </w:p>
    <w:p w14:paraId="57A3C15A" w14:textId="77777777" w:rsidR="005C22F3" w:rsidRPr="00794A38" w:rsidRDefault="005C22F3" w:rsidP="005C22F3">
      <w:pPr>
        <w:rPr>
          <w:lang w:val="en-AU"/>
        </w:rPr>
      </w:pPr>
      <w:r w:rsidRPr="00794A38">
        <w:rPr>
          <w:noProof/>
          <w:lang w:val="en-AU"/>
        </w:rPr>
        <w:lastRenderedPageBreak/>
        <w:drawing>
          <wp:inline distT="0" distB="0" distL="0" distR="0" wp14:anchorId="01D1982A" wp14:editId="60C740D9">
            <wp:extent cx="5730240" cy="3200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0240" cy="3200400"/>
                    </a:xfrm>
                    <a:prstGeom prst="rect">
                      <a:avLst/>
                    </a:prstGeom>
                    <a:noFill/>
                    <a:ln>
                      <a:noFill/>
                    </a:ln>
                  </pic:spPr>
                </pic:pic>
              </a:graphicData>
            </a:graphic>
          </wp:inline>
        </w:drawing>
      </w:r>
      <w:bookmarkStart w:id="5" w:name="_Toc43996069"/>
      <w:bookmarkStart w:id="6" w:name="_Toc43997312"/>
      <w:bookmarkStart w:id="7" w:name="_Toc43997473"/>
      <w:bookmarkStart w:id="8" w:name="_Toc43996070"/>
      <w:bookmarkStart w:id="9" w:name="_Toc43997313"/>
      <w:bookmarkStart w:id="10" w:name="_Toc43997474"/>
      <w:bookmarkStart w:id="11" w:name="_Toc43996071"/>
      <w:bookmarkStart w:id="12" w:name="_Toc43997314"/>
      <w:bookmarkStart w:id="13" w:name="_Toc43997475"/>
      <w:bookmarkStart w:id="14" w:name="_Toc43996072"/>
      <w:bookmarkStart w:id="15" w:name="_Toc43997315"/>
      <w:bookmarkStart w:id="16" w:name="_Toc43997476"/>
      <w:bookmarkStart w:id="17" w:name="_Toc43996073"/>
      <w:bookmarkStart w:id="18" w:name="_Toc43997316"/>
      <w:bookmarkStart w:id="19" w:name="_Toc43997477"/>
      <w:bookmarkStart w:id="20" w:name="_Toc43996074"/>
      <w:bookmarkStart w:id="21" w:name="_Toc43997317"/>
      <w:bookmarkStart w:id="22" w:name="_Toc43997478"/>
      <w:bookmarkStart w:id="23" w:name="_Toc43996075"/>
      <w:bookmarkStart w:id="24" w:name="_Toc43997318"/>
      <w:bookmarkStart w:id="25" w:name="_Toc43997479"/>
      <w:bookmarkStart w:id="26" w:name="_Toc43996076"/>
      <w:bookmarkStart w:id="27" w:name="_Toc43997319"/>
      <w:bookmarkStart w:id="28" w:name="_Toc43997480"/>
      <w:bookmarkStart w:id="29" w:name="_Toc43996077"/>
      <w:bookmarkStart w:id="30" w:name="_Toc43997320"/>
      <w:bookmarkStart w:id="31" w:name="_Toc43997481"/>
      <w:bookmarkStart w:id="32" w:name="_Toc43996078"/>
      <w:bookmarkStart w:id="33" w:name="_Toc43997321"/>
      <w:bookmarkStart w:id="34" w:name="_Toc43997482"/>
      <w:bookmarkStart w:id="35" w:name="_Toc43996079"/>
      <w:bookmarkStart w:id="36" w:name="_Toc43997322"/>
      <w:bookmarkStart w:id="37" w:name="_Toc43997483"/>
      <w:bookmarkStart w:id="38" w:name="_Toc43996080"/>
      <w:bookmarkStart w:id="39" w:name="_Toc43997323"/>
      <w:bookmarkStart w:id="40" w:name="_Toc43997484"/>
      <w:bookmarkStart w:id="41" w:name="_Toc43996081"/>
      <w:bookmarkStart w:id="42" w:name="_Toc43997324"/>
      <w:bookmarkStart w:id="43" w:name="_Toc43997485"/>
      <w:bookmarkStart w:id="44" w:name="_Toc43996082"/>
      <w:bookmarkStart w:id="45" w:name="_Toc43997325"/>
      <w:bookmarkStart w:id="46" w:name="_Toc43997486"/>
      <w:bookmarkStart w:id="47" w:name="_Toc43996083"/>
      <w:bookmarkStart w:id="48" w:name="_Toc43997326"/>
      <w:bookmarkStart w:id="49" w:name="_Toc43997487"/>
      <w:bookmarkStart w:id="50" w:name="_Toc43996084"/>
      <w:bookmarkStart w:id="51" w:name="_Toc43997327"/>
      <w:bookmarkStart w:id="52" w:name="_Toc43997488"/>
      <w:bookmarkStart w:id="53" w:name="_Toc43996085"/>
      <w:bookmarkStart w:id="54" w:name="_Toc43997328"/>
      <w:bookmarkStart w:id="55" w:name="_Toc43997489"/>
      <w:bookmarkStart w:id="56" w:name="_Toc43996086"/>
      <w:bookmarkStart w:id="57" w:name="_Toc43997329"/>
      <w:bookmarkStart w:id="58" w:name="_Toc43997490"/>
      <w:bookmarkStart w:id="59" w:name="_Toc43996087"/>
      <w:bookmarkStart w:id="60" w:name="_Toc43997330"/>
      <w:bookmarkStart w:id="61" w:name="_Toc43997491"/>
      <w:bookmarkStart w:id="62" w:name="_Toc43996088"/>
      <w:bookmarkStart w:id="63" w:name="_Toc43997331"/>
      <w:bookmarkStart w:id="64" w:name="_Toc43997492"/>
      <w:bookmarkStart w:id="65" w:name="_Toc43996089"/>
      <w:bookmarkStart w:id="66" w:name="_Toc43997332"/>
      <w:bookmarkStart w:id="67" w:name="_Toc43997493"/>
      <w:bookmarkStart w:id="68" w:name="_Toc43996090"/>
      <w:bookmarkStart w:id="69" w:name="_Toc43997333"/>
      <w:bookmarkStart w:id="70" w:name="_Toc43997494"/>
      <w:bookmarkStart w:id="71" w:name="_Toc43996091"/>
      <w:bookmarkStart w:id="72" w:name="_Toc43997334"/>
      <w:bookmarkStart w:id="73" w:name="_Toc43997495"/>
      <w:bookmarkStart w:id="74" w:name="_Toc43996092"/>
      <w:bookmarkStart w:id="75" w:name="_Toc43997335"/>
      <w:bookmarkStart w:id="76" w:name="_Toc43997496"/>
      <w:bookmarkStart w:id="77" w:name="_Toc43996093"/>
      <w:bookmarkStart w:id="78" w:name="_Toc43997336"/>
      <w:bookmarkStart w:id="79" w:name="_Toc43997497"/>
      <w:bookmarkStart w:id="80" w:name="_Toc43996094"/>
      <w:bookmarkStart w:id="81" w:name="_Toc43997337"/>
      <w:bookmarkStart w:id="82" w:name="_Toc43997498"/>
      <w:bookmarkStart w:id="83" w:name="_Toc43996095"/>
      <w:bookmarkStart w:id="84" w:name="_Toc43997338"/>
      <w:bookmarkStart w:id="85" w:name="_Toc43997499"/>
      <w:bookmarkStart w:id="86" w:name="_Toc43996096"/>
      <w:bookmarkStart w:id="87" w:name="_Toc43997339"/>
      <w:bookmarkStart w:id="88" w:name="_Toc43997500"/>
      <w:bookmarkStart w:id="89" w:name="_Toc43996098"/>
      <w:bookmarkStart w:id="90" w:name="_Toc43997341"/>
      <w:bookmarkStart w:id="91" w:name="_Toc43997502"/>
      <w:bookmarkStart w:id="92" w:name="_Toc43996099"/>
      <w:bookmarkStart w:id="93" w:name="_Toc43997342"/>
      <w:bookmarkStart w:id="94" w:name="_Toc43997503"/>
      <w:bookmarkStart w:id="95" w:name="_Toc43996101"/>
      <w:bookmarkStart w:id="96" w:name="_Toc43997344"/>
      <w:bookmarkStart w:id="97" w:name="_Toc43997505"/>
      <w:bookmarkStart w:id="98" w:name="_Toc43996102"/>
      <w:bookmarkStart w:id="99" w:name="_Toc43997345"/>
      <w:bookmarkStart w:id="100" w:name="_Toc43997506"/>
      <w:bookmarkStart w:id="101" w:name="_Toc43996104"/>
      <w:bookmarkStart w:id="102" w:name="_Toc43997347"/>
      <w:bookmarkStart w:id="103" w:name="_Toc43997508"/>
      <w:bookmarkStart w:id="104" w:name="_Toc43996105"/>
      <w:bookmarkStart w:id="105" w:name="_Toc43997348"/>
      <w:bookmarkStart w:id="106" w:name="_Toc43997509"/>
      <w:bookmarkStart w:id="107" w:name="_Toc43996107"/>
      <w:bookmarkStart w:id="108" w:name="_Toc43997350"/>
      <w:bookmarkStart w:id="109" w:name="_Toc43997511"/>
      <w:bookmarkStart w:id="110" w:name="_Toc43996108"/>
      <w:bookmarkStart w:id="111" w:name="_Toc43997351"/>
      <w:bookmarkStart w:id="112" w:name="_Toc43997512"/>
      <w:bookmarkStart w:id="113" w:name="_Toc43996109"/>
      <w:bookmarkStart w:id="114" w:name="_Toc43997352"/>
      <w:bookmarkStart w:id="115" w:name="_Toc43997513"/>
      <w:bookmarkStart w:id="116" w:name="_Toc43996110"/>
      <w:bookmarkStart w:id="117" w:name="_Toc43997353"/>
      <w:bookmarkStart w:id="118" w:name="_Toc43997514"/>
      <w:bookmarkStart w:id="119" w:name="_Toc43996111"/>
      <w:bookmarkStart w:id="120" w:name="_Toc43997354"/>
      <w:bookmarkStart w:id="121" w:name="_Toc43997515"/>
      <w:bookmarkStart w:id="122" w:name="_Toc43996112"/>
      <w:bookmarkStart w:id="123" w:name="_Toc43997355"/>
      <w:bookmarkStart w:id="124" w:name="_Toc4399751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403D7854" w14:textId="77777777" w:rsidR="005C22F3" w:rsidRPr="00794A38" w:rsidRDefault="005C22F3" w:rsidP="005C22F3">
      <w:pPr>
        <w:rPr>
          <w:lang w:val="en-AU"/>
        </w:rPr>
      </w:pPr>
    </w:p>
    <w:p w14:paraId="113E182B" w14:textId="1C63E1C9" w:rsidR="005C22F3" w:rsidRDefault="005C22F3" w:rsidP="005C22F3">
      <w:pPr>
        <w:ind w:right="-507"/>
        <w:jc w:val="both"/>
        <w:rPr>
          <w:rFonts w:ascii="Arial" w:hAnsi="Arial" w:cs="Arial"/>
          <w:b/>
          <w:bCs/>
          <w:snapToGrid w:val="0"/>
          <w:sz w:val="20"/>
          <w:szCs w:val="20"/>
          <w:lang w:val="en-AU"/>
        </w:rPr>
      </w:pPr>
      <w:r w:rsidRPr="00794A38">
        <w:rPr>
          <w:rFonts w:ascii="Arial" w:hAnsi="Arial" w:cs="Arial"/>
          <w:b/>
          <w:bCs/>
          <w:snapToGrid w:val="0"/>
          <w:sz w:val="20"/>
          <w:szCs w:val="20"/>
          <w:lang w:val="en-AU"/>
        </w:rPr>
        <w:t xml:space="preserve">Figure </w:t>
      </w:r>
      <w:r w:rsidR="00CD7185">
        <w:rPr>
          <w:rFonts w:ascii="Arial" w:hAnsi="Arial" w:cs="Arial"/>
          <w:b/>
          <w:bCs/>
          <w:snapToGrid w:val="0"/>
          <w:sz w:val="20"/>
          <w:szCs w:val="20"/>
          <w:lang w:val="en-AU"/>
        </w:rPr>
        <w:t>1</w:t>
      </w:r>
      <w:r w:rsidRPr="00794A38">
        <w:rPr>
          <w:rFonts w:ascii="Arial" w:hAnsi="Arial" w:cs="Arial"/>
          <w:b/>
          <w:bCs/>
          <w:snapToGrid w:val="0"/>
          <w:sz w:val="20"/>
          <w:szCs w:val="20"/>
          <w:lang w:val="en-AU"/>
        </w:rPr>
        <w:t>. Flow diagram of safety reporting responsibilities.</w:t>
      </w:r>
    </w:p>
    <w:p w14:paraId="1631E172" w14:textId="7916E786" w:rsidR="005C22F3" w:rsidRDefault="005C22F3" w:rsidP="005C22F3">
      <w:pPr>
        <w:ind w:right="-507"/>
        <w:jc w:val="both"/>
        <w:rPr>
          <w:rFonts w:ascii="Arial" w:hAnsi="Arial" w:cs="Arial"/>
          <w:i/>
          <w:iCs/>
          <w:sz w:val="16"/>
          <w:szCs w:val="16"/>
        </w:rPr>
      </w:pPr>
      <w:r w:rsidRPr="001E4F59">
        <w:rPr>
          <w:rFonts w:ascii="Arial" w:hAnsi="Arial" w:cs="Arial"/>
          <w:i/>
          <w:iCs/>
          <w:sz w:val="16"/>
          <w:szCs w:val="16"/>
        </w:rPr>
        <w:t>AE (Adverse Event) SAE (Serious Adverse Event) SSI (Significant Safety Issue) USM (Urgent Safety Measure) USADE (Unanticipated Serious Adverse Device Effect) PI (Principal Investigator) CPI (Coordinating Principal Investigator) DSMC Data Safety Management Committee) HREC ( Human Research Ethics Committee</w:t>
      </w:r>
      <w:r>
        <w:rPr>
          <w:rFonts w:ascii="Arial" w:hAnsi="Arial" w:cs="Arial"/>
          <w:i/>
          <w:iCs/>
          <w:sz w:val="16"/>
          <w:szCs w:val="16"/>
        </w:rPr>
        <w:t xml:space="preserve"> TGA (Therapeutic Goods Administration)</w:t>
      </w:r>
    </w:p>
    <w:p w14:paraId="321085AD" w14:textId="77777777" w:rsidR="00C55307" w:rsidRPr="00C55307" w:rsidRDefault="00C55307" w:rsidP="00C55307">
      <w:pPr>
        <w:pStyle w:val="CommentText"/>
        <w:rPr>
          <w:rFonts w:ascii="Arial" w:hAnsi="Arial" w:cs="Arial"/>
          <w:i/>
          <w:iCs/>
          <w:sz w:val="16"/>
          <w:szCs w:val="16"/>
        </w:rPr>
      </w:pPr>
      <w:r w:rsidRPr="00C55307">
        <w:rPr>
          <w:rFonts w:ascii="Arial" w:hAnsi="Arial" w:cs="Arial"/>
          <w:i/>
          <w:iCs/>
          <w:sz w:val="16"/>
          <w:szCs w:val="16"/>
        </w:rPr>
        <w:t>Adapted from National Health and Medical Research Council (2016). Guidance: Safety monitoring and reporting in clinical trials involving therapeutic goods. Canberra: National Health and Medical Research Council.</w:t>
      </w:r>
    </w:p>
    <w:p w14:paraId="7EBCF504" w14:textId="77777777" w:rsidR="00C55307" w:rsidRPr="00511C42" w:rsidRDefault="00C55307" w:rsidP="005C22F3">
      <w:pPr>
        <w:ind w:right="-507"/>
        <w:jc w:val="both"/>
      </w:pPr>
    </w:p>
    <w:p w14:paraId="12A29242" w14:textId="77777777" w:rsidR="005C22F3" w:rsidRDefault="005C22F3" w:rsidP="005C22F3">
      <w:pPr>
        <w:pStyle w:val="Body"/>
        <w:widowControl w:val="0"/>
        <w:spacing w:line="360" w:lineRule="auto"/>
        <w:rPr>
          <w:sz w:val="28"/>
          <w:szCs w:val="28"/>
          <w:lang w:val="en-AU"/>
        </w:rPr>
      </w:pPr>
    </w:p>
    <w:p w14:paraId="3C1657DF" w14:textId="77777777" w:rsidR="00551FDB" w:rsidRDefault="00A00443"/>
    <w:sectPr w:rsidR="00551F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FC6718"/>
    <w:multiLevelType w:val="hybridMultilevel"/>
    <w:tmpl w:val="80CC936A"/>
    <w:lvl w:ilvl="0" w:tplc="0906AD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F2F7E51"/>
    <w:multiLevelType w:val="hybridMultilevel"/>
    <w:tmpl w:val="5BD46156"/>
    <w:lvl w:ilvl="0" w:tplc="0906ADE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5E07297"/>
    <w:multiLevelType w:val="hybridMultilevel"/>
    <w:tmpl w:val="9B988D2A"/>
    <w:lvl w:ilvl="0" w:tplc="0906AD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4E"/>
    <w:rsid w:val="00356C4E"/>
    <w:rsid w:val="003F1C9A"/>
    <w:rsid w:val="005C22F3"/>
    <w:rsid w:val="00980D13"/>
    <w:rsid w:val="00A00443"/>
    <w:rsid w:val="00C55307"/>
    <w:rsid w:val="00CD7185"/>
    <w:rsid w:val="00D020FF"/>
    <w:rsid w:val="00ED78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1A02"/>
  <w15:chartTrackingRefBased/>
  <w15:docId w15:val="{422E6842-3108-4515-A6D1-B0460D55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22F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2">
    <w:name w:val="heading 2"/>
    <w:basedOn w:val="Normal"/>
    <w:next w:val="Normal"/>
    <w:link w:val="Heading2Char"/>
    <w:uiPriority w:val="9"/>
    <w:unhideWhenUsed/>
    <w:qFormat/>
    <w:rsid w:val="005C22F3"/>
    <w:pPr>
      <w:keepNext/>
      <w:keepLines/>
      <w:widowControl w:val="0"/>
      <w:spacing w:before="40" w:after="120" w:line="360" w:lineRule="auto"/>
      <w:jc w:val="both"/>
      <w:outlineLvl w:val="1"/>
    </w:pPr>
    <w:rPr>
      <w:rFonts w:ascii="Arial" w:eastAsiaTheme="majorEastAsia" w:hAnsi="Arial" w:cstheme="majorBidi"/>
      <w:b/>
      <w:bCs/>
      <w:szCs w:val="26"/>
      <w:u w:color="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22F3"/>
    <w:rPr>
      <w:rFonts w:ascii="Arial" w:eastAsiaTheme="majorEastAsia" w:hAnsi="Arial" w:cstheme="majorBidi"/>
      <w:b/>
      <w:bCs/>
      <w:sz w:val="24"/>
      <w:szCs w:val="26"/>
      <w:u w:color="000000"/>
      <w:bdr w:val="nil"/>
      <w:lang w:val="en-GB"/>
    </w:rPr>
  </w:style>
  <w:style w:type="paragraph" w:customStyle="1" w:styleId="Body">
    <w:name w:val="Body"/>
    <w:link w:val="BodyChar"/>
    <w:rsid w:val="005C22F3"/>
    <w:pPr>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val="en-GB"/>
    </w:rPr>
  </w:style>
  <w:style w:type="character" w:customStyle="1" w:styleId="BodyChar">
    <w:name w:val="Body Char"/>
    <w:basedOn w:val="DefaultParagraphFont"/>
    <w:link w:val="Body"/>
    <w:rsid w:val="005C22F3"/>
    <w:rPr>
      <w:rFonts w:ascii="Arial" w:eastAsia="Arial Unicode MS" w:hAnsi="Arial" w:cs="Arial Unicode MS"/>
      <w:color w:val="000000"/>
      <w:sz w:val="20"/>
      <w:szCs w:val="20"/>
      <w:u w:color="000000"/>
      <w:bdr w:val="nil"/>
      <w:lang w:val="en-GB"/>
    </w:rPr>
  </w:style>
  <w:style w:type="character" w:styleId="CommentReference">
    <w:name w:val="annotation reference"/>
    <w:basedOn w:val="DefaultParagraphFont"/>
    <w:uiPriority w:val="99"/>
    <w:unhideWhenUsed/>
    <w:rsid w:val="005C22F3"/>
    <w:rPr>
      <w:sz w:val="16"/>
      <w:szCs w:val="16"/>
    </w:rPr>
  </w:style>
  <w:style w:type="paragraph" w:styleId="CommentText">
    <w:name w:val="annotation text"/>
    <w:basedOn w:val="Normal"/>
    <w:link w:val="CommentTextChar"/>
    <w:uiPriority w:val="99"/>
    <w:unhideWhenUsed/>
    <w:rsid w:val="005C22F3"/>
    <w:rPr>
      <w:sz w:val="20"/>
      <w:szCs w:val="20"/>
    </w:rPr>
  </w:style>
  <w:style w:type="character" w:customStyle="1" w:styleId="CommentTextChar">
    <w:name w:val="Comment Text Char"/>
    <w:basedOn w:val="DefaultParagraphFont"/>
    <w:link w:val="CommentText"/>
    <w:uiPriority w:val="99"/>
    <w:rsid w:val="005C22F3"/>
    <w:rPr>
      <w:rFonts w:ascii="Times New Roman" w:eastAsia="Arial Unicode MS" w:hAnsi="Times New Roman" w:cs="Times New Roman"/>
      <w:sz w:val="20"/>
      <w:szCs w:val="20"/>
      <w:bdr w:val="nil"/>
      <w:lang w:val="en-US"/>
    </w:rPr>
  </w:style>
  <w:style w:type="paragraph" w:styleId="NoSpacing">
    <w:name w:val="No Spacing"/>
    <w:link w:val="NoSpacingChar"/>
    <w:uiPriority w:val="1"/>
    <w:qFormat/>
    <w:rsid w:val="005C22F3"/>
    <w:pPr>
      <w:spacing w:after="0" w:line="240" w:lineRule="auto"/>
    </w:pPr>
  </w:style>
  <w:style w:type="character" w:customStyle="1" w:styleId="NoSpacingChar">
    <w:name w:val="No Spacing Char"/>
    <w:basedOn w:val="DefaultParagraphFont"/>
    <w:link w:val="NoSpacing"/>
    <w:uiPriority w:val="1"/>
    <w:rsid w:val="005C22F3"/>
  </w:style>
  <w:style w:type="paragraph" w:styleId="ListParagraph">
    <w:name w:val="List Paragraph"/>
    <w:basedOn w:val="Normal"/>
    <w:link w:val="ListParagraphChar"/>
    <w:uiPriority w:val="34"/>
    <w:qFormat/>
    <w:rsid w:val="005C22F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PMingLiU" w:hAnsi="Cambria"/>
      <w:bdr w:val="none" w:sz="0" w:space="0" w:color="auto"/>
    </w:rPr>
  </w:style>
  <w:style w:type="character" w:customStyle="1" w:styleId="ListParagraphChar">
    <w:name w:val="List Paragraph Char"/>
    <w:link w:val="ListParagraph"/>
    <w:uiPriority w:val="34"/>
    <w:locked/>
    <w:rsid w:val="005C22F3"/>
    <w:rPr>
      <w:rFonts w:ascii="Cambria" w:eastAsia="PMingLiU" w:hAnsi="Cambria" w:cs="Times New Roman"/>
      <w:sz w:val="24"/>
      <w:szCs w:val="24"/>
      <w:lang w:val="en-US"/>
    </w:rPr>
  </w:style>
  <w:style w:type="paragraph" w:customStyle="1" w:styleId="Protocolparagraph">
    <w:name w:val="Protocol paragraph"/>
    <w:basedOn w:val="Normal"/>
    <w:link w:val="ProtocolparagraphChar"/>
    <w:qFormat/>
    <w:rsid w:val="005C22F3"/>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2"/>
      <w:szCs w:val="17"/>
      <w:bdr w:val="none" w:sz="0" w:space="0" w:color="auto"/>
      <w:lang w:val="en-AU"/>
    </w:rPr>
  </w:style>
  <w:style w:type="character" w:customStyle="1" w:styleId="ProtocolparagraphChar">
    <w:name w:val="Protocol paragraph Char"/>
    <w:basedOn w:val="DefaultParagraphFont"/>
    <w:link w:val="Protocolparagraph"/>
    <w:rsid w:val="005C22F3"/>
    <w:rPr>
      <w:rFonts w:ascii="Arial" w:hAnsi="Arial" w:cs="Arial"/>
      <w:szCs w:val="17"/>
    </w:rPr>
  </w:style>
  <w:style w:type="table" w:customStyle="1" w:styleId="TableGrid1">
    <w:name w:val="Table Grid1"/>
    <w:basedOn w:val="TableNormal"/>
    <w:next w:val="TableGrid"/>
    <w:uiPriority w:val="39"/>
    <w:rsid w:val="005C2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2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22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2F3"/>
    <w:rPr>
      <w:rFonts w:ascii="Segoe UI" w:eastAsia="Arial Unicode MS" w:hAnsi="Segoe UI" w:cs="Segoe UI"/>
      <w:sz w:val="18"/>
      <w:szCs w:val="18"/>
      <w:bdr w:val="nil"/>
      <w:lang w:val="en-US"/>
    </w:rPr>
  </w:style>
  <w:style w:type="character" w:customStyle="1" w:styleId="None">
    <w:name w:val="None"/>
    <w:rsid w:val="00D02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Smit</dc:creator>
  <cp:keywords/>
  <dc:description/>
  <cp:lastModifiedBy>Deonna Ackermann</cp:lastModifiedBy>
  <cp:revision>2</cp:revision>
  <dcterms:created xsi:type="dcterms:W3CDTF">2021-02-19T00:40:00Z</dcterms:created>
  <dcterms:modified xsi:type="dcterms:W3CDTF">2021-02-19T00:40:00Z</dcterms:modified>
</cp:coreProperties>
</file>