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DE" w:rsidRPr="0066375A" w:rsidRDefault="004854DE" w:rsidP="004854DE">
      <w:pPr>
        <w:pStyle w:val="MDPI41tablecaption"/>
        <w:rPr>
          <w:noProof/>
        </w:rPr>
      </w:pPr>
      <w:bookmarkStart w:id="0" w:name="_GoBack"/>
      <w:bookmarkEnd w:id="0"/>
      <w:r w:rsidRPr="0066375A">
        <w:rPr>
          <w:noProof/>
        </w:rPr>
        <w:t xml:space="preserve"> Revised Standards for Reporting Intervention in Clinical Trials of Acupuncture (STRICTA)</w:t>
      </w:r>
    </w:p>
    <w:tbl>
      <w:tblPr>
        <w:tblOverlap w:val="never"/>
        <w:tblW w:w="9224" w:type="dxa"/>
        <w:tblBorders>
          <w:top w:val="single" w:sz="12" w:space="0" w:color="0A0000"/>
          <w:left w:val="single" w:sz="2" w:space="0" w:color="0A0000"/>
          <w:bottom w:val="single" w:sz="12" w:space="0" w:color="0A0000"/>
          <w:right w:val="single" w:sz="2" w:space="0" w:color="0A0000"/>
          <w:insideH w:val="single" w:sz="2" w:space="0" w:color="0A0000"/>
          <w:insideV w:val="single" w:sz="2" w:space="0" w:color="0A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835"/>
        <w:gridCol w:w="5005"/>
      </w:tblGrid>
      <w:tr w:rsidR="004854DE" w:rsidRPr="0066375A" w:rsidTr="00327208">
        <w:tc>
          <w:tcPr>
            <w:tcW w:w="1384" w:type="dxa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b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b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b/>
                <w:noProof/>
                <w:color w:val="auto"/>
                <w:sz w:val="18"/>
                <w:szCs w:val="18"/>
              </w:rPr>
              <w:t>Item Criteria</w:t>
            </w:r>
          </w:p>
        </w:tc>
        <w:tc>
          <w:tcPr>
            <w:tcW w:w="5005" w:type="dxa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b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b/>
                <w:noProof/>
                <w:color w:val="auto"/>
                <w:sz w:val="18"/>
                <w:szCs w:val="18"/>
              </w:rPr>
              <w:t>Description</w:t>
            </w:r>
          </w:p>
        </w:tc>
      </w:tr>
      <w:tr w:rsidR="004854DE" w:rsidRPr="0066375A" w:rsidTr="00327208">
        <w:tc>
          <w:tcPr>
            <w:tcW w:w="1384" w:type="dxa"/>
            <w:vMerge w:val="restart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1.Acupuncture rationale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1a) Style of acupuncture</w:t>
            </w:r>
          </w:p>
        </w:tc>
        <w:tc>
          <w:tcPr>
            <w:tcW w:w="5005" w:type="dxa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Korean Medicine Therapy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1b) Reasoning for treatment provided – based on historical context, literature sources, and/or consensus methods, with references where appropriate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1) Discussion among four doctors that practice Korean medicine (consensus)</w:t>
            </w:r>
          </w:p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2) Textbook of acupuncture and moxibustion medicine</w:t>
            </w:r>
          </w:p>
          <w:p w:rsidR="004854DE" w:rsidRPr="00187492" w:rsidRDefault="00D70AF0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3) Relevant articles [1</w:t>
            </w:r>
            <w:r>
              <w:rPr>
                <w:rFonts w:ascii="Palatino Linotype" w:hAnsi="Palatino Linotype" w:hint="eastAsia"/>
                <w:noProof/>
                <w:color w:val="auto"/>
                <w:sz w:val="18"/>
                <w:szCs w:val="18"/>
              </w:rPr>
              <w:t>7</w:t>
            </w:r>
            <w:r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-1</w:t>
            </w:r>
            <w:r>
              <w:rPr>
                <w:rFonts w:ascii="Palatino Linotype" w:hAnsi="Palatino Linotype" w:hint="eastAsia"/>
                <w:noProof/>
                <w:color w:val="auto"/>
                <w:sz w:val="18"/>
                <w:szCs w:val="18"/>
              </w:rPr>
              <w:t>9</w:t>
            </w:r>
            <w:r w:rsidR="004854DE"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]</w:t>
            </w:r>
          </w:p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Selection of treatment regions based on textbooks, related papers, and expert discussions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1c) Extent to which treatment varied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Standardized treatment</w:t>
            </w:r>
          </w:p>
        </w:tc>
      </w:tr>
      <w:tr w:rsidR="004854DE" w:rsidRPr="0066375A" w:rsidTr="00327208">
        <w:tc>
          <w:tcPr>
            <w:tcW w:w="1384" w:type="dxa"/>
            <w:vMerge w:val="restart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2. Details of needling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2a) Number of needle insertions per subject per session (mean and range where relevant)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8 or 10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2b) Names (or location if no standard name) of points used (uni-/bilateral)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6"/>
                <w:szCs w:val="16"/>
              </w:rPr>
            </w:pPr>
            <w:r w:rsidRPr="00187492">
              <w:rPr>
                <w:rFonts w:ascii="Palatino Linotype" w:hAnsi="Palatino Linotype"/>
                <w:noProof/>
                <w:sz w:val="16"/>
                <w:szCs w:val="16"/>
              </w:rPr>
              <w:t>Baihui(GV20), Sishencong(EX-HN1), Fengchi(GB20), and Shenting(GV24),  Taixi(KI3)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2c) Depth of insertion, based on a specified unit of measurement or on a particular tissue level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6"/>
                <w:szCs w:val="16"/>
              </w:rPr>
            </w:pP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After the needles will be inserted into the acupoints subgaleally along the scalp at an angle of 15</w:t>
            </w:r>
            <w:r w:rsidRPr="00187492">
              <w:rPr>
                <w:rFonts w:ascii="Palatino Linotype" w:eastAsia="굴림" w:hAnsi="Palatino Linotype"/>
                <w:noProof/>
                <w:kern w:val="0"/>
                <w:sz w:val="16"/>
                <w:szCs w:val="16"/>
              </w:rPr>
              <w:t>°</w:t>
            </w: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-30</w:t>
            </w:r>
            <w:r w:rsidRPr="00187492">
              <w:rPr>
                <w:rFonts w:ascii="Palatino Linotype" w:eastAsia="굴림" w:hAnsi="Palatino Linotype"/>
                <w:noProof/>
                <w:kern w:val="0"/>
                <w:sz w:val="16"/>
                <w:szCs w:val="16"/>
              </w:rPr>
              <w:t xml:space="preserve">°. GB20 will be punctured 17 –30mm in the direction toward nose tip. GV24, the anterior EX-HN1, and GV20 will be punctured forwards, and the left, right and posterior EX-HN1 toward GV20. </w:t>
            </w: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 xml:space="preserve">The depth of insertion will be 9–24mm depending on the location of the needle. </w:t>
            </w:r>
            <w:r w:rsidRPr="00187492">
              <w:rPr>
                <w:rFonts w:ascii="Palatino Linotype" w:eastAsia="굴림" w:hAnsi="Palatino Linotype"/>
                <w:noProof/>
                <w:kern w:val="0"/>
                <w:sz w:val="16"/>
                <w:szCs w:val="16"/>
              </w:rPr>
              <w:t xml:space="preserve">KI3 will be punctured </w:t>
            </w:r>
            <w:r w:rsidRPr="00187492">
              <w:rPr>
                <w:rFonts w:ascii="Palatino Linotype" w:hAnsi="Palatino Linotype"/>
                <w:noProof/>
                <w:sz w:val="16"/>
                <w:szCs w:val="16"/>
              </w:rPr>
              <w:t>bilaterally, vertically to a depth of 9-15mm</w:t>
            </w:r>
            <w:r w:rsidR="00D70AF0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[1</w:t>
            </w:r>
            <w:r w:rsidR="00D70AF0">
              <w:rPr>
                <w:rFonts w:ascii="Palatino Linotype" w:eastAsiaTheme="minorHAnsi" w:hAnsi="Palatino Linotype" w:hint="eastAsia"/>
                <w:noProof/>
                <w:kern w:val="0"/>
                <w:sz w:val="16"/>
                <w:szCs w:val="16"/>
              </w:rPr>
              <w:t>7</w:t>
            </w:r>
            <w:r w:rsidR="00D70AF0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,1</w:t>
            </w:r>
            <w:r w:rsidR="00D70AF0">
              <w:rPr>
                <w:rFonts w:ascii="Palatino Linotype" w:eastAsiaTheme="minorHAnsi" w:hAnsi="Palatino Linotype" w:hint="eastAsia"/>
                <w:noProof/>
                <w:kern w:val="0"/>
                <w:sz w:val="16"/>
                <w:szCs w:val="16"/>
              </w:rPr>
              <w:t>9</w:t>
            </w: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]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2d) Responses sought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 xml:space="preserve">No de qi or muscle twitching,– only sensation due to needle insertion 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2e) Needle stimulation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None or electrical stimulation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2f) Needle retention time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30-minute per session or 20-minute per session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2g) Needle type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6"/>
                <w:szCs w:val="16"/>
              </w:rPr>
            </w:pPr>
            <w:r w:rsidRPr="00187492">
              <w:rPr>
                <w:rFonts w:ascii="Palatino Linotype" w:hAnsi="Palatino Linotype"/>
                <w:noProof/>
                <w:sz w:val="16"/>
                <w:szCs w:val="16"/>
              </w:rPr>
              <w:t xml:space="preserve">sterile, stainless, disposable acupuncture needles(size </w:t>
            </w: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0.25×30</w:t>
            </w:r>
            <w:r w:rsidRPr="00187492">
              <w:rPr>
                <w:rFonts w:ascii="Palatino Linotype" w:eastAsiaTheme="minorHAnsi" w:hAnsi="Times New Roman"/>
                <w:noProof/>
                <w:kern w:val="0"/>
                <w:sz w:val="16"/>
                <w:szCs w:val="16"/>
              </w:rPr>
              <w:t>㎜</w:t>
            </w:r>
            <w:r w:rsidRPr="00187492">
              <w:rPr>
                <w:rFonts w:ascii="Palatino Linotype" w:eastAsiaTheme="minorHAnsi" w:hAnsi="Palatino Linotype"/>
                <w:noProof/>
                <w:kern w:val="0"/>
                <w:sz w:val="16"/>
                <w:szCs w:val="16"/>
              </w:rPr>
              <w:t>; Dong Bang Acupuncture, Inc.,Boryeong, Republic of Korea; Product no: A 84010.02)</w:t>
            </w:r>
          </w:p>
        </w:tc>
      </w:tr>
      <w:tr w:rsidR="004854DE" w:rsidRPr="0066375A" w:rsidTr="00327208">
        <w:tc>
          <w:tcPr>
            <w:tcW w:w="1384" w:type="dxa"/>
            <w:vMerge w:val="restart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3. Treatment regimen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3a) Number of treatment sessions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 xml:space="preserve">24 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3b) Frequency and duration of treatment sessions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three times/week for 8weeks, 30-min per session or 20-min per session</w:t>
            </w:r>
          </w:p>
        </w:tc>
      </w:tr>
      <w:tr w:rsidR="004854DE" w:rsidRPr="0066375A" w:rsidTr="00327208">
        <w:tc>
          <w:tcPr>
            <w:tcW w:w="1384" w:type="dxa"/>
            <w:vMerge w:val="restart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4. Other treatment components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4a) Details of other interventions administered to the acupuncture group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sz w:val="18"/>
                <w:szCs w:val="18"/>
              </w:rPr>
              <w:t>none</w:t>
            </w: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4b) Setting and context of treatment – including instructions to practitioners – as well as information and explanations given to patients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Practitioner-patient conversation about the context of the treatment, life habits, and daily life management</w:t>
            </w:r>
          </w:p>
        </w:tc>
      </w:tr>
      <w:tr w:rsidR="004854DE" w:rsidRPr="0066375A" w:rsidTr="00327208">
        <w:tc>
          <w:tcPr>
            <w:tcW w:w="1384" w:type="dxa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5. Practitioner background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5a) Description of participating acupuncturists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Korean medicine doctor with the following qualifications: 6 years of formal university training in Korean medicine, a license</w:t>
            </w:r>
          </w:p>
        </w:tc>
      </w:tr>
      <w:tr w:rsidR="004854DE" w:rsidRPr="0066375A" w:rsidTr="00327208">
        <w:tc>
          <w:tcPr>
            <w:tcW w:w="1384" w:type="dxa"/>
            <w:vMerge w:val="restart"/>
          </w:tcPr>
          <w:p w:rsidR="004854DE" w:rsidRPr="00187492" w:rsidRDefault="004854DE" w:rsidP="00327208">
            <w:pPr>
              <w:pStyle w:val="a3"/>
              <w:spacing w:after="0" w:line="240" w:lineRule="auto"/>
              <w:jc w:val="center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6. Control or comparator interventions</w:t>
            </w: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6a) Rationale for the control or comparator in the context of the research question, with sources that justify the choice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wordWrap/>
              <w:spacing w:after="0"/>
              <w:contextualSpacing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>Zhang H, Zhao L, Yang S, Chen Z, Li Y, Peng X, Yang Y, Zhu M. Clinical observation on effect of scalp acupuncture for mild cognitive impairment. J Tradit Chin Med. 2013;33(1):46-50</w:t>
            </w:r>
          </w:p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</w:tr>
      <w:tr w:rsidR="004854DE" w:rsidRPr="0066375A" w:rsidTr="00327208">
        <w:tc>
          <w:tcPr>
            <w:tcW w:w="1384" w:type="dxa"/>
            <w:vMerge/>
          </w:tcPr>
          <w:p w:rsidR="004854DE" w:rsidRPr="00187492" w:rsidRDefault="004854DE" w:rsidP="00327208">
            <w:pPr>
              <w:pStyle w:val="a3"/>
              <w:spacing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854DE" w:rsidRPr="00187492" w:rsidRDefault="004854DE" w:rsidP="00327208">
            <w:pPr>
              <w:pStyle w:val="a3"/>
              <w:spacing w:after="0" w:line="240" w:lineRule="auto"/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</w:pP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t xml:space="preserve">6b) Precise description of the control or comparator; details for items 1−3 above with the use </w:t>
            </w:r>
            <w:r w:rsidRPr="00187492">
              <w:rPr>
                <w:rFonts w:ascii="Palatino Linotype" w:hAnsi="Palatino Linotype"/>
                <w:noProof/>
                <w:color w:val="auto"/>
                <w:sz w:val="18"/>
                <w:szCs w:val="18"/>
              </w:rPr>
              <w:lastRenderedPageBreak/>
              <w:t>of sham acupuncture or any other type of acupuncture-like control</w:t>
            </w:r>
          </w:p>
        </w:tc>
        <w:tc>
          <w:tcPr>
            <w:tcW w:w="5005" w:type="dxa"/>
            <w:vAlign w:val="center"/>
          </w:tcPr>
          <w:p w:rsidR="004854DE" w:rsidRPr="00187492" w:rsidRDefault="004854DE" w:rsidP="00327208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34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rFonts w:ascii="Palatino Linotype" w:hAnsi="Palatino Linotype"/>
                <w:noProof/>
                <w:color w:val="000000" w:themeColor="text1"/>
                <w:sz w:val="16"/>
                <w:szCs w:val="16"/>
              </w:rPr>
            </w:pPr>
            <w:r w:rsidRPr="00187492">
              <w:rPr>
                <w:rFonts w:ascii="Palatino Linotype" w:hAnsi="Palatino Linotype"/>
                <w:noProof/>
                <w:sz w:val="16"/>
                <w:szCs w:val="16"/>
              </w:rPr>
              <w:lastRenderedPageBreak/>
              <w:t xml:space="preserve">This study will investigate the optimal acupuncture treatment method for the treatment of MCI through a comparison of the effects of different acupuncture treatment method according to </w:t>
            </w:r>
            <w:r w:rsidRPr="00187492">
              <w:rPr>
                <w:rFonts w:ascii="Palatino Linotype" w:hAnsi="Palatino Linotype"/>
                <w:noProof/>
                <w:sz w:val="16"/>
                <w:szCs w:val="16"/>
              </w:rPr>
              <w:lastRenderedPageBreak/>
              <w:t>acupoint specificity, needle duration, and electrical stimulation in terms of an improvement in cognitive function in patients with MCI. There is no control or comparator</w:t>
            </w:r>
          </w:p>
        </w:tc>
      </w:tr>
    </w:tbl>
    <w:p w:rsidR="004F2355" w:rsidRDefault="003802D1"/>
    <w:sectPr w:rsidR="004F2355" w:rsidSect="007A051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2D1" w:rsidRDefault="003802D1" w:rsidP="00D70AF0">
      <w:r>
        <w:separator/>
      </w:r>
    </w:p>
  </w:endnote>
  <w:endnote w:type="continuationSeparator" w:id="0">
    <w:p w:rsidR="003802D1" w:rsidRDefault="003802D1" w:rsidP="00D7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2D1" w:rsidRDefault="003802D1" w:rsidP="00D70AF0">
      <w:r>
        <w:separator/>
      </w:r>
    </w:p>
  </w:footnote>
  <w:footnote w:type="continuationSeparator" w:id="0">
    <w:p w:rsidR="003802D1" w:rsidRDefault="003802D1" w:rsidP="00D70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DE"/>
    <w:rsid w:val="000C7A68"/>
    <w:rsid w:val="002F1ADD"/>
    <w:rsid w:val="003802D1"/>
    <w:rsid w:val="004854DE"/>
    <w:rsid w:val="0071588C"/>
    <w:rsid w:val="007A0510"/>
    <w:rsid w:val="007D6217"/>
    <w:rsid w:val="00D071E8"/>
    <w:rsid w:val="00D70AF0"/>
    <w:rsid w:val="00D766E0"/>
    <w:rsid w:val="00EC3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4D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4854DE"/>
    <w:pPr>
      <w:widowControl w:val="0"/>
      <w:wordWrap w:val="0"/>
      <w:autoSpaceDE w:val="0"/>
      <w:autoSpaceDN w:val="0"/>
      <w:spacing w:after="200" w:line="276" w:lineRule="auto"/>
      <w:jc w:val="both"/>
      <w:textAlignment w:val="baseline"/>
    </w:pPr>
    <w:rPr>
      <w:rFonts w:ascii="맑은 고딕" w:eastAsia="맑은 고딕" w:hAnsi="맑은 고딕" w:cs="Times New Roman"/>
      <w:color w:val="000000"/>
      <w:kern w:val="1"/>
    </w:rPr>
  </w:style>
  <w:style w:type="paragraph" w:customStyle="1" w:styleId="MDPI41tablecaption">
    <w:name w:val="MDPI_4.1_table_caption"/>
    <w:basedOn w:val="a"/>
    <w:qFormat/>
    <w:rsid w:val="004854DE"/>
    <w:pPr>
      <w:widowControl/>
      <w:wordWrap/>
      <w:autoSpaceDE/>
      <w:autoSpaceDN/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paragraph" w:styleId="a4">
    <w:name w:val="header"/>
    <w:basedOn w:val="a"/>
    <w:link w:val="Char"/>
    <w:uiPriority w:val="99"/>
    <w:unhideWhenUsed/>
    <w:rsid w:val="00D70AF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70AF0"/>
  </w:style>
  <w:style w:type="paragraph" w:styleId="a5">
    <w:name w:val="footer"/>
    <w:basedOn w:val="a"/>
    <w:link w:val="Char0"/>
    <w:uiPriority w:val="99"/>
    <w:unhideWhenUsed/>
    <w:rsid w:val="00D70AF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70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4D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4854DE"/>
    <w:pPr>
      <w:widowControl w:val="0"/>
      <w:wordWrap w:val="0"/>
      <w:autoSpaceDE w:val="0"/>
      <w:autoSpaceDN w:val="0"/>
      <w:spacing w:after="200" w:line="276" w:lineRule="auto"/>
      <w:jc w:val="both"/>
      <w:textAlignment w:val="baseline"/>
    </w:pPr>
    <w:rPr>
      <w:rFonts w:ascii="맑은 고딕" w:eastAsia="맑은 고딕" w:hAnsi="맑은 고딕" w:cs="Times New Roman"/>
      <w:color w:val="000000"/>
      <w:kern w:val="1"/>
    </w:rPr>
  </w:style>
  <w:style w:type="paragraph" w:customStyle="1" w:styleId="MDPI41tablecaption">
    <w:name w:val="MDPI_4.1_table_caption"/>
    <w:basedOn w:val="a"/>
    <w:qFormat/>
    <w:rsid w:val="004854DE"/>
    <w:pPr>
      <w:widowControl/>
      <w:wordWrap/>
      <w:autoSpaceDE/>
      <w:autoSpaceDN/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paragraph" w:styleId="a4">
    <w:name w:val="header"/>
    <w:basedOn w:val="a"/>
    <w:link w:val="Char"/>
    <w:uiPriority w:val="99"/>
    <w:unhideWhenUsed/>
    <w:rsid w:val="00D70AF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70AF0"/>
  </w:style>
  <w:style w:type="paragraph" w:styleId="a5">
    <w:name w:val="footer"/>
    <w:basedOn w:val="a"/>
    <w:link w:val="Char0"/>
    <w:uiPriority w:val="99"/>
    <w:unhideWhenUsed/>
    <w:rsid w:val="00D70AF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70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2020-10-17T04:29:00Z</dcterms:created>
  <dcterms:modified xsi:type="dcterms:W3CDTF">2020-10-17T04:29:00Z</dcterms:modified>
</cp:coreProperties>
</file>