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03B4C" w14:textId="3A831CC3" w:rsidR="00DA09F0" w:rsidRPr="00D94918" w:rsidRDefault="00947493" w:rsidP="00F06B16">
      <w:pPr>
        <w:pStyle w:val="Heading1"/>
        <w:rPr>
          <w:rFonts w:ascii="Arial" w:hAnsi="Arial" w:cs="Arial"/>
          <w:b/>
          <w:bCs/>
          <w:sz w:val="28"/>
          <w:szCs w:val="28"/>
        </w:rPr>
      </w:pPr>
      <w:r w:rsidRPr="00615DE8">
        <w:rPr>
          <w:rFonts w:ascii="Arial" w:hAnsi="Arial" w:cs="Arial"/>
          <w:b/>
          <w:bCs/>
          <w:sz w:val="28"/>
          <w:szCs w:val="28"/>
        </w:rPr>
        <w:t xml:space="preserve">Appendix </w:t>
      </w:r>
      <w:r w:rsidR="0011572C">
        <w:rPr>
          <w:rFonts w:ascii="Arial" w:hAnsi="Arial" w:cs="Arial"/>
          <w:b/>
          <w:bCs/>
          <w:sz w:val="28"/>
          <w:szCs w:val="28"/>
        </w:rPr>
        <w:t>2</w:t>
      </w:r>
      <w:r w:rsidRPr="00615DE8">
        <w:rPr>
          <w:rFonts w:ascii="Arial" w:hAnsi="Arial" w:cs="Arial"/>
          <w:b/>
          <w:bCs/>
          <w:sz w:val="28"/>
          <w:szCs w:val="28"/>
        </w:rPr>
        <w:t xml:space="preserve">: Interim </w:t>
      </w:r>
      <w:r w:rsidR="00037734">
        <w:rPr>
          <w:rFonts w:ascii="Arial" w:hAnsi="Arial" w:cs="Arial"/>
          <w:b/>
          <w:bCs/>
          <w:sz w:val="28"/>
          <w:szCs w:val="28"/>
        </w:rPr>
        <w:t>a</w:t>
      </w:r>
      <w:r w:rsidR="00037734" w:rsidRPr="00D94918">
        <w:rPr>
          <w:rFonts w:ascii="Arial" w:hAnsi="Arial" w:cs="Arial"/>
          <w:b/>
          <w:bCs/>
          <w:sz w:val="28"/>
          <w:szCs w:val="28"/>
        </w:rPr>
        <w:t>nalysis</w:t>
      </w:r>
    </w:p>
    <w:p w14:paraId="36C823B6" w14:textId="20891E3D" w:rsidR="001455C0" w:rsidRPr="0080539B" w:rsidRDefault="001455C0" w:rsidP="0046715F">
      <w:pPr>
        <w:pStyle w:val="Heading2"/>
      </w:pPr>
      <w:r w:rsidRPr="0080539B">
        <w:t>Objective</w:t>
      </w:r>
    </w:p>
    <w:p w14:paraId="0FC497F9" w14:textId="516ED563" w:rsidR="005A05CB" w:rsidRPr="00503952" w:rsidRDefault="005A05CB" w:rsidP="00DE1E40">
      <w:pPr>
        <w:rPr>
          <w:rFonts w:ascii="Arial" w:hAnsi="Arial" w:cs="Arial"/>
          <w:sz w:val="22"/>
          <w:szCs w:val="22"/>
        </w:rPr>
      </w:pPr>
      <w:r w:rsidRPr="00503952">
        <w:rPr>
          <w:rFonts w:ascii="Arial" w:hAnsi="Arial" w:cs="Arial"/>
          <w:sz w:val="22"/>
          <w:szCs w:val="22"/>
        </w:rPr>
        <w:t xml:space="preserve">The purpose of the interim analysis was to allow early stopping of the study for futility and safety (toxicity). The formal stopping rules for futility were defined using the O’Brien-Fleming (OF) method </w:t>
      </w:r>
      <w:sdt>
        <w:sdtPr>
          <w:rPr>
            <w:rFonts w:ascii="Arial" w:hAnsi="Arial" w:cs="Arial"/>
            <w:sz w:val="22"/>
            <w:szCs w:val="22"/>
          </w:rPr>
          <w:id w:val="-1038579192"/>
          <w:citation/>
        </w:sdtPr>
        <w:sdtEndPr/>
        <w:sdtContent>
          <w:r w:rsidR="00547765">
            <w:rPr>
              <w:rFonts w:ascii="Arial" w:hAnsi="Arial" w:cs="Arial"/>
              <w:sz w:val="22"/>
              <w:szCs w:val="22"/>
            </w:rPr>
            <w:fldChar w:fldCharType="begin"/>
          </w:r>
          <w:r w:rsidR="00547765">
            <w:rPr>
              <w:rFonts w:ascii="Arial" w:hAnsi="Arial" w:cs="Arial"/>
              <w:sz w:val="22"/>
              <w:szCs w:val="22"/>
            </w:rPr>
            <w:instrText xml:space="preserve"> CITATION Pet791 \l 2057 </w:instrText>
          </w:r>
          <w:r w:rsidR="00547765">
            <w:rPr>
              <w:rFonts w:ascii="Arial" w:hAnsi="Arial" w:cs="Arial"/>
              <w:sz w:val="22"/>
              <w:szCs w:val="22"/>
            </w:rPr>
            <w:fldChar w:fldCharType="separate"/>
          </w:r>
          <w:r w:rsidR="00547765" w:rsidRPr="0070104E">
            <w:rPr>
              <w:rFonts w:ascii="Arial" w:hAnsi="Arial" w:cs="Arial"/>
              <w:noProof/>
              <w:sz w:val="22"/>
              <w:szCs w:val="22"/>
            </w:rPr>
            <w:t>(1)</w:t>
          </w:r>
          <w:r w:rsidR="00547765">
            <w:rPr>
              <w:rFonts w:ascii="Arial" w:hAnsi="Arial" w:cs="Arial"/>
              <w:sz w:val="22"/>
              <w:szCs w:val="22"/>
            </w:rPr>
            <w:fldChar w:fldCharType="end"/>
          </w:r>
        </w:sdtContent>
      </w:sdt>
      <w:r w:rsidR="00547765">
        <w:rPr>
          <w:rFonts w:ascii="Arial" w:hAnsi="Arial" w:cs="Arial"/>
          <w:sz w:val="22"/>
          <w:szCs w:val="22"/>
        </w:rPr>
        <w:t xml:space="preserve"> </w:t>
      </w:r>
      <w:r w:rsidRPr="00503952">
        <w:rPr>
          <w:rFonts w:ascii="Arial" w:hAnsi="Arial" w:cs="Arial"/>
          <w:sz w:val="22"/>
          <w:szCs w:val="22"/>
        </w:rPr>
        <w:t>while the safety rules were defined using the Pocock method</w:t>
      </w:r>
      <w:sdt>
        <w:sdtPr>
          <w:rPr>
            <w:rFonts w:ascii="Arial" w:hAnsi="Arial" w:cs="Arial"/>
            <w:sz w:val="22"/>
            <w:szCs w:val="22"/>
          </w:rPr>
          <w:id w:val="-1960185476"/>
          <w:citation/>
        </w:sdtPr>
        <w:sdtEndPr/>
        <w:sdtContent>
          <w:r w:rsidR="00CB6262" w:rsidRPr="00503952">
            <w:rPr>
              <w:rFonts w:ascii="Arial" w:hAnsi="Arial" w:cs="Arial"/>
              <w:sz w:val="22"/>
              <w:szCs w:val="22"/>
            </w:rPr>
            <w:fldChar w:fldCharType="begin"/>
          </w:r>
          <w:r w:rsidR="00CB6262" w:rsidRPr="00503952">
            <w:rPr>
              <w:rFonts w:ascii="Arial" w:hAnsi="Arial" w:cs="Arial"/>
              <w:sz w:val="22"/>
              <w:szCs w:val="22"/>
            </w:rPr>
            <w:instrText xml:space="preserve"> CITATION Jen00 \l 2057 </w:instrText>
          </w:r>
          <w:r w:rsidR="00CB6262" w:rsidRPr="00503952">
            <w:rPr>
              <w:rFonts w:ascii="Arial" w:hAnsi="Arial" w:cs="Arial"/>
              <w:sz w:val="22"/>
              <w:szCs w:val="22"/>
            </w:rPr>
            <w:fldChar w:fldCharType="separate"/>
          </w:r>
          <w:r w:rsidR="00547765">
            <w:rPr>
              <w:rFonts w:ascii="Arial" w:hAnsi="Arial" w:cs="Arial"/>
              <w:noProof/>
              <w:sz w:val="22"/>
              <w:szCs w:val="22"/>
            </w:rPr>
            <w:t xml:space="preserve"> </w:t>
          </w:r>
          <w:r w:rsidR="00547765" w:rsidRPr="0070104E">
            <w:rPr>
              <w:rFonts w:ascii="Arial" w:hAnsi="Arial" w:cs="Arial"/>
              <w:noProof/>
              <w:sz w:val="22"/>
              <w:szCs w:val="22"/>
            </w:rPr>
            <w:t>(2)</w:t>
          </w:r>
          <w:r w:rsidR="00CB6262" w:rsidRPr="00503952">
            <w:rPr>
              <w:rFonts w:ascii="Arial" w:hAnsi="Arial" w:cs="Arial"/>
              <w:sz w:val="22"/>
              <w:szCs w:val="22"/>
            </w:rPr>
            <w:fldChar w:fldCharType="end"/>
          </w:r>
        </w:sdtContent>
      </w:sdt>
      <w:sdt>
        <w:sdtPr>
          <w:rPr>
            <w:rFonts w:ascii="Arial" w:hAnsi="Arial" w:cs="Arial"/>
            <w:sz w:val="22"/>
            <w:szCs w:val="22"/>
          </w:rPr>
          <w:id w:val="-1150437739"/>
          <w:citation/>
        </w:sdtPr>
        <w:sdtEndPr/>
        <w:sdtContent>
          <w:r w:rsidRPr="00503952">
            <w:rPr>
              <w:rFonts w:ascii="Arial" w:hAnsi="Arial" w:cs="Arial"/>
              <w:sz w:val="22"/>
              <w:szCs w:val="22"/>
            </w:rPr>
            <w:fldChar w:fldCharType="begin"/>
          </w:r>
          <w:r w:rsidRPr="00503952">
            <w:rPr>
              <w:rFonts w:ascii="Arial" w:hAnsi="Arial" w:cs="Arial"/>
              <w:sz w:val="22"/>
              <w:szCs w:val="22"/>
            </w:rPr>
            <w:instrText xml:space="preserve"> CITATION Sna06 \l 2057 </w:instrText>
          </w:r>
          <w:r w:rsidRPr="00503952">
            <w:rPr>
              <w:rFonts w:ascii="Arial" w:hAnsi="Arial" w:cs="Arial"/>
              <w:sz w:val="22"/>
              <w:szCs w:val="22"/>
            </w:rPr>
            <w:fldChar w:fldCharType="separate"/>
          </w:r>
          <w:r w:rsidR="00547765">
            <w:rPr>
              <w:rFonts w:ascii="Arial" w:hAnsi="Arial" w:cs="Arial"/>
              <w:noProof/>
              <w:sz w:val="22"/>
              <w:szCs w:val="22"/>
            </w:rPr>
            <w:t xml:space="preserve"> </w:t>
          </w:r>
          <w:r w:rsidR="00547765" w:rsidRPr="0070104E">
            <w:rPr>
              <w:rFonts w:ascii="Arial" w:hAnsi="Arial" w:cs="Arial"/>
              <w:noProof/>
              <w:sz w:val="22"/>
              <w:szCs w:val="22"/>
            </w:rPr>
            <w:t>(3)</w:t>
          </w:r>
          <w:r w:rsidRPr="00503952">
            <w:rPr>
              <w:rFonts w:ascii="Arial" w:hAnsi="Arial" w:cs="Arial"/>
              <w:sz w:val="22"/>
              <w:szCs w:val="22"/>
            </w:rPr>
            <w:fldChar w:fldCharType="end"/>
          </w:r>
        </w:sdtContent>
      </w:sdt>
      <w:r w:rsidRPr="00503952">
        <w:rPr>
          <w:rFonts w:ascii="Arial" w:hAnsi="Arial" w:cs="Arial"/>
          <w:sz w:val="22"/>
          <w:szCs w:val="22"/>
        </w:rPr>
        <w:t>.</w:t>
      </w:r>
    </w:p>
    <w:p w14:paraId="309E3753" w14:textId="23E94B0E" w:rsidR="00835F02" w:rsidRPr="003D4F3C" w:rsidRDefault="00835F02" w:rsidP="0070104E">
      <w:pPr>
        <w:pStyle w:val="Heading2"/>
      </w:pPr>
      <w:bookmarkStart w:id="0" w:name="_Toc51339619"/>
      <w:r w:rsidRPr="003D4F3C">
        <w:t xml:space="preserve">Primary </w:t>
      </w:r>
      <w:r w:rsidR="008136C0">
        <w:t>e</w:t>
      </w:r>
      <w:r w:rsidRPr="003D4F3C">
        <w:t>nd</w:t>
      </w:r>
      <w:r w:rsidR="0065186B">
        <w:t>p</w:t>
      </w:r>
      <w:r w:rsidRPr="003D4F3C">
        <w:t>oint</w:t>
      </w:r>
      <w:bookmarkEnd w:id="0"/>
      <w:r w:rsidR="00620261">
        <w:t xml:space="preserve"> for the </w:t>
      </w:r>
      <w:r w:rsidR="008136C0">
        <w:t>i</w:t>
      </w:r>
      <w:r w:rsidR="00620261">
        <w:t xml:space="preserve">nterim </w:t>
      </w:r>
      <w:r w:rsidR="008136C0">
        <w:t>a</w:t>
      </w:r>
      <w:r w:rsidR="00620261">
        <w:t>nalysis</w:t>
      </w:r>
    </w:p>
    <w:p w14:paraId="40BD49F0" w14:textId="66496F8B" w:rsidR="00835F02" w:rsidRPr="00503952" w:rsidRDefault="00835F02" w:rsidP="00503952">
      <w:pPr>
        <w:rPr>
          <w:sz w:val="22"/>
          <w:szCs w:val="22"/>
        </w:rPr>
      </w:pPr>
      <w:r w:rsidRPr="00503952">
        <w:rPr>
          <w:rFonts w:ascii="Arial" w:hAnsi="Arial" w:cs="Arial"/>
          <w:sz w:val="22"/>
          <w:szCs w:val="22"/>
        </w:rPr>
        <w:t xml:space="preserve">The primary endpoint </w:t>
      </w:r>
      <w:r w:rsidR="007C6255" w:rsidRPr="00503952">
        <w:rPr>
          <w:rFonts w:ascii="Arial" w:hAnsi="Arial" w:cs="Arial"/>
          <w:sz w:val="22"/>
          <w:szCs w:val="22"/>
        </w:rPr>
        <w:t>was</w:t>
      </w:r>
      <w:r w:rsidRPr="00503952">
        <w:rPr>
          <w:rFonts w:ascii="Arial" w:hAnsi="Arial" w:cs="Arial"/>
          <w:sz w:val="22"/>
          <w:szCs w:val="22"/>
        </w:rPr>
        <w:t xml:space="preserve"> </w:t>
      </w:r>
      <w:r w:rsidR="0065186B" w:rsidRPr="00503952">
        <w:rPr>
          <w:rFonts w:ascii="Arial" w:hAnsi="Arial" w:cs="Arial"/>
          <w:sz w:val="22"/>
          <w:szCs w:val="22"/>
        </w:rPr>
        <w:t>p</w:t>
      </w:r>
      <w:r w:rsidRPr="00503952">
        <w:rPr>
          <w:rFonts w:ascii="Arial" w:hAnsi="Arial" w:cs="Arial"/>
          <w:sz w:val="22"/>
          <w:szCs w:val="22"/>
        </w:rPr>
        <w:t xml:space="preserve">rogression </w:t>
      </w:r>
      <w:r w:rsidR="0065186B" w:rsidRPr="00503952">
        <w:rPr>
          <w:rFonts w:ascii="Arial" w:hAnsi="Arial" w:cs="Arial"/>
          <w:sz w:val="22"/>
          <w:szCs w:val="22"/>
        </w:rPr>
        <w:t>f</w:t>
      </w:r>
      <w:r w:rsidRPr="00503952">
        <w:rPr>
          <w:rFonts w:ascii="Arial" w:hAnsi="Arial" w:cs="Arial"/>
          <w:sz w:val="22"/>
          <w:szCs w:val="22"/>
        </w:rPr>
        <w:t xml:space="preserve">ree </w:t>
      </w:r>
      <w:r w:rsidR="0065186B" w:rsidRPr="00503952">
        <w:rPr>
          <w:rFonts w:ascii="Arial" w:hAnsi="Arial" w:cs="Arial"/>
          <w:sz w:val="22"/>
          <w:szCs w:val="22"/>
        </w:rPr>
        <w:t>s</w:t>
      </w:r>
      <w:r w:rsidRPr="00503952">
        <w:rPr>
          <w:rFonts w:ascii="Arial" w:hAnsi="Arial" w:cs="Arial"/>
          <w:sz w:val="22"/>
          <w:szCs w:val="22"/>
        </w:rPr>
        <w:t xml:space="preserve">urvival (PFS) as assessed by RECIST v1.1 </w:t>
      </w:r>
      <w:sdt>
        <w:sdtPr>
          <w:rPr>
            <w:rFonts w:ascii="Arial" w:hAnsi="Arial" w:cs="Arial"/>
            <w:sz w:val="22"/>
            <w:szCs w:val="22"/>
          </w:rPr>
          <w:id w:val="1475951269"/>
          <w:citation/>
        </w:sdtPr>
        <w:sdtEndPr/>
        <w:sdtContent>
          <w:r w:rsidRPr="00503952">
            <w:rPr>
              <w:rFonts w:ascii="Arial" w:hAnsi="Arial" w:cs="Arial"/>
              <w:sz w:val="22"/>
              <w:szCs w:val="22"/>
            </w:rPr>
            <w:fldChar w:fldCharType="begin"/>
          </w:r>
          <w:r w:rsidRPr="00503952">
            <w:rPr>
              <w:rFonts w:ascii="Arial" w:hAnsi="Arial" w:cs="Arial"/>
              <w:sz w:val="22"/>
              <w:szCs w:val="22"/>
            </w:rPr>
            <w:instrText xml:space="preserve"> CITATION Eis09 \l 2057 </w:instrText>
          </w:r>
          <w:r w:rsidRPr="00503952">
            <w:rPr>
              <w:rFonts w:ascii="Arial" w:hAnsi="Arial" w:cs="Arial"/>
              <w:sz w:val="22"/>
              <w:szCs w:val="22"/>
            </w:rPr>
            <w:fldChar w:fldCharType="separate"/>
          </w:r>
          <w:r w:rsidR="00547765" w:rsidRPr="0070104E">
            <w:rPr>
              <w:rFonts w:ascii="Arial" w:hAnsi="Arial" w:cs="Arial"/>
              <w:noProof/>
              <w:sz w:val="22"/>
              <w:szCs w:val="22"/>
            </w:rPr>
            <w:t>(4)</w:t>
          </w:r>
          <w:r w:rsidRPr="00503952">
            <w:rPr>
              <w:rFonts w:ascii="Arial" w:hAnsi="Arial" w:cs="Arial"/>
              <w:sz w:val="22"/>
              <w:szCs w:val="22"/>
            </w:rPr>
            <w:fldChar w:fldCharType="end"/>
          </w:r>
        </w:sdtContent>
      </w:sdt>
      <w:r w:rsidRPr="00503952">
        <w:rPr>
          <w:rFonts w:ascii="Arial" w:hAnsi="Arial" w:cs="Arial"/>
          <w:sz w:val="22"/>
          <w:szCs w:val="22"/>
        </w:rPr>
        <w:t>, defined as time from study entry (randomisation) to first evidence of disease progression or death due to any cause, whichever occur</w:t>
      </w:r>
      <w:r w:rsidR="0065186B" w:rsidRPr="00503952">
        <w:rPr>
          <w:rFonts w:ascii="Arial" w:hAnsi="Arial" w:cs="Arial"/>
          <w:sz w:val="22"/>
          <w:szCs w:val="22"/>
        </w:rPr>
        <w:t>red</w:t>
      </w:r>
      <w:r w:rsidRPr="00503952">
        <w:rPr>
          <w:rFonts w:ascii="Arial" w:hAnsi="Arial" w:cs="Arial"/>
          <w:sz w:val="22"/>
          <w:szCs w:val="22"/>
        </w:rPr>
        <w:t xml:space="preserve"> first. </w:t>
      </w:r>
    </w:p>
    <w:p w14:paraId="38CA4D69" w14:textId="17A537D3" w:rsidR="00835F02" w:rsidRPr="0070104E" w:rsidRDefault="00835F02" w:rsidP="00503952">
      <w:pPr>
        <w:pStyle w:val="Heading3"/>
        <w:rPr>
          <w:rFonts w:ascii="Arial" w:hAnsi="Arial" w:cs="Arial"/>
        </w:rPr>
      </w:pPr>
      <w:bookmarkStart w:id="1" w:name="_Toc46228937"/>
      <w:bookmarkStart w:id="2" w:name="_Toc46229095"/>
      <w:bookmarkStart w:id="3" w:name="_Toc46229253"/>
      <w:bookmarkStart w:id="4" w:name="_Toc51339620"/>
      <w:bookmarkEnd w:id="1"/>
      <w:bookmarkEnd w:id="2"/>
      <w:bookmarkEnd w:id="3"/>
      <w:r w:rsidRPr="0070104E">
        <w:rPr>
          <w:rFonts w:ascii="Arial" w:hAnsi="Arial" w:cs="Arial"/>
        </w:rPr>
        <w:t xml:space="preserve">Definition of </w:t>
      </w:r>
      <w:r w:rsidR="008136C0" w:rsidRPr="0070104E">
        <w:rPr>
          <w:rFonts w:ascii="Arial" w:hAnsi="Arial" w:cs="Arial"/>
        </w:rPr>
        <w:t>d</w:t>
      </w:r>
      <w:r w:rsidRPr="0070104E">
        <w:rPr>
          <w:rFonts w:ascii="Arial" w:hAnsi="Arial" w:cs="Arial"/>
        </w:rPr>
        <w:t xml:space="preserve">isease </w:t>
      </w:r>
      <w:r w:rsidR="008136C0" w:rsidRPr="0070104E">
        <w:rPr>
          <w:rFonts w:ascii="Arial" w:hAnsi="Arial" w:cs="Arial"/>
        </w:rPr>
        <w:t>p</w:t>
      </w:r>
      <w:r w:rsidRPr="0070104E">
        <w:rPr>
          <w:rFonts w:ascii="Arial" w:hAnsi="Arial" w:cs="Arial"/>
        </w:rPr>
        <w:t>rogression</w:t>
      </w:r>
      <w:bookmarkEnd w:id="4"/>
    </w:p>
    <w:p w14:paraId="44088B16" w14:textId="77777777" w:rsidR="00835F02" w:rsidRPr="00503952" w:rsidRDefault="00835F02" w:rsidP="00503952">
      <w:pPr>
        <w:rPr>
          <w:rFonts w:ascii="Arial" w:hAnsi="Arial" w:cs="Arial"/>
          <w:sz w:val="22"/>
          <w:szCs w:val="22"/>
        </w:rPr>
      </w:pPr>
      <w:r w:rsidRPr="00503952">
        <w:rPr>
          <w:rFonts w:ascii="Arial" w:hAnsi="Arial" w:cs="Arial"/>
          <w:sz w:val="22"/>
          <w:szCs w:val="22"/>
        </w:rPr>
        <w:t>Disease progression is a worsening of a patient’s condition attributable to the disease for which the study medication is being given. This may be an increase in severity of the disease or increase in the symptoms of the disease. The development of new, or progression of existing metastasis to the primary cancer under study, should also be considered disease progression.</w:t>
      </w:r>
    </w:p>
    <w:p w14:paraId="16CCB1F2" w14:textId="629837C4" w:rsidR="00835F02" w:rsidRDefault="00835F02" w:rsidP="0070104E">
      <w:pPr>
        <w:pStyle w:val="Heading2"/>
      </w:pPr>
      <w:bookmarkStart w:id="5" w:name="_Toc51339621"/>
      <w:r>
        <w:t>Safety (</w:t>
      </w:r>
      <w:r w:rsidR="008136C0">
        <w:t>t</w:t>
      </w:r>
      <w:r>
        <w:t xml:space="preserve">oxicity) </w:t>
      </w:r>
      <w:r w:rsidR="008136C0">
        <w:t>e</w:t>
      </w:r>
      <w:r>
        <w:t>ndpoint</w:t>
      </w:r>
      <w:bookmarkEnd w:id="5"/>
    </w:p>
    <w:p w14:paraId="6C9E7897" w14:textId="0C856B8B" w:rsidR="008E2D97" w:rsidRPr="00503952" w:rsidRDefault="00835F02" w:rsidP="00503952">
      <w:pPr>
        <w:rPr>
          <w:sz w:val="22"/>
          <w:szCs w:val="22"/>
        </w:rPr>
      </w:pPr>
      <w:r w:rsidRPr="00503952">
        <w:rPr>
          <w:rFonts w:ascii="Arial" w:hAnsi="Arial" w:cs="Arial"/>
          <w:sz w:val="22"/>
          <w:szCs w:val="22"/>
        </w:rPr>
        <w:t>The safety (toxicity) w</w:t>
      </w:r>
      <w:r w:rsidR="00461996" w:rsidRPr="00503952">
        <w:rPr>
          <w:rFonts w:ascii="Arial" w:hAnsi="Arial" w:cs="Arial"/>
          <w:sz w:val="22"/>
          <w:szCs w:val="22"/>
        </w:rPr>
        <w:t>as</w:t>
      </w:r>
      <w:r w:rsidRPr="00503952">
        <w:rPr>
          <w:rFonts w:ascii="Arial" w:hAnsi="Arial" w:cs="Arial"/>
          <w:sz w:val="22"/>
          <w:szCs w:val="22"/>
        </w:rPr>
        <w:t xml:space="preserve"> evaluated by comparing the proportion of patients, </w:t>
      </w:r>
      <w:r w:rsidR="006A026E">
        <w:rPr>
          <w:rFonts w:ascii="Arial" w:hAnsi="Arial" w:cs="Arial"/>
          <w:sz w:val="22"/>
          <w:szCs w:val="22"/>
        </w:rPr>
        <w:t xml:space="preserve">for </w:t>
      </w:r>
      <w:r w:rsidR="00E8620D">
        <w:rPr>
          <w:rFonts w:ascii="Arial" w:hAnsi="Arial" w:cs="Arial"/>
          <w:sz w:val="22"/>
          <w:szCs w:val="22"/>
        </w:rPr>
        <w:t>paclitaxel alone and paclitaxel plus TAK228</w:t>
      </w:r>
      <w:r w:rsidRPr="00503952">
        <w:rPr>
          <w:rFonts w:ascii="Arial" w:hAnsi="Arial" w:cs="Arial"/>
          <w:sz w:val="22"/>
          <w:szCs w:val="22"/>
        </w:rPr>
        <w:t xml:space="preserve">, who experience </w:t>
      </w:r>
      <w:r w:rsidR="00365237" w:rsidRPr="00503952">
        <w:rPr>
          <w:rFonts w:ascii="Arial" w:hAnsi="Arial" w:cs="Arial"/>
          <w:sz w:val="22"/>
          <w:szCs w:val="22"/>
        </w:rPr>
        <w:t>one of the</w:t>
      </w:r>
      <w:r w:rsidRPr="00503952">
        <w:rPr>
          <w:rFonts w:ascii="Arial" w:hAnsi="Arial" w:cs="Arial"/>
          <w:sz w:val="22"/>
          <w:szCs w:val="22"/>
        </w:rPr>
        <w:t xml:space="preserve"> most common AE</w:t>
      </w:r>
      <w:r w:rsidR="00365237" w:rsidRPr="00503952">
        <w:rPr>
          <w:rFonts w:ascii="Arial" w:hAnsi="Arial" w:cs="Arial"/>
          <w:sz w:val="22"/>
          <w:szCs w:val="22"/>
        </w:rPr>
        <w:t>s</w:t>
      </w:r>
      <w:r w:rsidRPr="00503952">
        <w:rPr>
          <w:rFonts w:ascii="Arial" w:hAnsi="Arial" w:cs="Arial"/>
          <w:sz w:val="22"/>
          <w:szCs w:val="22"/>
        </w:rPr>
        <w:t xml:space="preserve"> graded 3 or higher. AE classification </w:t>
      </w:r>
      <w:r w:rsidR="00461996" w:rsidRPr="00503952">
        <w:rPr>
          <w:rFonts w:ascii="Arial" w:hAnsi="Arial" w:cs="Arial"/>
          <w:sz w:val="22"/>
          <w:szCs w:val="22"/>
        </w:rPr>
        <w:t>was</w:t>
      </w:r>
      <w:r w:rsidRPr="00503952">
        <w:rPr>
          <w:rFonts w:ascii="Arial" w:hAnsi="Arial" w:cs="Arial"/>
          <w:sz w:val="22"/>
          <w:szCs w:val="22"/>
        </w:rPr>
        <w:t xml:space="preserve"> assessed using the National Cancer Institute CTCAE version 4.03 </w:t>
      </w:r>
      <w:sdt>
        <w:sdtPr>
          <w:rPr>
            <w:rFonts w:ascii="Arial" w:hAnsi="Arial" w:cs="Arial"/>
            <w:sz w:val="22"/>
            <w:szCs w:val="22"/>
          </w:rPr>
          <w:id w:val="-835757925"/>
          <w:citation/>
        </w:sdtPr>
        <w:sdtEndPr/>
        <w:sdtContent>
          <w:r w:rsidRPr="00503952">
            <w:rPr>
              <w:rFonts w:ascii="Arial" w:hAnsi="Arial" w:cs="Arial"/>
              <w:sz w:val="22"/>
              <w:szCs w:val="22"/>
            </w:rPr>
            <w:fldChar w:fldCharType="begin"/>
          </w:r>
          <w:r w:rsidRPr="00503952">
            <w:rPr>
              <w:rFonts w:ascii="Arial" w:hAnsi="Arial" w:cs="Arial"/>
              <w:sz w:val="22"/>
              <w:szCs w:val="22"/>
            </w:rPr>
            <w:instrText xml:space="preserve"> CITATION USD10 \l 2057 </w:instrText>
          </w:r>
          <w:r w:rsidRPr="00503952">
            <w:rPr>
              <w:rFonts w:ascii="Arial" w:hAnsi="Arial" w:cs="Arial"/>
              <w:sz w:val="22"/>
              <w:szCs w:val="22"/>
            </w:rPr>
            <w:fldChar w:fldCharType="separate"/>
          </w:r>
          <w:r w:rsidR="00547765" w:rsidRPr="0070104E">
            <w:rPr>
              <w:rFonts w:ascii="Arial" w:hAnsi="Arial" w:cs="Arial"/>
              <w:noProof/>
              <w:sz w:val="22"/>
              <w:szCs w:val="22"/>
            </w:rPr>
            <w:t>(5)</w:t>
          </w:r>
          <w:r w:rsidRPr="00503952">
            <w:rPr>
              <w:rFonts w:ascii="Arial" w:hAnsi="Arial" w:cs="Arial"/>
              <w:sz w:val="22"/>
              <w:szCs w:val="22"/>
            </w:rPr>
            <w:fldChar w:fldCharType="end"/>
          </w:r>
        </w:sdtContent>
      </w:sdt>
      <w:r w:rsidRPr="00503952">
        <w:rPr>
          <w:rFonts w:ascii="Arial" w:hAnsi="Arial" w:cs="Arial"/>
          <w:sz w:val="22"/>
          <w:szCs w:val="22"/>
        </w:rPr>
        <w:t xml:space="preserve"> (June 2010) grading scale (0 to 5) for all AEs with an assigned CTCAE term. The list of most common AEs was discussed and agreed with the CI. This list can be found in </w:t>
      </w:r>
      <w:r w:rsidR="00B526E5" w:rsidRPr="00503952">
        <w:rPr>
          <w:rFonts w:ascii="Arial" w:hAnsi="Arial" w:cs="Arial"/>
          <w:sz w:val="22"/>
          <w:szCs w:val="22"/>
        </w:rPr>
        <w:t xml:space="preserve">Supplement </w:t>
      </w:r>
      <w:r w:rsidR="004B51BB" w:rsidRPr="00503952">
        <w:rPr>
          <w:rFonts w:ascii="Arial" w:hAnsi="Arial" w:cs="Arial"/>
          <w:sz w:val="22"/>
          <w:szCs w:val="22"/>
        </w:rPr>
        <w:t>1</w:t>
      </w:r>
      <w:r w:rsidR="00B526E5" w:rsidRPr="00503952">
        <w:rPr>
          <w:rFonts w:ascii="Arial" w:hAnsi="Arial" w:cs="Arial"/>
          <w:sz w:val="22"/>
          <w:szCs w:val="22"/>
        </w:rPr>
        <w:t xml:space="preserve"> – Table </w:t>
      </w:r>
      <w:r w:rsidR="004B51BB" w:rsidRPr="00503952">
        <w:rPr>
          <w:rFonts w:ascii="Arial" w:eastAsiaTheme="majorEastAsia" w:hAnsi="Arial" w:cs="Arial"/>
          <w:sz w:val="22"/>
          <w:szCs w:val="22"/>
          <w:lang w:val="en-US"/>
        </w:rPr>
        <w:t>6</w:t>
      </w:r>
      <w:r w:rsidR="008043FE" w:rsidRPr="00503952">
        <w:rPr>
          <w:rFonts w:ascii="Arial" w:hAnsi="Arial" w:cs="Arial"/>
          <w:sz w:val="22"/>
          <w:szCs w:val="22"/>
        </w:rPr>
        <w:t>.</w:t>
      </w:r>
    </w:p>
    <w:p w14:paraId="53B866D8" w14:textId="3449B48A" w:rsidR="006A1CE2" w:rsidRPr="000A50F7" w:rsidRDefault="006A1CE2" w:rsidP="0070104E">
      <w:pPr>
        <w:pStyle w:val="Heading2"/>
      </w:pPr>
      <w:r w:rsidRPr="000A50F7">
        <w:lastRenderedPageBreak/>
        <w:t>Stratification</w:t>
      </w:r>
      <w:r>
        <w:t xml:space="preserve"> </w:t>
      </w:r>
      <w:r w:rsidR="008136C0">
        <w:t>f</w:t>
      </w:r>
      <w:r>
        <w:t>actors</w:t>
      </w:r>
    </w:p>
    <w:p w14:paraId="36D77A8F" w14:textId="3343AB9B" w:rsidR="00761F4F" w:rsidRPr="00503952" w:rsidRDefault="006A1CE2" w:rsidP="00503952">
      <w:pPr>
        <w:rPr>
          <w:sz w:val="22"/>
          <w:szCs w:val="22"/>
        </w:rPr>
      </w:pPr>
      <w:r w:rsidRPr="00503952">
        <w:rPr>
          <w:rFonts w:ascii="Arial" w:hAnsi="Arial" w:cs="Arial"/>
          <w:sz w:val="22"/>
          <w:szCs w:val="22"/>
        </w:rPr>
        <w:t xml:space="preserve">Treatment assignment is stratified based on histology: non-serous (clear cell or endometrioid) vs serous (high grade serous or carcinosarcoma) cancer, the number of prior lines of chemotherapy (≤ 2 vs &gt; 2 lines) and prior taxane interval (&lt; 6 months vs </w:t>
      </w:r>
      <w:r w:rsidRPr="00503952">
        <w:rPr>
          <w:rFonts w:ascii="Arial" w:hAnsi="Arial" w:cs="Arial"/>
          <w:sz w:val="22"/>
          <w:szCs w:val="22"/>
        </w:rPr>
        <w:sym w:font="Symbol" w:char="F0B3"/>
      </w:r>
      <w:r w:rsidRPr="00503952">
        <w:rPr>
          <w:rFonts w:ascii="Arial" w:hAnsi="Arial" w:cs="Arial"/>
          <w:sz w:val="22"/>
          <w:szCs w:val="22"/>
        </w:rPr>
        <w:t xml:space="preserve"> 6 months or no prior taxane).</w:t>
      </w:r>
    </w:p>
    <w:p w14:paraId="0406F2F1" w14:textId="1ABCFF0B" w:rsidR="005A05CB" w:rsidRPr="00981F0D" w:rsidRDefault="005A05CB" w:rsidP="0070104E">
      <w:pPr>
        <w:pStyle w:val="Heading2"/>
      </w:pPr>
      <w:r>
        <w:t xml:space="preserve">Futility </w:t>
      </w:r>
      <w:r w:rsidR="008136C0">
        <w:t>s</w:t>
      </w:r>
      <w:r>
        <w:t xml:space="preserve">topping </w:t>
      </w:r>
      <w:r w:rsidR="008136C0">
        <w:t>r</w:t>
      </w:r>
      <w:r>
        <w:t>ules</w:t>
      </w:r>
    </w:p>
    <w:p w14:paraId="19A2C5F8" w14:textId="47270B19" w:rsidR="005A05CB" w:rsidRPr="00503952" w:rsidRDefault="005A05CB" w:rsidP="00503952">
      <w:pPr>
        <w:rPr>
          <w:sz w:val="22"/>
          <w:szCs w:val="22"/>
        </w:rPr>
      </w:pPr>
      <w:r w:rsidRPr="00503952">
        <w:rPr>
          <w:rFonts w:ascii="Arial" w:hAnsi="Arial" w:cs="Arial"/>
          <w:sz w:val="22"/>
          <w:szCs w:val="22"/>
        </w:rPr>
        <w:t>The objective of the futility analysis based on the primary end point (PFS) is to stop enrolment to the study if there is sufficient evidence that the treatment arm (Paclitaxel+TAK228) is not improving outcomes compared to the control arm (Paclitaxel</w:t>
      </w:r>
      <w:r w:rsidR="00CF4B5C" w:rsidRPr="00503952">
        <w:rPr>
          <w:rFonts w:ascii="Arial" w:hAnsi="Arial" w:cs="Arial"/>
          <w:sz w:val="22"/>
          <w:szCs w:val="22"/>
        </w:rPr>
        <w:t xml:space="preserve"> alone</w:t>
      </w:r>
      <w:r w:rsidRPr="00503952">
        <w:rPr>
          <w:rFonts w:ascii="Arial" w:hAnsi="Arial" w:cs="Arial"/>
          <w:sz w:val="22"/>
          <w:szCs w:val="22"/>
        </w:rPr>
        <w:t>).</w:t>
      </w:r>
      <w:r w:rsidRPr="00503952" w:rsidDel="00AA55DB">
        <w:rPr>
          <w:rFonts w:ascii="Arial" w:hAnsi="Arial" w:cs="Arial"/>
          <w:sz w:val="22"/>
          <w:szCs w:val="22"/>
        </w:rPr>
        <w:t xml:space="preserve"> </w:t>
      </w:r>
    </w:p>
    <w:p w14:paraId="14917A56" w14:textId="3B55018A" w:rsidR="005A05CB" w:rsidRPr="00503952" w:rsidRDefault="005A05CB">
      <w:pPr>
        <w:rPr>
          <w:rFonts w:ascii="Arial" w:hAnsi="Arial" w:cs="Arial"/>
          <w:sz w:val="22"/>
          <w:szCs w:val="22"/>
          <w:shd w:val="clear" w:color="auto" w:fill="FFFFFF"/>
        </w:rPr>
      </w:pPr>
      <w:r w:rsidRPr="00503952">
        <w:rPr>
          <w:rFonts w:ascii="Arial" w:hAnsi="Arial" w:cs="Arial"/>
          <w:sz w:val="22"/>
          <w:szCs w:val="22"/>
        </w:rPr>
        <w:t>The O’Brien Fleming sequential method</w:t>
      </w:r>
      <w:sdt>
        <w:sdtPr>
          <w:rPr>
            <w:rFonts w:ascii="Arial" w:hAnsi="Arial" w:cs="Arial"/>
            <w:sz w:val="22"/>
            <w:szCs w:val="22"/>
          </w:rPr>
          <w:id w:val="-1758050668"/>
          <w:citation/>
        </w:sdtPr>
        <w:sdtEndPr/>
        <w:sdtContent>
          <w:r w:rsidR="00066F2F" w:rsidRPr="00503952">
            <w:rPr>
              <w:rFonts w:ascii="Arial" w:hAnsi="Arial" w:cs="Arial"/>
              <w:sz w:val="22"/>
              <w:szCs w:val="22"/>
            </w:rPr>
            <w:fldChar w:fldCharType="begin"/>
          </w:r>
          <w:r w:rsidR="00066F2F" w:rsidRPr="00503952">
            <w:rPr>
              <w:rFonts w:ascii="Arial" w:hAnsi="Arial" w:cs="Arial"/>
              <w:sz w:val="22"/>
              <w:szCs w:val="22"/>
            </w:rPr>
            <w:instrText xml:space="preserve"> CITATION Jen00 \l 2057 </w:instrText>
          </w:r>
          <w:r w:rsidR="00066F2F" w:rsidRPr="00503952">
            <w:rPr>
              <w:rFonts w:ascii="Arial" w:hAnsi="Arial" w:cs="Arial"/>
              <w:sz w:val="22"/>
              <w:szCs w:val="22"/>
            </w:rPr>
            <w:fldChar w:fldCharType="separate"/>
          </w:r>
          <w:r w:rsidR="00547765">
            <w:rPr>
              <w:rFonts w:ascii="Arial" w:hAnsi="Arial" w:cs="Arial"/>
              <w:noProof/>
              <w:sz w:val="22"/>
              <w:szCs w:val="22"/>
            </w:rPr>
            <w:t xml:space="preserve"> </w:t>
          </w:r>
          <w:r w:rsidR="00547765" w:rsidRPr="0070104E">
            <w:rPr>
              <w:rFonts w:ascii="Arial" w:hAnsi="Arial" w:cs="Arial"/>
              <w:noProof/>
              <w:sz w:val="22"/>
              <w:szCs w:val="22"/>
            </w:rPr>
            <w:t>(2)</w:t>
          </w:r>
          <w:r w:rsidR="00066F2F" w:rsidRPr="00503952">
            <w:rPr>
              <w:rFonts w:ascii="Arial" w:hAnsi="Arial" w:cs="Arial"/>
              <w:sz w:val="22"/>
              <w:szCs w:val="22"/>
            </w:rPr>
            <w:fldChar w:fldCharType="end"/>
          </w:r>
        </w:sdtContent>
      </w:sdt>
      <w:r w:rsidRPr="00503952">
        <w:rPr>
          <w:rFonts w:ascii="Arial" w:hAnsi="Arial" w:cs="Arial"/>
          <w:sz w:val="22"/>
          <w:szCs w:val="22"/>
        </w:rPr>
        <w:t xml:space="preserve"> was selected as it </w:t>
      </w:r>
      <w:r w:rsidRPr="00503952">
        <w:rPr>
          <w:rFonts w:ascii="Arial" w:hAnsi="Arial" w:cs="Arial"/>
          <w:sz w:val="22"/>
          <w:szCs w:val="22"/>
          <w:shd w:val="clear" w:color="auto" w:fill="FFFFFF"/>
        </w:rPr>
        <w:t xml:space="preserve">allows the significance level </w:t>
      </w:r>
      <w:r w:rsidR="002A33A6" w:rsidRPr="00503952">
        <w:rPr>
          <w:rFonts w:ascii="Arial" w:hAnsi="Arial" w:cs="Arial"/>
          <w:sz w:val="22"/>
          <w:szCs w:val="22"/>
          <w:shd w:val="clear" w:color="auto" w:fill="FFFFFF"/>
        </w:rPr>
        <w:t xml:space="preserve">of </w:t>
      </w:r>
      <w:r w:rsidRPr="00503952">
        <w:rPr>
          <w:rFonts w:ascii="Arial" w:hAnsi="Arial" w:cs="Arial"/>
          <w:sz w:val="22"/>
          <w:szCs w:val="22"/>
          <w:shd w:val="clear" w:color="auto" w:fill="FFFFFF"/>
        </w:rPr>
        <w:t xml:space="preserve">the final analysis to be near the desired overall significance alpha (Type I error) </w:t>
      </w:r>
      <w:r w:rsidR="00BF4F07" w:rsidRPr="00503952">
        <w:rPr>
          <w:rFonts w:ascii="Arial" w:hAnsi="Arial" w:cs="Arial"/>
          <w:sz w:val="22"/>
          <w:szCs w:val="22"/>
          <w:shd w:val="clear" w:color="auto" w:fill="FFFFFF"/>
        </w:rPr>
        <w:t xml:space="preserve">of </w:t>
      </w:r>
      <w:r w:rsidRPr="00503952">
        <w:rPr>
          <w:rFonts w:ascii="Arial" w:hAnsi="Arial" w:cs="Arial"/>
          <w:sz w:val="22"/>
          <w:szCs w:val="22"/>
          <w:shd w:val="clear" w:color="auto" w:fill="FFFFFF"/>
        </w:rPr>
        <w:t xml:space="preserve">10% and beta (Type II error) </w:t>
      </w:r>
      <w:r w:rsidR="00BF4F07" w:rsidRPr="00503952">
        <w:rPr>
          <w:rFonts w:ascii="Arial" w:hAnsi="Arial" w:cs="Arial"/>
          <w:sz w:val="22"/>
          <w:szCs w:val="22"/>
          <w:shd w:val="clear" w:color="auto" w:fill="FFFFFF"/>
        </w:rPr>
        <w:t xml:space="preserve">of </w:t>
      </w:r>
      <w:r w:rsidRPr="00503952">
        <w:rPr>
          <w:rFonts w:ascii="Arial" w:hAnsi="Arial" w:cs="Arial"/>
          <w:sz w:val="22"/>
          <w:szCs w:val="22"/>
          <w:shd w:val="clear" w:color="auto" w:fill="FFFFFF"/>
        </w:rPr>
        <w:t>20%.</w:t>
      </w:r>
    </w:p>
    <w:p w14:paraId="04C389CC" w14:textId="11A5F0F8" w:rsidR="00F63E8C" w:rsidRPr="00503952" w:rsidRDefault="005A05CB">
      <w:pPr>
        <w:rPr>
          <w:rFonts w:ascii="Arial" w:hAnsi="Arial" w:cs="Arial"/>
          <w:sz w:val="22"/>
          <w:szCs w:val="22"/>
        </w:rPr>
      </w:pPr>
      <w:r w:rsidRPr="00503952">
        <w:rPr>
          <w:rFonts w:ascii="Arial" w:hAnsi="Arial" w:cs="Arial"/>
          <w:sz w:val="22"/>
          <w:szCs w:val="22"/>
          <w:lang w:eastAsia="en-GB"/>
        </w:rPr>
        <w:t xml:space="preserve">The futility O’Brian-Fleming boundaries (one-sided hypothesis test) were obtained using the </w:t>
      </w:r>
      <w:r w:rsidRPr="00503952">
        <w:rPr>
          <w:rFonts w:ascii="Arial" w:hAnsi="Arial" w:cs="Arial"/>
          <w:sz w:val="22"/>
          <w:szCs w:val="22"/>
        </w:rPr>
        <w:t xml:space="preserve">SEQDESIGN </w:t>
      </w:r>
      <w:r w:rsidRPr="00503952">
        <w:rPr>
          <w:rFonts w:ascii="Arial" w:hAnsi="Arial" w:cs="Arial"/>
          <w:sz w:val="22"/>
          <w:szCs w:val="22"/>
          <w:lang w:eastAsia="en-GB"/>
        </w:rPr>
        <w:t>sample size calculation</w:t>
      </w:r>
      <w:r w:rsidRPr="00503952">
        <w:rPr>
          <w:rFonts w:ascii="Arial" w:hAnsi="Arial" w:cs="Arial"/>
          <w:sz w:val="22"/>
          <w:szCs w:val="22"/>
        </w:rPr>
        <w:t xml:space="preserve"> procedure in SAS</w:t>
      </w:r>
      <w:r w:rsidRPr="00503952">
        <w:rPr>
          <w:rFonts w:ascii="Arial" w:hAnsi="Arial" w:cs="Arial"/>
          <w:sz w:val="22"/>
          <w:szCs w:val="22"/>
          <w:lang w:eastAsia="en-GB"/>
        </w:rPr>
        <w:t xml:space="preserve">. The information used for this </w:t>
      </w:r>
      <w:r w:rsidR="00F63E8C" w:rsidRPr="00503952">
        <w:rPr>
          <w:rFonts w:ascii="Arial" w:hAnsi="Arial" w:cs="Arial"/>
          <w:sz w:val="22"/>
          <w:szCs w:val="22"/>
          <w:lang w:eastAsia="en-GB"/>
        </w:rPr>
        <w:t xml:space="preserve">(see Table </w:t>
      </w:r>
      <w:r w:rsidR="0091294B" w:rsidRPr="00503952">
        <w:rPr>
          <w:rFonts w:ascii="Arial" w:hAnsi="Arial" w:cs="Arial"/>
          <w:sz w:val="22"/>
          <w:szCs w:val="22"/>
          <w:lang w:eastAsia="en-GB"/>
        </w:rPr>
        <w:t>A</w:t>
      </w:r>
      <w:r w:rsidR="003615DE" w:rsidRPr="00503952">
        <w:rPr>
          <w:rFonts w:ascii="Arial" w:hAnsi="Arial" w:cs="Arial"/>
          <w:sz w:val="22"/>
          <w:szCs w:val="22"/>
          <w:lang w:eastAsia="en-GB"/>
        </w:rPr>
        <w:t>1</w:t>
      </w:r>
      <w:r w:rsidR="00F63E8C" w:rsidRPr="00503952">
        <w:rPr>
          <w:rFonts w:ascii="Arial" w:hAnsi="Arial" w:cs="Arial"/>
          <w:sz w:val="22"/>
          <w:szCs w:val="22"/>
          <w:lang w:eastAsia="en-GB"/>
        </w:rPr>
        <w:t xml:space="preserve">) </w:t>
      </w:r>
      <w:r w:rsidRPr="00503952">
        <w:rPr>
          <w:rFonts w:ascii="Arial" w:hAnsi="Arial" w:cs="Arial"/>
          <w:sz w:val="22"/>
          <w:szCs w:val="22"/>
        </w:rPr>
        <w:t>was</w:t>
      </w:r>
      <w:r w:rsidR="00F63E8C" w:rsidRPr="00503952">
        <w:rPr>
          <w:rFonts w:ascii="Arial" w:hAnsi="Arial" w:cs="Arial"/>
          <w:sz w:val="22"/>
          <w:szCs w:val="22"/>
        </w:rPr>
        <w:t>:</w:t>
      </w:r>
    </w:p>
    <w:p w14:paraId="6F11D39A" w14:textId="13E02B57" w:rsidR="003615DE" w:rsidRPr="00503952" w:rsidRDefault="0065186B" w:rsidP="00503952">
      <w:pPr>
        <w:pStyle w:val="ListParagraph"/>
        <w:numPr>
          <w:ilvl w:val="0"/>
          <w:numId w:val="3"/>
        </w:numPr>
        <w:rPr>
          <w:rFonts w:ascii="Arial" w:hAnsi="Arial" w:cs="Arial"/>
          <w:sz w:val="22"/>
          <w:szCs w:val="22"/>
        </w:rPr>
      </w:pPr>
      <w:r w:rsidRPr="00503952">
        <w:rPr>
          <w:rFonts w:ascii="Arial" w:hAnsi="Arial" w:cs="Arial"/>
          <w:sz w:val="22"/>
          <w:szCs w:val="22"/>
          <w:lang w:eastAsia="en-GB"/>
        </w:rPr>
        <w:t>Significance level</w:t>
      </w:r>
      <w:r w:rsidR="005A05CB" w:rsidRPr="00503952">
        <w:rPr>
          <w:rFonts w:ascii="Arial" w:hAnsi="Arial" w:cs="Arial"/>
          <w:sz w:val="22"/>
          <w:szCs w:val="22"/>
          <w:lang w:eastAsia="en-GB"/>
        </w:rPr>
        <w:t xml:space="preserve"> of 10%</w:t>
      </w:r>
      <w:r w:rsidRPr="00503952">
        <w:rPr>
          <w:rFonts w:ascii="Arial" w:hAnsi="Arial" w:cs="Arial"/>
          <w:sz w:val="22"/>
          <w:szCs w:val="22"/>
          <w:lang w:eastAsia="en-GB"/>
        </w:rPr>
        <w:t xml:space="preserve"> (alpha)</w:t>
      </w:r>
    </w:p>
    <w:p w14:paraId="1567369D" w14:textId="781E01EE" w:rsidR="003615DE" w:rsidRPr="00503952" w:rsidRDefault="0065186B">
      <w:pPr>
        <w:pStyle w:val="ListParagraph"/>
        <w:numPr>
          <w:ilvl w:val="0"/>
          <w:numId w:val="3"/>
        </w:numPr>
        <w:rPr>
          <w:rFonts w:ascii="Arial" w:hAnsi="Arial" w:cs="Arial"/>
          <w:sz w:val="22"/>
          <w:szCs w:val="22"/>
        </w:rPr>
      </w:pPr>
      <w:r w:rsidRPr="00503952">
        <w:rPr>
          <w:rFonts w:ascii="Arial" w:hAnsi="Arial" w:cs="Arial"/>
          <w:sz w:val="22"/>
          <w:szCs w:val="22"/>
          <w:lang w:eastAsia="en-GB"/>
        </w:rPr>
        <w:t>Type II error</w:t>
      </w:r>
      <w:r w:rsidR="005A05CB" w:rsidRPr="00503952">
        <w:rPr>
          <w:rFonts w:ascii="Arial" w:hAnsi="Arial" w:cs="Arial"/>
          <w:sz w:val="22"/>
          <w:szCs w:val="22"/>
          <w:lang w:eastAsia="en-GB"/>
        </w:rPr>
        <w:t xml:space="preserve"> of 20%</w:t>
      </w:r>
      <w:r w:rsidRPr="00503952">
        <w:rPr>
          <w:rFonts w:ascii="Arial" w:hAnsi="Arial" w:cs="Arial"/>
          <w:sz w:val="22"/>
          <w:szCs w:val="22"/>
          <w:lang w:eastAsia="en-GB"/>
        </w:rPr>
        <w:t xml:space="preserve"> (beta)</w:t>
      </w:r>
    </w:p>
    <w:p w14:paraId="05D78A4C" w14:textId="3F4EB09E" w:rsidR="003615DE" w:rsidRPr="00503952" w:rsidRDefault="0065186B">
      <w:pPr>
        <w:pStyle w:val="ListParagraph"/>
        <w:numPr>
          <w:ilvl w:val="0"/>
          <w:numId w:val="3"/>
        </w:numPr>
        <w:rPr>
          <w:rFonts w:ascii="Arial" w:hAnsi="Arial" w:cs="Arial"/>
          <w:sz w:val="22"/>
          <w:szCs w:val="22"/>
        </w:rPr>
      </w:pPr>
      <w:r w:rsidRPr="00503952">
        <w:rPr>
          <w:rFonts w:ascii="Arial" w:hAnsi="Arial" w:cs="Arial"/>
          <w:sz w:val="22"/>
          <w:szCs w:val="22"/>
          <w:lang w:eastAsia="en-GB"/>
        </w:rPr>
        <w:t>M</w:t>
      </w:r>
      <w:r w:rsidR="005A05CB" w:rsidRPr="00503952">
        <w:rPr>
          <w:rFonts w:ascii="Arial" w:hAnsi="Arial" w:cs="Arial"/>
          <w:sz w:val="22"/>
          <w:szCs w:val="22"/>
          <w:lang w:eastAsia="en-GB"/>
        </w:rPr>
        <w:t xml:space="preserve">edian survival time for </w:t>
      </w:r>
      <w:r w:rsidR="00F12F28" w:rsidRPr="00503952">
        <w:rPr>
          <w:rFonts w:ascii="Arial" w:hAnsi="Arial" w:cs="Arial"/>
          <w:sz w:val="22"/>
          <w:szCs w:val="22"/>
          <w:lang w:eastAsia="en-GB"/>
        </w:rPr>
        <w:t xml:space="preserve">both </w:t>
      </w:r>
      <w:r w:rsidR="005A05CB" w:rsidRPr="00503952">
        <w:rPr>
          <w:rFonts w:ascii="Arial" w:hAnsi="Arial" w:cs="Arial"/>
          <w:sz w:val="22"/>
          <w:szCs w:val="22"/>
          <w:lang w:eastAsia="en-GB"/>
        </w:rPr>
        <w:t xml:space="preserve">the </w:t>
      </w:r>
      <w:r w:rsidR="005A05CB" w:rsidRPr="00503952">
        <w:rPr>
          <w:rFonts w:ascii="Arial" w:hAnsi="Arial" w:cs="Arial"/>
          <w:sz w:val="22"/>
          <w:szCs w:val="22"/>
        </w:rPr>
        <w:t>paclitaxel and TAK228</w:t>
      </w:r>
      <w:r w:rsidR="00F559CD" w:rsidRPr="00503952">
        <w:rPr>
          <w:rFonts w:ascii="Arial" w:hAnsi="Arial" w:cs="Arial"/>
          <w:sz w:val="22"/>
          <w:szCs w:val="22"/>
        </w:rPr>
        <w:t xml:space="preserve"> </w:t>
      </w:r>
      <w:r w:rsidR="00F12F28" w:rsidRPr="00503952">
        <w:rPr>
          <w:rFonts w:ascii="Arial" w:hAnsi="Arial" w:cs="Arial"/>
          <w:sz w:val="22"/>
          <w:szCs w:val="22"/>
        </w:rPr>
        <w:t>together</w:t>
      </w:r>
      <w:r w:rsidR="00027E81" w:rsidRPr="00503952">
        <w:rPr>
          <w:rFonts w:ascii="Arial" w:hAnsi="Arial" w:cs="Arial"/>
          <w:sz w:val="22"/>
          <w:szCs w:val="22"/>
        </w:rPr>
        <w:t xml:space="preserve"> </w:t>
      </w:r>
      <w:r w:rsidR="00F2190A" w:rsidRPr="00503952">
        <w:rPr>
          <w:rFonts w:ascii="Arial" w:hAnsi="Arial" w:cs="Arial"/>
          <w:sz w:val="22"/>
          <w:szCs w:val="22"/>
        </w:rPr>
        <w:t>(</w:t>
      </w:r>
      <w:r w:rsidR="00F2190A" w:rsidRPr="00503952">
        <w:rPr>
          <w:rFonts w:ascii="Cambria Math" w:hAnsi="Cambria Math" w:cs="Cambria Math"/>
          <w:sz w:val="22"/>
          <w:szCs w:val="22"/>
        </w:rPr>
        <w:t>𝝀</w:t>
      </w:r>
      <w:r w:rsidR="00F2190A" w:rsidRPr="00503952">
        <w:rPr>
          <w:rFonts w:ascii="Cambria Math" w:hAnsi="Cambria Math" w:cs="Cambria Math"/>
          <w:sz w:val="22"/>
          <w:szCs w:val="22"/>
          <w:vertAlign w:val="subscript"/>
        </w:rPr>
        <w:t>𝒕</w:t>
      </w:r>
      <w:r w:rsidR="00F2190A" w:rsidRPr="00503952">
        <w:rPr>
          <w:rFonts w:ascii="Arial" w:hAnsi="Arial" w:cs="Arial"/>
          <w:sz w:val="22"/>
          <w:szCs w:val="22"/>
        </w:rPr>
        <w:t>) =</w:t>
      </w:r>
      <w:r w:rsidR="001F29F5" w:rsidRPr="00503952">
        <w:rPr>
          <w:rFonts w:ascii="Arial" w:hAnsi="Arial" w:cs="Arial"/>
          <w:sz w:val="22"/>
          <w:szCs w:val="22"/>
        </w:rPr>
        <w:t xml:space="preserve"> </w:t>
      </w:r>
      <w:r w:rsidR="00F2190A" w:rsidRPr="00503952">
        <w:rPr>
          <w:rFonts w:ascii="Arial" w:hAnsi="Arial" w:cs="Arial"/>
          <w:sz w:val="22"/>
          <w:szCs w:val="22"/>
        </w:rPr>
        <w:t>6.15</w:t>
      </w:r>
      <w:r w:rsidR="00C34409" w:rsidRPr="00503952">
        <w:rPr>
          <w:rFonts w:ascii="Arial" w:hAnsi="Arial" w:cs="Arial"/>
          <w:sz w:val="22"/>
          <w:szCs w:val="22"/>
        </w:rPr>
        <w:t>months</w:t>
      </w:r>
    </w:p>
    <w:p w14:paraId="2484B0BF" w14:textId="02BC7427" w:rsidR="003615DE" w:rsidRPr="00503952" w:rsidRDefault="0065186B">
      <w:pPr>
        <w:pStyle w:val="ListParagraph"/>
        <w:numPr>
          <w:ilvl w:val="0"/>
          <w:numId w:val="3"/>
        </w:numPr>
        <w:rPr>
          <w:rFonts w:ascii="Arial" w:hAnsi="Arial" w:cs="Arial"/>
          <w:sz w:val="22"/>
          <w:szCs w:val="22"/>
        </w:rPr>
      </w:pPr>
      <w:r w:rsidRPr="00503952">
        <w:rPr>
          <w:rFonts w:ascii="Arial" w:hAnsi="Arial" w:cs="Arial"/>
          <w:sz w:val="22"/>
          <w:szCs w:val="22"/>
          <w:lang w:eastAsia="en-GB"/>
        </w:rPr>
        <w:t>M</w:t>
      </w:r>
      <w:r w:rsidR="003615DE" w:rsidRPr="00503952">
        <w:rPr>
          <w:rFonts w:ascii="Arial" w:hAnsi="Arial" w:cs="Arial"/>
          <w:sz w:val="22"/>
          <w:szCs w:val="22"/>
          <w:lang w:eastAsia="en-GB"/>
        </w:rPr>
        <w:t xml:space="preserve">edian survival time for </w:t>
      </w:r>
      <w:r w:rsidR="005A05CB" w:rsidRPr="00503952">
        <w:rPr>
          <w:rFonts w:ascii="Arial" w:hAnsi="Arial" w:cs="Arial"/>
          <w:sz w:val="22"/>
          <w:szCs w:val="22"/>
          <w:lang w:eastAsia="en-GB"/>
        </w:rPr>
        <w:t>the paclitaxel alone</w:t>
      </w:r>
      <w:r w:rsidR="00F2190A" w:rsidRPr="00503952">
        <w:rPr>
          <w:rFonts w:ascii="Arial" w:hAnsi="Arial" w:cs="Arial"/>
          <w:sz w:val="22"/>
          <w:szCs w:val="22"/>
          <w:lang w:eastAsia="en-GB"/>
        </w:rPr>
        <w:t xml:space="preserve"> </w:t>
      </w:r>
      <w:r w:rsidR="00F2190A" w:rsidRPr="00503952">
        <w:rPr>
          <w:rFonts w:ascii="Arial" w:hAnsi="Arial" w:cs="Arial"/>
          <w:sz w:val="22"/>
          <w:szCs w:val="22"/>
        </w:rPr>
        <w:t>(</w:t>
      </w:r>
      <w:r w:rsidR="00F2190A" w:rsidRPr="00503952">
        <w:rPr>
          <w:rFonts w:ascii="Cambria Math" w:hAnsi="Cambria Math" w:cs="Cambria Math"/>
          <w:sz w:val="22"/>
          <w:szCs w:val="22"/>
        </w:rPr>
        <w:t>𝝀</w:t>
      </w:r>
      <w:r w:rsidR="00F2190A" w:rsidRPr="00503952">
        <w:rPr>
          <w:rFonts w:ascii="Cambria Math" w:hAnsi="Cambria Math" w:cs="Cambria Math"/>
          <w:sz w:val="22"/>
          <w:szCs w:val="22"/>
          <w:vertAlign w:val="subscript"/>
        </w:rPr>
        <w:t>𝒄</w:t>
      </w:r>
      <w:r w:rsidR="00F2190A" w:rsidRPr="00503952">
        <w:rPr>
          <w:rFonts w:ascii="Arial" w:hAnsi="Arial" w:cs="Arial"/>
          <w:sz w:val="22"/>
          <w:szCs w:val="22"/>
        </w:rPr>
        <w:t>) = 4</w:t>
      </w:r>
      <w:r w:rsidR="00C34409" w:rsidRPr="00503952">
        <w:rPr>
          <w:rFonts w:ascii="Arial" w:hAnsi="Arial" w:cs="Arial"/>
          <w:sz w:val="22"/>
          <w:szCs w:val="22"/>
        </w:rPr>
        <w:t xml:space="preserve"> months</w:t>
      </w:r>
    </w:p>
    <w:p w14:paraId="2E4C22B5" w14:textId="2EC2DBEA" w:rsidR="003615DE" w:rsidRPr="00503952" w:rsidRDefault="0065186B">
      <w:pPr>
        <w:pStyle w:val="ListParagraph"/>
        <w:numPr>
          <w:ilvl w:val="0"/>
          <w:numId w:val="3"/>
        </w:numPr>
        <w:rPr>
          <w:rFonts w:ascii="Arial" w:hAnsi="Arial" w:cs="Arial"/>
          <w:sz w:val="22"/>
          <w:szCs w:val="22"/>
        </w:rPr>
      </w:pPr>
      <w:r w:rsidRPr="00503952">
        <w:rPr>
          <w:rFonts w:ascii="Arial" w:hAnsi="Arial" w:cs="Arial"/>
          <w:sz w:val="22"/>
          <w:szCs w:val="22"/>
        </w:rPr>
        <w:t>A</w:t>
      </w:r>
      <w:r w:rsidR="005A05CB" w:rsidRPr="00503952">
        <w:rPr>
          <w:rFonts w:ascii="Arial" w:hAnsi="Arial" w:cs="Arial"/>
          <w:sz w:val="22"/>
          <w:szCs w:val="22"/>
        </w:rPr>
        <w:t>ccrual time</w:t>
      </w:r>
      <w:r w:rsidR="00F2190A" w:rsidRPr="00503952">
        <w:rPr>
          <w:rFonts w:ascii="Arial" w:hAnsi="Arial" w:cs="Arial"/>
          <w:sz w:val="22"/>
          <w:szCs w:val="22"/>
        </w:rPr>
        <w:t xml:space="preserve"> </w:t>
      </w:r>
      <w:r w:rsidR="00797000" w:rsidRPr="00503952">
        <w:rPr>
          <w:rFonts w:ascii="Arial" w:hAnsi="Arial" w:cs="Arial"/>
          <w:sz w:val="22"/>
          <w:szCs w:val="22"/>
        </w:rPr>
        <w:t>= 18 months</w:t>
      </w:r>
    </w:p>
    <w:p w14:paraId="2C0EF469" w14:textId="394D9F07" w:rsidR="005A05CB" w:rsidRDefault="0065186B">
      <w:pPr>
        <w:pStyle w:val="ListParagraph"/>
        <w:numPr>
          <w:ilvl w:val="0"/>
          <w:numId w:val="3"/>
        </w:numPr>
        <w:rPr>
          <w:rFonts w:ascii="Arial" w:hAnsi="Arial" w:cs="Arial"/>
          <w:sz w:val="22"/>
          <w:szCs w:val="22"/>
        </w:rPr>
      </w:pPr>
      <w:r w:rsidRPr="00503952">
        <w:rPr>
          <w:rFonts w:ascii="Arial" w:hAnsi="Arial" w:cs="Arial"/>
          <w:sz w:val="22"/>
          <w:szCs w:val="22"/>
        </w:rPr>
        <w:t>F</w:t>
      </w:r>
      <w:r w:rsidR="005A05CB" w:rsidRPr="00503952">
        <w:rPr>
          <w:rFonts w:ascii="Arial" w:hAnsi="Arial" w:cs="Arial"/>
          <w:sz w:val="22"/>
          <w:szCs w:val="22"/>
        </w:rPr>
        <w:t>ollow-up time</w:t>
      </w:r>
      <w:r w:rsidR="00797000" w:rsidRPr="00503952">
        <w:rPr>
          <w:rFonts w:ascii="Arial" w:hAnsi="Arial" w:cs="Arial"/>
          <w:sz w:val="22"/>
          <w:szCs w:val="22"/>
        </w:rPr>
        <w:t xml:space="preserve"> = 6 months</w:t>
      </w:r>
      <w:r w:rsidR="00CF4B5C" w:rsidRPr="00503952">
        <w:rPr>
          <w:rFonts w:ascii="Arial" w:hAnsi="Arial" w:cs="Arial"/>
          <w:sz w:val="22"/>
          <w:szCs w:val="22"/>
        </w:rPr>
        <w:t>.</w:t>
      </w:r>
    </w:p>
    <w:p w14:paraId="71DA911A" w14:textId="47776899" w:rsidR="00DE7DF2" w:rsidRDefault="00DE7DF2" w:rsidP="00DE7DF2">
      <w:pPr>
        <w:rPr>
          <w:rFonts w:ascii="Arial" w:hAnsi="Arial" w:cs="Arial"/>
          <w:sz w:val="22"/>
          <w:szCs w:val="22"/>
        </w:rPr>
      </w:pPr>
    </w:p>
    <w:p w14:paraId="4AF48F92" w14:textId="2334B3A6" w:rsidR="00DE7DF2" w:rsidRDefault="00DE7DF2" w:rsidP="00DE7DF2">
      <w:pPr>
        <w:rPr>
          <w:rFonts w:ascii="Arial" w:hAnsi="Arial" w:cs="Arial"/>
          <w:sz w:val="22"/>
          <w:szCs w:val="22"/>
        </w:rPr>
      </w:pPr>
    </w:p>
    <w:p w14:paraId="37DCB874" w14:textId="77777777" w:rsidR="00DE7DF2" w:rsidRPr="00503952" w:rsidRDefault="00DE7DF2" w:rsidP="00503952">
      <w:pPr>
        <w:rPr>
          <w:rFonts w:ascii="Arial" w:hAnsi="Arial" w:cs="Arial"/>
          <w:sz w:val="22"/>
          <w:szCs w:val="22"/>
        </w:rPr>
      </w:pPr>
    </w:p>
    <w:p w14:paraId="54C31857" w14:textId="306AA910" w:rsidR="005A05CB" w:rsidRPr="0070104E" w:rsidRDefault="005A05CB" w:rsidP="00503952">
      <w:pPr>
        <w:pStyle w:val="Caption"/>
        <w:rPr>
          <w:rFonts w:ascii="Arial" w:hAnsi="Arial" w:cs="Arial"/>
        </w:rPr>
      </w:pPr>
      <w:r w:rsidRPr="0070104E">
        <w:rPr>
          <w:rFonts w:ascii="Arial" w:hAnsi="Arial" w:cs="Arial"/>
        </w:rPr>
        <w:lastRenderedPageBreak/>
        <w:t xml:space="preserve">Table </w:t>
      </w:r>
      <w:r w:rsidR="0091294B" w:rsidRPr="0070104E">
        <w:rPr>
          <w:rFonts w:ascii="Arial" w:hAnsi="Arial" w:cs="Arial"/>
        </w:rPr>
        <w:t>A</w:t>
      </w:r>
      <w:r w:rsidR="003615DE" w:rsidRPr="0070104E">
        <w:rPr>
          <w:rFonts w:ascii="Arial" w:hAnsi="Arial" w:cs="Arial"/>
        </w:rPr>
        <w:t>1</w:t>
      </w:r>
      <w:r w:rsidRPr="0070104E">
        <w:rPr>
          <w:rFonts w:ascii="Arial" w:hAnsi="Arial" w:cs="Arial"/>
        </w:rPr>
        <w:t>: One-sided (Lower) Futility Stopping Boundary</w:t>
      </w:r>
      <w:r w:rsidR="008D7D03" w:rsidRPr="0070104E">
        <w:rPr>
          <w:rFonts w:ascii="Arial" w:hAnsi="Arial" w:cs="Arial"/>
        </w:rPr>
        <w:t xml:space="preserve"> of</w:t>
      </w:r>
      <w:r w:rsidR="008F739C" w:rsidRPr="0070104E">
        <w:rPr>
          <w:rFonts w:ascii="Arial" w:hAnsi="Arial" w:cs="Arial"/>
        </w:rPr>
        <w:t xml:space="preserve"> the</w:t>
      </w:r>
      <w:r w:rsidR="008D7D03" w:rsidRPr="0070104E">
        <w:rPr>
          <w:rFonts w:ascii="Arial" w:hAnsi="Arial" w:cs="Arial"/>
        </w:rPr>
        <w:t xml:space="preserve"> O’Brien-Fleming</w:t>
      </w:r>
      <w:r w:rsidR="006454A4" w:rsidRPr="0070104E">
        <w:rPr>
          <w:rFonts w:ascii="Arial" w:hAnsi="Arial" w:cs="Arial"/>
        </w:rPr>
        <w:t xml:space="preserve"> method</w:t>
      </w:r>
      <w:r w:rsidRPr="0070104E">
        <w:rPr>
          <w:rFonts w:ascii="Arial" w:hAnsi="Arial" w:cs="Arial"/>
        </w:rPr>
        <w:t xml:space="preserve"> (OF) for PFS for rejecting the Alternative Hypothesis (H</w:t>
      </w:r>
      <w:r w:rsidRPr="0070104E">
        <w:rPr>
          <w:rFonts w:ascii="Arial" w:hAnsi="Arial" w:cs="Arial"/>
          <w:vertAlign w:val="subscript"/>
        </w:rPr>
        <w:t>a</w:t>
      </w:r>
      <w:r w:rsidRPr="0070104E">
        <w:rPr>
          <w:rFonts w:ascii="Arial" w:hAnsi="Arial" w:cs="Arial"/>
        </w:rPr>
        <w:t xml:space="preserve">). </w:t>
      </w:r>
    </w:p>
    <w:tbl>
      <w:tblPr>
        <w:tblW w:w="9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127"/>
        <w:gridCol w:w="2441"/>
        <w:gridCol w:w="2853"/>
      </w:tblGrid>
      <w:tr w:rsidR="005A05CB" w:rsidRPr="00DE7DF2" w14:paraId="1E9A5A50" w14:textId="77777777" w:rsidTr="00242B32">
        <w:trPr>
          <w:trHeight w:val="57"/>
        </w:trPr>
        <w:tc>
          <w:tcPr>
            <w:tcW w:w="2263" w:type="dxa"/>
            <w:shd w:val="clear" w:color="auto" w:fill="auto"/>
          </w:tcPr>
          <w:p w14:paraId="5B89A449" w14:textId="4728CFFE" w:rsidR="005A05CB" w:rsidRPr="00503952" w:rsidRDefault="005A05CB" w:rsidP="00503952">
            <w:pPr>
              <w:spacing w:line="240" w:lineRule="auto"/>
              <w:rPr>
                <w:rFonts w:ascii="Arial" w:hAnsi="Arial" w:cs="Arial"/>
              </w:rPr>
            </w:pPr>
            <w:r w:rsidRPr="00503952">
              <w:rPr>
                <w:rFonts w:ascii="Arial" w:hAnsi="Arial" w:cs="Arial"/>
                <w:sz w:val="22"/>
                <w:szCs w:val="22"/>
              </w:rPr>
              <w:t xml:space="preserve">Analysis Number </w:t>
            </w:r>
          </w:p>
        </w:tc>
        <w:tc>
          <w:tcPr>
            <w:tcW w:w="2127" w:type="dxa"/>
          </w:tcPr>
          <w:p w14:paraId="4A7066D3" w14:textId="77777777" w:rsidR="005A05CB" w:rsidRPr="00503952" w:rsidRDefault="005A05CB">
            <w:pPr>
              <w:spacing w:line="240" w:lineRule="auto"/>
              <w:rPr>
                <w:rFonts w:ascii="Arial" w:hAnsi="Arial" w:cs="Arial"/>
                <w:sz w:val="22"/>
                <w:szCs w:val="22"/>
              </w:rPr>
            </w:pPr>
            <w:r w:rsidRPr="00503952">
              <w:rPr>
                <w:rFonts w:ascii="Arial" w:hAnsi="Arial" w:cs="Arial"/>
                <w:sz w:val="22"/>
                <w:szCs w:val="22"/>
              </w:rPr>
              <w:t>Number of Events (% Information)</w:t>
            </w:r>
          </w:p>
        </w:tc>
        <w:tc>
          <w:tcPr>
            <w:tcW w:w="2441" w:type="dxa"/>
          </w:tcPr>
          <w:p w14:paraId="5525927B" w14:textId="2FDAFBFE" w:rsidR="005A05CB" w:rsidRPr="00503952" w:rsidRDefault="005A05CB">
            <w:pPr>
              <w:spacing w:line="240" w:lineRule="auto"/>
              <w:rPr>
                <w:rFonts w:ascii="Arial" w:hAnsi="Arial" w:cs="Arial"/>
                <w:sz w:val="22"/>
                <w:szCs w:val="22"/>
              </w:rPr>
            </w:pPr>
            <w:r w:rsidRPr="00503952">
              <w:rPr>
                <w:rFonts w:ascii="Arial" w:hAnsi="Arial" w:cs="Arial"/>
                <w:sz w:val="22"/>
                <w:szCs w:val="22"/>
              </w:rPr>
              <w:t>Standardize</w:t>
            </w:r>
            <w:r w:rsidR="00854299" w:rsidRPr="00503952">
              <w:rPr>
                <w:rFonts w:ascii="Arial" w:hAnsi="Arial" w:cs="Arial"/>
                <w:sz w:val="22"/>
                <w:szCs w:val="22"/>
              </w:rPr>
              <w:t>d</w:t>
            </w:r>
            <w:r w:rsidRPr="00503952">
              <w:rPr>
                <w:rFonts w:ascii="Arial" w:hAnsi="Arial" w:cs="Arial"/>
                <w:sz w:val="22"/>
                <w:szCs w:val="22"/>
              </w:rPr>
              <w:t xml:space="preserve"> boundary</w:t>
            </w:r>
            <w:r w:rsidRPr="00503952">
              <w:rPr>
                <w:rFonts w:ascii="Arial" w:hAnsi="Arial" w:cs="Arial"/>
                <w:sz w:val="22"/>
                <w:szCs w:val="22"/>
                <w:vertAlign w:val="superscript"/>
              </w:rPr>
              <w:t>1</w:t>
            </w:r>
          </w:p>
        </w:tc>
        <w:tc>
          <w:tcPr>
            <w:tcW w:w="2853" w:type="dxa"/>
            <w:shd w:val="clear" w:color="auto" w:fill="auto"/>
          </w:tcPr>
          <w:p w14:paraId="1D714CC1" w14:textId="77777777" w:rsidR="005A05CB" w:rsidRPr="00503952" w:rsidRDefault="005A05CB">
            <w:pPr>
              <w:spacing w:line="240" w:lineRule="auto"/>
              <w:rPr>
                <w:rFonts w:ascii="Arial" w:hAnsi="Arial" w:cs="Arial"/>
                <w:sz w:val="22"/>
                <w:szCs w:val="22"/>
              </w:rPr>
            </w:pPr>
            <w:r w:rsidRPr="00503952">
              <w:rPr>
                <w:rFonts w:ascii="Arial" w:hAnsi="Arial" w:cs="Arial"/>
                <w:sz w:val="22"/>
                <w:szCs w:val="22"/>
              </w:rPr>
              <w:t>Nominal Significance level (boundary value)</w:t>
            </w:r>
          </w:p>
        </w:tc>
      </w:tr>
      <w:tr w:rsidR="005A05CB" w:rsidRPr="00DE7DF2" w14:paraId="41512B70" w14:textId="77777777" w:rsidTr="00242B32">
        <w:trPr>
          <w:trHeight w:val="57"/>
        </w:trPr>
        <w:tc>
          <w:tcPr>
            <w:tcW w:w="2263" w:type="dxa"/>
            <w:shd w:val="clear" w:color="auto" w:fill="auto"/>
          </w:tcPr>
          <w:p w14:paraId="22876C81" w14:textId="77777777" w:rsidR="005A05CB" w:rsidRPr="00503952" w:rsidRDefault="005A05CB">
            <w:pPr>
              <w:spacing w:line="240" w:lineRule="auto"/>
              <w:rPr>
                <w:rFonts w:ascii="Arial" w:hAnsi="Arial" w:cs="Arial"/>
                <w:sz w:val="22"/>
                <w:szCs w:val="22"/>
              </w:rPr>
            </w:pPr>
            <w:r w:rsidRPr="00503952">
              <w:rPr>
                <w:rFonts w:ascii="Arial" w:hAnsi="Arial" w:cs="Arial"/>
                <w:sz w:val="22"/>
                <w:szCs w:val="22"/>
              </w:rPr>
              <w:t>1 (interim)</w:t>
            </w:r>
          </w:p>
        </w:tc>
        <w:tc>
          <w:tcPr>
            <w:tcW w:w="2127" w:type="dxa"/>
          </w:tcPr>
          <w:p w14:paraId="405A689B" w14:textId="77777777" w:rsidR="005A05CB" w:rsidRPr="00503952" w:rsidRDefault="005A05CB">
            <w:pPr>
              <w:spacing w:line="240" w:lineRule="auto"/>
              <w:rPr>
                <w:rFonts w:ascii="Arial" w:hAnsi="Arial" w:cs="Arial"/>
                <w:sz w:val="22"/>
                <w:szCs w:val="22"/>
              </w:rPr>
            </w:pPr>
            <w:r w:rsidRPr="00503952">
              <w:rPr>
                <w:rFonts w:ascii="Arial" w:hAnsi="Arial" w:cs="Arial"/>
                <w:sz w:val="22"/>
                <w:szCs w:val="22"/>
              </w:rPr>
              <w:t>49 (planned)</w:t>
            </w:r>
          </w:p>
        </w:tc>
        <w:tc>
          <w:tcPr>
            <w:tcW w:w="2441" w:type="dxa"/>
          </w:tcPr>
          <w:p w14:paraId="676BD0AE" w14:textId="77777777" w:rsidR="005A05CB" w:rsidRPr="00503952" w:rsidRDefault="005A05CB">
            <w:pPr>
              <w:spacing w:line="240" w:lineRule="auto"/>
              <w:rPr>
                <w:rFonts w:ascii="Arial" w:hAnsi="Arial" w:cs="Arial"/>
                <w:sz w:val="22"/>
                <w:szCs w:val="22"/>
              </w:rPr>
            </w:pPr>
            <w:r w:rsidRPr="00503952">
              <w:rPr>
                <w:rFonts w:ascii="Arial" w:hAnsi="Arial" w:cs="Arial"/>
                <w:sz w:val="22"/>
                <w:szCs w:val="22"/>
              </w:rPr>
              <w:t>-0.20706</w:t>
            </w:r>
          </w:p>
        </w:tc>
        <w:tc>
          <w:tcPr>
            <w:tcW w:w="2853" w:type="dxa"/>
            <w:shd w:val="clear" w:color="auto" w:fill="auto"/>
          </w:tcPr>
          <w:p w14:paraId="2E31A344" w14:textId="77777777" w:rsidR="005A05CB" w:rsidRPr="00503952" w:rsidRDefault="005A05CB">
            <w:pPr>
              <w:spacing w:line="240" w:lineRule="auto"/>
              <w:rPr>
                <w:rFonts w:ascii="Arial" w:hAnsi="Arial" w:cs="Arial"/>
                <w:sz w:val="22"/>
                <w:szCs w:val="22"/>
              </w:rPr>
            </w:pPr>
            <w:r w:rsidRPr="00503952">
              <w:rPr>
                <w:rFonts w:ascii="Arial" w:hAnsi="Arial" w:cs="Arial"/>
                <w:sz w:val="22"/>
                <w:szCs w:val="22"/>
              </w:rPr>
              <w:t>0.41798</w:t>
            </w:r>
          </w:p>
        </w:tc>
      </w:tr>
      <w:tr w:rsidR="005A05CB" w:rsidRPr="00DE7DF2" w14:paraId="6B5A9D49" w14:textId="77777777" w:rsidTr="00242B32">
        <w:trPr>
          <w:trHeight w:val="57"/>
        </w:trPr>
        <w:tc>
          <w:tcPr>
            <w:tcW w:w="2263" w:type="dxa"/>
            <w:shd w:val="clear" w:color="auto" w:fill="auto"/>
          </w:tcPr>
          <w:p w14:paraId="61FC4951" w14:textId="77777777" w:rsidR="005A05CB" w:rsidRPr="00503952" w:rsidRDefault="005A05CB">
            <w:pPr>
              <w:spacing w:line="240" w:lineRule="auto"/>
              <w:rPr>
                <w:rFonts w:ascii="Arial" w:hAnsi="Arial" w:cs="Arial"/>
                <w:sz w:val="22"/>
                <w:szCs w:val="22"/>
              </w:rPr>
            </w:pPr>
            <w:r w:rsidRPr="00503952">
              <w:rPr>
                <w:rFonts w:ascii="Arial" w:hAnsi="Arial" w:cs="Arial"/>
                <w:sz w:val="22"/>
                <w:szCs w:val="22"/>
              </w:rPr>
              <w:t>2 (final)</w:t>
            </w:r>
          </w:p>
        </w:tc>
        <w:tc>
          <w:tcPr>
            <w:tcW w:w="2127" w:type="dxa"/>
          </w:tcPr>
          <w:p w14:paraId="26959C44" w14:textId="77777777" w:rsidR="005A05CB" w:rsidRPr="00503952" w:rsidRDefault="005A05CB">
            <w:pPr>
              <w:spacing w:line="240" w:lineRule="auto"/>
              <w:rPr>
                <w:rFonts w:ascii="Arial" w:hAnsi="Arial" w:cs="Arial"/>
                <w:sz w:val="22"/>
                <w:szCs w:val="22"/>
              </w:rPr>
            </w:pPr>
            <w:r w:rsidRPr="00503952">
              <w:rPr>
                <w:rFonts w:ascii="Arial" w:hAnsi="Arial" w:cs="Arial"/>
                <w:sz w:val="22"/>
                <w:szCs w:val="22"/>
              </w:rPr>
              <w:t>102</w:t>
            </w:r>
          </w:p>
        </w:tc>
        <w:tc>
          <w:tcPr>
            <w:tcW w:w="2441" w:type="dxa"/>
          </w:tcPr>
          <w:p w14:paraId="5498AF7F" w14:textId="77777777" w:rsidR="005A05CB" w:rsidRPr="00503952" w:rsidRDefault="005A05CB">
            <w:pPr>
              <w:spacing w:line="240" w:lineRule="auto"/>
              <w:rPr>
                <w:rFonts w:ascii="Arial" w:hAnsi="Arial" w:cs="Arial"/>
                <w:sz w:val="22"/>
                <w:szCs w:val="22"/>
              </w:rPr>
            </w:pPr>
            <w:r w:rsidRPr="00503952">
              <w:rPr>
                <w:rFonts w:ascii="Arial" w:hAnsi="Arial" w:cs="Arial"/>
                <w:sz w:val="22"/>
                <w:szCs w:val="22"/>
              </w:rPr>
              <w:t>-1.22626</w:t>
            </w:r>
          </w:p>
        </w:tc>
        <w:tc>
          <w:tcPr>
            <w:tcW w:w="2853" w:type="dxa"/>
            <w:shd w:val="clear" w:color="auto" w:fill="auto"/>
          </w:tcPr>
          <w:p w14:paraId="00919054" w14:textId="77777777" w:rsidR="005A05CB" w:rsidRPr="00503952" w:rsidRDefault="005A05CB">
            <w:pPr>
              <w:spacing w:line="240" w:lineRule="auto"/>
              <w:rPr>
                <w:rFonts w:ascii="Arial" w:hAnsi="Arial" w:cs="Arial"/>
                <w:sz w:val="22"/>
                <w:szCs w:val="22"/>
              </w:rPr>
            </w:pPr>
            <w:r w:rsidRPr="00503952">
              <w:rPr>
                <w:rFonts w:ascii="Arial" w:hAnsi="Arial" w:cs="Arial"/>
                <w:sz w:val="22"/>
                <w:szCs w:val="22"/>
              </w:rPr>
              <w:t>0.11005</w:t>
            </w:r>
          </w:p>
        </w:tc>
      </w:tr>
    </w:tbl>
    <w:p w14:paraId="3A631A2B" w14:textId="38D14578" w:rsidR="00DE1E40" w:rsidRPr="00503952" w:rsidRDefault="005A05CB" w:rsidP="00503952">
      <w:pPr>
        <w:rPr>
          <w:rFonts w:ascii="Arial" w:hAnsi="Arial" w:cs="Arial"/>
          <w:sz w:val="22"/>
          <w:szCs w:val="22"/>
          <w:shd w:val="clear" w:color="auto" w:fill="FFFFFF"/>
        </w:rPr>
      </w:pPr>
      <w:r w:rsidRPr="00503952">
        <w:rPr>
          <w:rFonts w:ascii="Arial" w:hAnsi="Arial" w:cs="Arial"/>
          <w:sz w:val="22"/>
          <w:szCs w:val="22"/>
          <w:shd w:val="clear" w:color="auto" w:fill="FFFFFF"/>
          <w:vertAlign w:val="superscript"/>
        </w:rPr>
        <w:t>1</w:t>
      </w:r>
      <w:r w:rsidRPr="00503952">
        <w:rPr>
          <w:rFonts w:ascii="Arial" w:hAnsi="Arial" w:cs="Arial"/>
          <w:sz w:val="22"/>
          <w:szCs w:val="22"/>
          <w:shd w:val="clear" w:color="auto" w:fill="FFFFFF"/>
        </w:rPr>
        <w:t xml:space="preserve"> O’Brien-Fleming boundaries to reject Ha.</w:t>
      </w:r>
    </w:p>
    <w:p w14:paraId="52443A08" w14:textId="77777777" w:rsidR="005A05CB" w:rsidRDefault="005A05CB">
      <w:pPr>
        <w:rPr>
          <w:shd w:val="clear" w:color="auto" w:fill="FFFFFF"/>
        </w:rPr>
      </w:pPr>
    </w:p>
    <w:p w14:paraId="1E732292" w14:textId="2735B6A2" w:rsidR="005A05CB" w:rsidRPr="00503952" w:rsidRDefault="005A05CB">
      <w:pPr>
        <w:rPr>
          <w:rFonts w:ascii="Arial" w:hAnsi="Arial" w:cs="Arial"/>
          <w:sz w:val="22"/>
          <w:szCs w:val="22"/>
        </w:rPr>
      </w:pPr>
      <w:r w:rsidRPr="00503952">
        <w:rPr>
          <w:rFonts w:ascii="Arial" w:hAnsi="Arial" w:cs="Arial"/>
          <w:sz w:val="22"/>
          <w:szCs w:val="22"/>
        </w:rPr>
        <w:t>The futility analysis was conducted using the significance level (boundary value) of 0.41798 for the interim (49 PFS cases) and with a significance level (boundary value) of 0.11005 for the final analysis (102 PFS cases). Stopping the trial early for futility is considered if the p-value for PFS is less than the alpha boundary (rejecting the alternative hypothesis) at the interim analysis.</w:t>
      </w:r>
    </w:p>
    <w:p w14:paraId="5DA6181E" w14:textId="77777777" w:rsidR="000A08B8" w:rsidRPr="0070104E" w:rsidRDefault="000A08B8" w:rsidP="0070104E">
      <w:pPr>
        <w:pStyle w:val="Heading2"/>
      </w:pPr>
      <w:r w:rsidRPr="0070104E">
        <w:t>Sample sizes adjustment due to interim analysis</w:t>
      </w:r>
    </w:p>
    <w:p w14:paraId="47F8172E" w14:textId="7F24B7DB" w:rsidR="000A08B8" w:rsidRPr="00503952" w:rsidRDefault="000A08B8" w:rsidP="00503952">
      <w:pPr>
        <w:rPr>
          <w:sz w:val="22"/>
          <w:szCs w:val="22"/>
        </w:rPr>
      </w:pPr>
      <w:r w:rsidRPr="00503952">
        <w:rPr>
          <w:rFonts w:ascii="Arial" w:hAnsi="Arial" w:cs="Arial"/>
          <w:sz w:val="22"/>
          <w:szCs w:val="22"/>
        </w:rPr>
        <w:t>As DICE trial was allowed to stop early for futility, there was a risk of losing power</w:t>
      </w:r>
      <w:sdt>
        <w:sdtPr>
          <w:rPr>
            <w:rFonts w:ascii="Arial" w:hAnsi="Arial" w:cs="Arial"/>
            <w:sz w:val="22"/>
            <w:szCs w:val="22"/>
          </w:rPr>
          <w:id w:val="-1082834088"/>
          <w:citation/>
        </w:sdtPr>
        <w:sdtEndPr/>
        <w:sdtContent>
          <w:r w:rsidR="009E1B42" w:rsidRPr="00503952">
            <w:rPr>
              <w:rFonts w:ascii="Arial" w:hAnsi="Arial" w:cs="Arial"/>
              <w:sz w:val="22"/>
              <w:szCs w:val="22"/>
            </w:rPr>
            <w:fldChar w:fldCharType="begin"/>
          </w:r>
          <w:r w:rsidR="009E1B42" w:rsidRPr="00503952">
            <w:rPr>
              <w:rFonts w:ascii="Arial" w:hAnsi="Arial" w:cs="Arial"/>
              <w:sz w:val="22"/>
              <w:szCs w:val="22"/>
            </w:rPr>
            <w:instrText xml:space="preserve"> CITATION Sna06 \l 2057 </w:instrText>
          </w:r>
          <w:r w:rsidR="009E1B42" w:rsidRPr="00503952">
            <w:rPr>
              <w:rFonts w:ascii="Arial" w:hAnsi="Arial" w:cs="Arial"/>
              <w:sz w:val="22"/>
              <w:szCs w:val="22"/>
            </w:rPr>
            <w:fldChar w:fldCharType="separate"/>
          </w:r>
          <w:r w:rsidR="00547765">
            <w:rPr>
              <w:rFonts w:ascii="Arial" w:hAnsi="Arial" w:cs="Arial"/>
              <w:noProof/>
              <w:sz w:val="22"/>
              <w:szCs w:val="22"/>
            </w:rPr>
            <w:t xml:space="preserve"> </w:t>
          </w:r>
          <w:r w:rsidR="00547765" w:rsidRPr="0070104E">
            <w:rPr>
              <w:rFonts w:ascii="Arial" w:hAnsi="Arial" w:cs="Arial"/>
              <w:noProof/>
              <w:sz w:val="22"/>
              <w:szCs w:val="22"/>
            </w:rPr>
            <w:t>(3)</w:t>
          </w:r>
          <w:r w:rsidR="009E1B42" w:rsidRPr="00503952">
            <w:rPr>
              <w:rFonts w:ascii="Arial" w:hAnsi="Arial" w:cs="Arial"/>
              <w:sz w:val="22"/>
              <w:szCs w:val="22"/>
            </w:rPr>
            <w:fldChar w:fldCharType="end"/>
          </w:r>
        </w:sdtContent>
      </w:sdt>
      <w:sdt>
        <w:sdtPr>
          <w:rPr>
            <w:rFonts w:ascii="Arial" w:hAnsi="Arial" w:cs="Arial"/>
            <w:sz w:val="22"/>
            <w:szCs w:val="22"/>
          </w:rPr>
          <w:id w:val="-216200198"/>
          <w:citation/>
        </w:sdtPr>
        <w:sdtEndPr/>
        <w:sdtContent>
          <w:r w:rsidR="009E1B42" w:rsidRPr="00503952">
            <w:rPr>
              <w:rFonts w:ascii="Arial" w:hAnsi="Arial" w:cs="Arial"/>
              <w:sz w:val="22"/>
              <w:szCs w:val="22"/>
            </w:rPr>
            <w:fldChar w:fldCharType="begin"/>
          </w:r>
          <w:r w:rsidR="009E1B42" w:rsidRPr="00503952">
            <w:rPr>
              <w:rFonts w:ascii="Arial" w:hAnsi="Arial" w:cs="Arial"/>
              <w:sz w:val="22"/>
              <w:szCs w:val="22"/>
            </w:rPr>
            <w:instrText xml:space="preserve"> CITATION Sch17 \l 2057 </w:instrText>
          </w:r>
          <w:r w:rsidR="009E1B42" w:rsidRPr="00503952">
            <w:rPr>
              <w:rFonts w:ascii="Arial" w:hAnsi="Arial" w:cs="Arial"/>
              <w:sz w:val="22"/>
              <w:szCs w:val="22"/>
            </w:rPr>
            <w:fldChar w:fldCharType="separate"/>
          </w:r>
          <w:r w:rsidR="00547765">
            <w:rPr>
              <w:rFonts w:ascii="Arial" w:hAnsi="Arial" w:cs="Arial"/>
              <w:noProof/>
              <w:sz w:val="22"/>
              <w:szCs w:val="22"/>
            </w:rPr>
            <w:t xml:space="preserve"> </w:t>
          </w:r>
          <w:r w:rsidR="00547765" w:rsidRPr="0070104E">
            <w:rPr>
              <w:rFonts w:ascii="Arial" w:hAnsi="Arial" w:cs="Arial"/>
              <w:noProof/>
              <w:sz w:val="22"/>
              <w:szCs w:val="22"/>
            </w:rPr>
            <w:t>(6)</w:t>
          </w:r>
          <w:r w:rsidR="009E1B42" w:rsidRPr="00503952">
            <w:rPr>
              <w:rFonts w:ascii="Arial" w:hAnsi="Arial" w:cs="Arial"/>
              <w:sz w:val="22"/>
              <w:szCs w:val="22"/>
            </w:rPr>
            <w:fldChar w:fldCharType="end"/>
          </w:r>
        </w:sdtContent>
      </w:sdt>
      <w:r w:rsidRPr="00503952">
        <w:rPr>
          <w:rFonts w:ascii="Arial" w:hAnsi="Arial" w:cs="Arial"/>
          <w:sz w:val="22"/>
          <w:szCs w:val="22"/>
        </w:rPr>
        <w:t xml:space="preserve">. </w:t>
      </w:r>
      <w:r w:rsidR="00E65EEB">
        <w:rPr>
          <w:rFonts w:ascii="Arial" w:hAnsi="Arial" w:cs="Arial"/>
          <w:sz w:val="22"/>
          <w:szCs w:val="22"/>
        </w:rPr>
        <w:t>T</w:t>
      </w:r>
      <w:r w:rsidRPr="00503952">
        <w:rPr>
          <w:rFonts w:ascii="Arial" w:hAnsi="Arial" w:cs="Arial"/>
          <w:sz w:val="22"/>
          <w:szCs w:val="22"/>
        </w:rPr>
        <w:t>he O’Brien-Fleming (OF) method which is part of the group sequential methods address this problem directly by maintaining both the power and type I error at the desired rates. The cost of this approach is an increase in the maximum sample size.</w:t>
      </w:r>
    </w:p>
    <w:p w14:paraId="139E2937" w14:textId="2FF70A8C" w:rsidR="000A08B8" w:rsidRPr="00503952" w:rsidRDefault="000A08B8">
      <w:pPr>
        <w:rPr>
          <w:rFonts w:ascii="Arial" w:hAnsi="Arial" w:cs="Arial"/>
          <w:sz w:val="22"/>
          <w:szCs w:val="22"/>
        </w:rPr>
      </w:pPr>
      <w:r w:rsidRPr="00503952">
        <w:rPr>
          <w:rFonts w:ascii="Arial" w:hAnsi="Arial" w:cs="Arial"/>
          <w:sz w:val="22"/>
          <w:szCs w:val="22"/>
        </w:rPr>
        <w:t xml:space="preserve">The output of SEQDESIGN which provides the stopping boundaries also </w:t>
      </w:r>
      <w:r w:rsidR="00E65EEB">
        <w:rPr>
          <w:rFonts w:ascii="Arial" w:hAnsi="Arial" w:cs="Arial"/>
          <w:sz w:val="22"/>
          <w:szCs w:val="22"/>
        </w:rPr>
        <w:t xml:space="preserve">generates </w:t>
      </w:r>
      <w:r w:rsidRPr="00503952">
        <w:rPr>
          <w:rFonts w:ascii="Arial" w:hAnsi="Arial" w:cs="Arial"/>
          <w:sz w:val="22"/>
          <w:szCs w:val="22"/>
        </w:rPr>
        <w:t xml:space="preserve">an inflation factor </w:t>
      </w:r>
      <w:r w:rsidR="00B251D6">
        <w:rPr>
          <w:rFonts w:ascii="Arial" w:hAnsi="Arial" w:cs="Arial"/>
          <w:sz w:val="22"/>
          <w:szCs w:val="22"/>
        </w:rPr>
        <w:t xml:space="preserve">(“Max Information”) </w:t>
      </w:r>
      <w:r w:rsidR="00E65EEB">
        <w:rPr>
          <w:rFonts w:ascii="Arial" w:hAnsi="Arial" w:cs="Arial"/>
          <w:sz w:val="22"/>
          <w:szCs w:val="22"/>
        </w:rPr>
        <w:t>which is</w:t>
      </w:r>
      <w:r w:rsidRPr="00503952">
        <w:rPr>
          <w:rFonts w:ascii="Arial" w:hAnsi="Arial" w:cs="Arial"/>
          <w:sz w:val="22"/>
          <w:szCs w:val="22"/>
        </w:rPr>
        <w:t xml:space="preserve"> how much the fixed number of </w:t>
      </w:r>
      <w:r w:rsidR="00B251D6">
        <w:rPr>
          <w:rFonts w:ascii="Arial" w:hAnsi="Arial" w:cs="Arial"/>
          <w:sz w:val="22"/>
          <w:szCs w:val="22"/>
        </w:rPr>
        <w:t xml:space="preserve">progression </w:t>
      </w:r>
      <w:r w:rsidRPr="00503952">
        <w:rPr>
          <w:rFonts w:ascii="Arial" w:hAnsi="Arial" w:cs="Arial"/>
          <w:sz w:val="22"/>
          <w:szCs w:val="22"/>
        </w:rPr>
        <w:t xml:space="preserve">events needed to inflate by. </w:t>
      </w:r>
    </w:p>
    <w:p w14:paraId="359FCCDE" w14:textId="77777777" w:rsidR="000A08B8" w:rsidRPr="00503952" w:rsidRDefault="000A08B8" w:rsidP="00503952">
      <w:pPr>
        <w:jc w:val="center"/>
        <w:rPr>
          <w:rFonts w:ascii="Arial" w:hAnsi="Arial" w:cs="Arial"/>
          <w:sz w:val="22"/>
          <w:szCs w:val="22"/>
          <w:shd w:val="clear" w:color="auto" w:fill="FFFFFF"/>
        </w:rPr>
      </w:pPr>
      <w:r w:rsidRPr="00503952">
        <w:rPr>
          <w:rFonts w:ascii="Arial" w:hAnsi="Arial" w:cs="Arial"/>
          <w:sz w:val="22"/>
          <w:szCs w:val="22"/>
          <w:shd w:val="clear" w:color="auto" w:fill="FFFFFF"/>
        </w:rPr>
        <w:t xml:space="preserve">Max Information (Percent of Fixed Sample) = 1.054887 *97 </w:t>
      </w:r>
      <w:r w:rsidRPr="00503952">
        <w:rPr>
          <w:rStyle w:val="Strong"/>
          <w:rFonts w:ascii="Arial" w:hAnsi="Arial" w:cs="Arial"/>
          <w:color w:val="767676"/>
          <w:sz w:val="22"/>
          <w:szCs w:val="22"/>
          <w:shd w:val="clear" w:color="auto" w:fill="FFFFFF"/>
        </w:rPr>
        <w:t>≈</w:t>
      </w:r>
      <w:r w:rsidRPr="00503952">
        <w:rPr>
          <w:rFonts w:ascii="Arial" w:hAnsi="Arial" w:cs="Arial"/>
          <w:sz w:val="22"/>
          <w:szCs w:val="22"/>
          <w:shd w:val="clear" w:color="auto" w:fill="FFFFFF"/>
        </w:rPr>
        <w:t xml:space="preserve"> 102</w:t>
      </w:r>
    </w:p>
    <w:p w14:paraId="444D1127" w14:textId="3CFEFCDC" w:rsidR="000A08B8" w:rsidRPr="00503952" w:rsidRDefault="000A08B8">
      <w:pPr>
        <w:rPr>
          <w:rFonts w:ascii="Arial" w:hAnsi="Arial" w:cs="Arial"/>
          <w:sz w:val="22"/>
          <w:szCs w:val="22"/>
        </w:rPr>
      </w:pPr>
      <w:r w:rsidRPr="009D57A3">
        <w:rPr>
          <w:rFonts w:ascii="Arial" w:hAnsi="Arial" w:cs="Arial"/>
          <w:sz w:val="22"/>
          <w:szCs w:val="22"/>
        </w:rPr>
        <w:t>Given the</w:t>
      </w:r>
      <w:r w:rsidR="00E352A9" w:rsidRPr="0070104E">
        <w:rPr>
          <w:rFonts w:ascii="Arial" w:hAnsi="Arial" w:cs="Arial"/>
          <w:sz w:val="22"/>
          <w:szCs w:val="22"/>
        </w:rPr>
        <w:t xml:space="preserve"> new</w:t>
      </w:r>
      <w:r w:rsidRPr="009D57A3">
        <w:rPr>
          <w:rFonts w:ascii="Arial" w:hAnsi="Arial" w:cs="Arial"/>
          <w:sz w:val="22"/>
          <w:szCs w:val="22"/>
        </w:rPr>
        <w:t xml:space="preserve"> total of 102 events</w:t>
      </w:r>
      <w:r w:rsidR="00E352A9" w:rsidRPr="0070104E">
        <w:rPr>
          <w:rFonts w:ascii="Arial" w:hAnsi="Arial" w:cs="Arial"/>
          <w:sz w:val="22"/>
          <w:szCs w:val="22"/>
        </w:rPr>
        <w:t xml:space="preserve"> and the original total </w:t>
      </w:r>
      <w:r w:rsidR="008005C3" w:rsidRPr="0070104E">
        <w:rPr>
          <w:rFonts w:ascii="Arial" w:hAnsi="Arial" w:cs="Arial"/>
          <w:sz w:val="22"/>
          <w:szCs w:val="22"/>
        </w:rPr>
        <w:t>of 97 events,</w:t>
      </w:r>
      <w:r w:rsidRPr="0070104E">
        <w:rPr>
          <w:rFonts w:ascii="Arial" w:hAnsi="Arial" w:cs="Arial"/>
          <w:sz w:val="22"/>
          <w:szCs w:val="22"/>
        </w:rPr>
        <w:t xml:space="preserve"> </w:t>
      </w:r>
      <w:r w:rsidR="00884B61" w:rsidRPr="0070104E">
        <w:rPr>
          <w:rFonts w:ascii="Arial" w:hAnsi="Arial" w:cs="Arial"/>
          <w:sz w:val="22"/>
          <w:szCs w:val="22"/>
        </w:rPr>
        <w:t>5</w:t>
      </w:r>
      <w:r w:rsidR="00884B61" w:rsidRPr="009D57A3">
        <w:rPr>
          <w:rFonts w:ascii="Arial" w:hAnsi="Arial" w:cs="Arial"/>
          <w:sz w:val="22"/>
          <w:szCs w:val="22"/>
        </w:rPr>
        <w:t xml:space="preserve"> </w:t>
      </w:r>
      <w:r w:rsidRPr="00A80024">
        <w:rPr>
          <w:rFonts w:ascii="Arial" w:hAnsi="Arial" w:cs="Arial"/>
          <w:sz w:val="22"/>
          <w:szCs w:val="22"/>
        </w:rPr>
        <w:t xml:space="preserve">events more than the original </w:t>
      </w:r>
      <w:r w:rsidRPr="0070104E">
        <w:rPr>
          <w:rFonts w:ascii="Arial" w:hAnsi="Arial" w:cs="Arial"/>
          <w:sz w:val="22"/>
          <w:szCs w:val="22"/>
        </w:rPr>
        <w:t xml:space="preserve">are needed. To </w:t>
      </w:r>
      <w:r w:rsidR="00B251D6" w:rsidRPr="0070104E">
        <w:rPr>
          <w:rFonts w:ascii="Arial" w:hAnsi="Arial" w:cs="Arial"/>
          <w:sz w:val="22"/>
          <w:szCs w:val="22"/>
        </w:rPr>
        <w:t xml:space="preserve">attain </w:t>
      </w:r>
      <w:r w:rsidRPr="0070104E">
        <w:rPr>
          <w:rFonts w:ascii="Arial" w:hAnsi="Arial" w:cs="Arial"/>
          <w:sz w:val="22"/>
          <w:szCs w:val="22"/>
        </w:rPr>
        <w:t xml:space="preserve">102 events, the adjusted sample size is 124 patients </w:t>
      </w:r>
      <w:r w:rsidRPr="009D57A3">
        <w:rPr>
          <w:rFonts w:ascii="Arial" w:hAnsi="Arial" w:cs="Arial"/>
          <w:sz w:val="22"/>
          <w:szCs w:val="22"/>
        </w:rPr>
        <w:t>(62 by treatment arm).</w:t>
      </w:r>
      <w:r w:rsidR="00A149B9" w:rsidRPr="00A80024">
        <w:rPr>
          <w:rFonts w:ascii="Arial" w:hAnsi="Arial" w:cs="Arial"/>
          <w:sz w:val="22"/>
          <w:szCs w:val="22"/>
        </w:rPr>
        <w:t xml:space="preserve"> Th</w:t>
      </w:r>
      <w:r w:rsidR="00526ACB" w:rsidRPr="0070104E">
        <w:rPr>
          <w:rFonts w:ascii="Arial" w:hAnsi="Arial" w:cs="Arial"/>
          <w:sz w:val="22"/>
          <w:szCs w:val="22"/>
        </w:rPr>
        <w:t>is</w:t>
      </w:r>
      <w:r w:rsidR="00A149B9" w:rsidRPr="009D57A3">
        <w:rPr>
          <w:rFonts w:ascii="Arial" w:hAnsi="Arial" w:cs="Arial"/>
          <w:sz w:val="22"/>
          <w:szCs w:val="22"/>
        </w:rPr>
        <w:t xml:space="preserve"> adjusted sample size</w:t>
      </w:r>
      <w:r w:rsidR="00A149B9" w:rsidRPr="00A80024">
        <w:rPr>
          <w:rFonts w:ascii="Arial" w:hAnsi="Arial" w:cs="Arial"/>
          <w:sz w:val="22"/>
          <w:szCs w:val="22"/>
        </w:rPr>
        <w:t xml:space="preserve"> was obtained using the </w:t>
      </w:r>
      <w:r w:rsidR="00A149B9" w:rsidRPr="00CF4CCF">
        <w:t>INPUTNOBS</w:t>
      </w:r>
      <w:r w:rsidR="00526ACB" w:rsidRPr="0070104E">
        <w:t xml:space="preserve"> </w:t>
      </w:r>
      <w:r w:rsidR="00526ACB" w:rsidRPr="0070104E">
        <w:rPr>
          <w:rFonts w:ascii="Arial" w:hAnsi="Arial" w:cs="Arial"/>
          <w:sz w:val="22"/>
          <w:szCs w:val="22"/>
        </w:rPr>
        <w:t>option</w:t>
      </w:r>
      <w:r w:rsidR="00A149B9" w:rsidRPr="009D57A3">
        <w:t xml:space="preserve"> of SEQDESIGN</w:t>
      </w:r>
      <w:r w:rsidR="008D5E74" w:rsidRPr="00A80024">
        <w:t>.</w:t>
      </w:r>
    </w:p>
    <w:p w14:paraId="4201F077" w14:textId="78D49F7E" w:rsidR="005A05CB" w:rsidRDefault="005A05CB" w:rsidP="0070104E">
      <w:pPr>
        <w:pStyle w:val="Heading2"/>
      </w:pPr>
      <w:bookmarkStart w:id="6" w:name="_Ref47443041"/>
      <w:bookmarkStart w:id="7" w:name="_Toc51339648"/>
      <w:r>
        <w:lastRenderedPageBreak/>
        <w:t>Safety (</w:t>
      </w:r>
      <w:r w:rsidR="008136C0">
        <w:t>t</w:t>
      </w:r>
      <w:r>
        <w:t xml:space="preserve">oxicity) </w:t>
      </w:r>
      <w:r w:rsidR="008136C0">
        <w:t>s</w:t>
      </w:r>
      <w:r>
        <w:t xml:space="preserve">topping </w:t>
      </w:r>
      <w:r w:rsidR="008136C0">
        <w:t>r</w:t>
      </w:r>
      <w:r>
        <w:t>ules</w:t>
      </w:r>
      <w:bookmarkEnd w:id="6"/>
      <w:bookmarkEnd w:id="7"/>
    </w:p>
    <w:p w14:paraId="5F72CC43" w14:textId="2BCE4D91" w:rsidR="005A05CB" w:rsidRPr="00503952" w:rsidRDefault="005A05CB" w:rsidP="00503952">
      <w:pPr>
        <w:rPr>
          <w:sz w:val="22"/>
          <w:szCs w:val="22"/>
        </w:rPr>
      </w:pPr>
      <w:r w:rsidRPr="00503952">
        <w:rPr>
          <w:rFonts w:ascii="Arial" w:hAnsi="Arial" w:cs="Arial"/>
          <w:sz w:val="22"/>
          <w:szCs w:val="22"/>
        </w:rPr>
        <w:t>The objective of the safety stopping rules was to stop if the most common adverse events (AEs)</w:t>
      </w:r>
      <w:r w:rsidR="00F6448C" w:rsidRPr="00503952">
        <w:rPr>
          <w:rFonts w:ascii="Arial" w:hAnsi="Arial" w:cs="Arial"/>
          <w:sz w:val="22"/>
          <w:szCs w:val="22"/>
        </w:rPr>
        <w:t xml:space="preserve"> (see </w:t>
      </w:r>
      <w:r w:rsidR="001325E2" w:rsidRPr="00503952">
        <w:rPr>
          <w:rFonts w:ascii="Arial" w:hAnsi="Arial" w:cs="Arial"/>
          <w:sz w:val="22"/>
          <w:szCs w:val="22"/>
        </w:rPr>
        <w:t xml:space="preserve">Supplement </w:t>
      </w:r>
      <w:r w:rsidR="00D62AA7" w:rsidRPr="00503952">
        <w:rPr>
          <w:rFonts w:ascii="Arial" w:hAnsi="Arial" w:cs="Arial"/>
          <w:sz w:val="22"/>
          <w:szCs w:val="22"/>
        </w:rPr>
        <w:t>1</w:t>
      </w:r>
      <w:r w:rsidR="008F2676" w:rsidRPr="00503952">
        <w:rPr>
          <w:rFonts w:ascii="Arial" w:hAnsi="Arial" w:cs="Arial"/>
          <w:sz w:val="22"/>
          <w:szCs w:val="22"/>
        </w:rPr>
        <w:t xml:space="preserve"> </w:t>
      </w:r>
      <w:r w:rsidR="006F06BE" w:rsidRPr="00503952">
        <w:rPr>
          <w:rFonts w:ascii="Arial" w:hAnsi="Arial" w:cs="Arial"/>
          <w:sz w:val="22"/>
          <w:szCs w:val="22"/>
        </w:rPr>
        <w:t xml:space="preserve">– </w:t>
      </w:r>
      <w:r w:rsidR="00F76657" w:rsidRPr="00503952">
        <w:rPr>
          <w:rFonts w:ascii="Arial" w:hAnsi="Arial" w:cs="Arial"/>
          <w:sz w:val="22"/>
          <w:szCs w:val="22"/>
        </w:rPr>
        <w:t xml:space="preserve">Table </w:t>
      </w:r>
      <w:r w:rsidR="00D62AA7" w:rsidRPr="00503952">
        <w:rPr>
          <w:rFonts w:ascii="Arial" w:hAnsi="Arial" w:cs="Arial"/>
          <w:sz w:val="22"/>
          <w:szCs w:val="22"/>
        </w:rPr>
        <w:t>6</w:t>
      </w:r>
      <w:r w:rsidR="00F6448C" w:rsidRPr="00503952">
        <w:rPr>
          <w:rFonts w:ascii="Arial" w:hAnsi="Arial" w:cs="Arial"/>
          <w:sz w:val="22"/>
          <w:szCs w:val="22"/>
        </w:rPr>
        <w:t>)</w:t>
      </w:r>
      <w:r w:rsidRPr="00503952">
        <w:rPr>
          <w:rFonts w:ascii="Arial" w:hAnsi="Arial" w:cs="Arial"/>
          <w:sz w:val="22"/>
          <w:szCs w:val="22"/>
        </w:rPr>
        <w:t xml:space="preserve"> graded as 3 or higher were more frequent in Paclitaxel + TAK228 than in the Paclitaxel alone. </w:t>
      </w:r>
    </w:p>
    <w:p w14:paraId="521307AC" w14:textId="18662AC6" w:rsidR="005A05CB" w:rsidRPr="00503952" w:rsidRDefault="005A05CB">
      <w:pPr>
        <w:rPr>
          <w:rFonts w:ascii="Arial" w:hAnsi="Arial" w:cs="Arial"/>
          <w:sz w:val="22"/>
          <w:szCs w:val="22"/>
        </w:rPr>
      </w:pPr>
      <w:r w:rsidRPr="00503952">
        <w:rPr>
          <w:rFonts w:ascii="Arial" w:hAnsi="Arial" w:cs="Arial"/>
          <w:sz w:val="22"/>
          <w:szCs w:val="22"/>
        </w:rPr>
        <w:t>The threshold for the interim analysis is based on the Pocock sequential approach</w:t>
      </w:r>
      <w:sdt>
        <w:sdtPr>
          <w:rPr>
            <w:rFonts w:ascii="Arial" w:hAnsi="Arial" w:cs="Arial"/>
            <w:sz w:val="22"/>
            <w:szCs w:val="22"/>
          </w:rPr>
          <w:id w:val="-98871641"/>
          <w:citation/>
        </w:sdtPr>
        <w:sdtEndPr/>
        <w:sdtContent>
          <w:r w:rsidR="009A659E" w:rsidRPr="00503952">
            <w:rPr>
              <w:rFonts w:ascii="Arial" w:hAnsi="Arial" w:cs="Arial"/>
              <w:sz w:val="22"/>
              <w:szCs w:val="22"/>
            </w:rPr>
            <w:fldChar w:fldCharType="begin"/>
          </w:r>
          <w:r w:rsidR="009A659E" w:rsidRPr="00503952">
            <w:rPr>
              <w:rFonts w:ascii="Arial" w:hAnsi="Arial" w:cs="Arial"/>
              <w:sz w:val="22"/>
              <w:szCs w:val="22"/>
            </w:rPr>
            <w:instrText xml:space="preserve"> CITATION Jen00 \l 2057 </w:instrText>
          </w:r>
          <w:r w:rsidR="009A659E" w:rsidRPr="00503952">
            <w:rPr>
              <w:rFonts w:ascii="Arial" w:hAnsi="Arial" w:cs="Arial"/>
              <w:sz w:val="22"/>
              <w:szCs w:val="22"/>
            </w:rPr>
            <w:fldChar w:fldCharType="separate"/>
          </w:r>
          <w:r w:rsidR="00547765">
            <w:rPr>
              <w:rFonts w:ascii="Arial" w:hAnsi="Arial" w:cs="Arial"/>
              <w:noProof/>
              <w:sz w:val="22"/>
              <w:szCs w:val="22"/>
            </w:rPr>
            <w:t xml:space="preserve"> </w:t>
          </w:r>
          <w:r w:rsidR="00547765" w:rsidRPr="0070104E">
            <w:rPr>
              <w:rFonts w:ascii="Arial" w:hAnsi="Arial" w:cs="Arial"/>
              <w:noProof/>
              <w:sz w:val="22"/>
              <w:szCs w:val="22"/>
            </w:rPr>
            <w:t>(2)</w:t>
          </w:r>
          <w:r w:rsidR="009A659E" w:rsidRPr="00503952">
            <w:rPr>
              <w:rFonts w:ascii="Arial" w:hAnsi="Arial" w:cs="Arial"/>
              <w:sz w:val="22"/>
              <w:szCs w:val="22"/>
            </w:rPr>
            <w:fldChar w:fldCharType="end"/>
          </w:r>
        </w:sdtContent>
      </w:sdt>
      <w:r w:rsidRPr="00503952">
        <w:rPr>
          <w:rFonts w:ascii="Arial" w:hAnsi="Arial" w:cs="Arial"/>
          <w:sz w:val="22"/>
          <w:szCs w:val="22"/>
        </w:rPr>
        <w:t xml:space="preserve"> to maintain the overall Type I error rate or alpha of 5%. This method was selected as it divides alpha equally amongst the two analyses planned for the DICE trial.</w:t>
      </w:r>
    </w:p>
    <w:p w14:paraId="3F1A2973" w14:textId="73A7E4C4" w:rsidR="005A05CB" w:rsidRPr="00503952" w:rsidRDefault="005A05CB">
      <w:pPr>
        <w:rPr>
          <w:rFonts w:ascii="Arial" w:hAnsi="Arial" w:cs="Arial"/>
          <w:sz w:val="22"/>
          <w:szCs w:val="22"/>
          <w:lang w:eastAsia="en-GB"/>
        </w:rPr>
      </w:pPr>
      <w:r w:rsidRPr="00503952">
        <w:rPr>
          <w:rFonts w:ascii="Arial" w:hAnsi="Arial" w:cs="Arial"/>
          <w:sz w:val="22"/>
          <w:szCs w:val="22"/>
          <w:lang w:eastAsia="en-GB"/>
        </w:rPr>
        <w:t xml:space="preserve">The safety (Pocock) boundaries in Table </w:t>
      </w:r>
      <w:r w:rsidR="0091294B" w:rsidRPr="00503952">
        <w:rPr>
          <w:rFonts w:ascii="Arial" w:hAnsi="Arial" w:cs="Arial"/>
          <w:sz w:val="22"/>
          <w:szCs w:val="22"/>
          <w:lang w:eastAsia="en-GB"/>
        </w:rPr>
        <w:t>A</w:t>
      </w:r>
      <w:r w:rsidRPr="00503952">
        <w:rPr>
          <w:rFonts w:ascii="Arial" w:hAnsi="Arial" w:cs="Arial"/>
          <w:sz w:val="22"/>
          <w:szCs w:val="22"/>
          <w:lang w:eastAsia="en-GB"/>
        </w:rPr>
        <w:t>2 below were obtained using the SEQDESIGN procedure in SAS, using a</w:t>
      </w:r>
      <w:r w:rsidR="0091294B" w:rsidRPr="00503952">
        <w:rPr>
          <w:rFonts w:ascii="Arial" w:hAnsi="Arial" w:cs="Arial"/>
          <w:sz w:val="22"/>
          <w:szCs w:val="22"/>
          <w:lang w:eastAsia="en-GB"/>
        </w:rPr>
        <w:t xml:space="preserve"> significance level</w:t>
      </w:r>
      <w:r w:rsidRPr="00503952">
        <w:rPr>
          <w:rFonts w:ascii="Arial" w:hAnsi="Arial" w:cs="Arial"/>
          <w:sz w:val="22"/>
          <w:szCs w:val="22"/>
          <w:lang w:eastAsia="en-GB"/>
        </w:rPr>
        <w:t xml:space="preserve"> </w:t>
      </w:r>
      <w:r w:rsidR="0091294B" w:rsidRPr="00503952">
        <w:rPr>
          <w:rFonts w:ascii="Arial" w:hAnsi="Arial" w:cs="Arial"/>
          <w:sz w:val="22"/>
          <w:szCs w:val="22"/>
          <w:lang w:eastAsia="en-GB"/>
        </w:rPr>
        <w:t>(</w:t>
      </w:r>
      <w:r w:rsidRPr="00503952">
        <w:rPr>
          <w:rFonts w:ascii="Arial" w:hAnsi="Arial" w:cs="Arial"/>
          <w:sz w:val="22"/>
          <w:szCs w:val="22"/>
          <w:lang w:eastAsia="en-GB"/>
        </w:rPr>
        <w:t>alpha</w:t>
      </w:r>
      <w:r w:rsidR="0091294B" w:rsidRPr="00503952">
        <w:rPr>
          <w:rFonts w:ascii="Arial" w:hAnsi="Arial" w:cs="Arial"/>
          <w:sz w:val="22"/>
          <w:szCs w:val="22"/>
          <w:lang w:eastAsia="en-GB"/>
        </w:rPr>
        <w:t>)</w:t>
      </w:r>
      <w:r w:rsidRPr="00503952">
        <w:rPr>
          <w:rFonts w:ascii="Arial" w:hAnsi="Arial" w:cs="Arial"/>
          <w:sz w:val="22"/>
          <w:szCs w:val="22"/>
          <w:lang w:eastAsia="en-GB"/>
        </w:rPr>
        <w:t xml:space="preserve"> of 5%, and </w:t>
      </w:r>
      <w:r w:rsidR="0091294B" w:rsidRPr="00503952">
        <w:rPr>
          <w:rFonts w:ascii="Arial" w:hAnsi="Arial" w:cs="Arial"/>
          <w:sz w:val="22"/>
          <w:szCs w:val="22"/>
          <w:lang w:eastAsia="en-GB"/>
        </w:rPr>
        <w:t>Type II error (</w:t>
      </w:r>
      <w:r w:rsidRPr="00503952">
        <w:rPr>
          <w:rFonts w:ascii="Arial" w:hAnsi="Arial" w:cs="Arial"/>
          <w:sz w:val="22"/>
          <w:szCs w:val="22"/>
          <w:lang w:eastAsia="en-GB"/>
        </w:rPr>
        <w:t>beta</w:t>
      </w:r>
      <w:r w:rsidR="0091294B" w:rsidRPr="00503952">
        <w:rPr>
          <w:rFonts w:ascii="Arial" w:hAnsi="Arial" w:cs="Arial"/>
          <w:sz w:val="22"/>
          <w:szCs w:val="22"/>
          <w:lang w:eastAsia="en-GB"/>
        </w:rPr>
        <w:t>) of</w:t>
      </w:r>
      <w:r w:rsidRPr="00503952">
        <w:rPr>
          <w:rFonts w:ascii="Arial" w:hAnsi="Arial" w:cs="Arial"/>
          <w:sz w:val="22"/>
          <w:szCs w:val="22"/>
          <w:lang w:eastAsia="en-GB"/>
        </w:rPr>
        <w:t xml:space="preserve"> 10% for a one-sided test.</w:t>
      </w:r>
    </w:p>
    <w:p w14:paraId="69B5040E" w14:textId="5FAC3809" w:rsidR="005A05CB" w:rsidRPr="00503952" w:rsidRDefault="005A05CB" w:rsidP="00503952">
      <w:pPr>
        <w:pStyle w:val="Caption"/>
        <w:rPr>
          <w:rFonts w:ascii="Arial" w:hAnsi="Arial" w:cs="Arial"/>
        </w:rPr>
      </w:pPr>
      <w:r w:rsidRPr="00503952">
        <w:rPr>
          <w:rFonts w:ascii="Arial" w:hAnsi="Arial" w:cs="Arial"/>
        </w:rPr>
        <w:t xml:space="preserve">Table </w:t>
      </w:r>
      <w:r w:rsidR="0091294B" w:rsidRPr="00503952">
        <w:rPr>
          <w:rFonts w:ascii="Arial" w:hAnsi="Arial" w:cs="Arial"/>
        </w:rPr>
        <w:t>A</w:t>
      </w:r>
      <w:r w:rsidR="00D00F8B" w:rsidRPr="00503952">
        <w:rPr>
          <w:rFonts w:ascii="Arial" w:hAnsi="Arial" w:cs="Arial"/>
        </w:rPr>
        <w:t>2</w:t>
      </w:r>
      <w:r w:rsidRPr="00503952">
        <w:rPr>
          <w:rFonts w:ascii="Arial" w:hAnsi="Arial" w:cs="Arial"/>
        </w:rPr>
        <w:t xml:space="preserve"> One-sided (Upper) Safety (toxicity) Stopping Boundaries (Pocock) for </w:t>
      </w:r>
      <w:r w:rsidRPr="00503952">
        <w:rPr>
          <w:rFonts w:ascii="Arial" w:hAnsi="Arial" w:cs="Arial"/>
          <w:lang w:eastAsia="en-GB"/>
        </w:rPr>
        <w:t>the chi-square test for Rejecting the Null hypothesis (H</w:t>
      </w:r>
      <w:r w:rsidRPr="00503952">
        <w:rPr>
          <w:rFonts w:ascii="Arial" w:hAnsi="Arial" w:cs="Arial"/>
          <w:vertAlign w:val="subscript"/>
          <w:lang w:eastAsia="en-GB"/>
        </w:rPr>
        <w:t>0</w:t>
      </w:r>
      <w:r w:rsidRPr="00503952">
        <w:rPr>
          <w:rFonts w:ascii="Arial" w:hAnsi="Arial" w:cs="Arial"/>
          <w:lang w:eastAsia="en-GB"/>
        </w:rPr>
        <w:t>)</w:t>
      </w:r>
      <w:r w:rsidRPr="00503952">
        <w:rPr>
          <w:rFonts w:ascii="Arial" w:hAnsi="Arial" w:cs="Arial"/>
        </w:rPr>
        <w:t xml:space="preserve"> </w:t>
      </w:r>
    </w:p>
    <w:tbl>
      <w:tblPr>
        <w:tblW w:w="9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9"/>
        <w:gridCol w:w="2427"/>
        <w:gridCol w:w="1886"/>
        <w:gridCol w:w="3318"/>
      </w:tblGrid>
      <w:tr w:rsidR="005A05CB" w:rsidRPr="0070104E" w14:paraId="39ACEF7E" w14:textId="77777777" w:rsidTr="00242B32">
        <w:trPr>
          <w:trHeight w:val="65"/>
        </w:trPr>
        <w:tc>
          <w:tcPr>
            <w:tcW w:w="1919" w:type="dxa"/>
            <w:shd w:val="clear" w:color="auto" w:fill="auto"/>
          </w:tcPr>
          <w:p w14:paraId="606980C6" w14:textId="2283AEE5" w:rsidR="005A05CB" w:rsidRPr="0070104E" w:rsidRDefault="005A05CB" w:rsidP="00503952">
            <w:pPr>
              <w:spacing w:line="240" w:lineRule="auto"/>
              <w:rPr>
                <w:rFonts w:ascii="Arial" w:hAnsi="Arial" w:cs="Arial"/>
                <w:sz w:val="22"/>
                <w:szCs w:val="22"/>
              </w:rPr>
            </w:pPr>
            <w:r w:rsidRPr="0070104E">
              <w:rPr>
                <w:rFonts w:ascii="Arial" w:hAnsi="Arial" w:cs="Arial"/>
                <w:sz w:val="22"/>
                <w:szCs w:val="22"/>
              </w:rPr>
              <w:t xml:space="preserve">Analysis Number </w:t>
            </w:r>
          </w:p>
        </w:tc>
        <w:tc>
          <w:tcPr>
            <w:tcW w:w="2427" w:type="dxa"/>
          </w:tcPr>
          <w:p w14:paraId="4A7E1727" w14:textId="77777777" w:rsidR="005A05CB" w:rsidRPr="0070104E" w:rsidRDefault="005A05CB">
            <w:pPr>
              <w:spacing w:line="240" w:lineRule="auto"/>
              <w:rPr>
                <w:rFonts w:ascii="Arial" w:hAnsi="Arial" w:cs="Arial"/>
                <w:sz w:val="22"/>
                <w:szCs w:val="22"/>
              </w:rPr>
            </w:pPr>
            <w:r w:rsidRPr="0070104E">
              <w:rPr>
                <w:rFonts w:ascii="Arial" w:hAnsi="Arial" w:cs="Arial"/>
                <w:sz w:val="22"/>
                <w:szCs w:val="22"/>
              </w:rPr>
              <w:t>Number of Events (% Information)</w:t>
            </w:r>
          </w:p>
        </w:tc>
        <w:tc>
          <w:tcPr>
            <w:tcW w:w="1886" w:type="dxa"/>
          </w:tcPr>
          <w:p w14:paraId="624B0A3C" w14:textId="49C13EFD" w:rsidR="005A05CB" w:rsidRPr="0070104E" w:rsidRDefault="005A05CB">
            <w:pPr>
              <w:spacing w:line="240" w:lineRule="auto"/>
              <w:rPr>
                <w:rFonts w:ascii="Arial" w:hAnsi="Arial" w:cs="Arial"/>
                <w:sz w:val="22"/>
                <w:szCs w:val="22"/>
              </w:rPr>
            </w:pPr>
            <w:r w:rsidRPr="0070104E">
              <w:rPr>
                <w:rFonts w:ascii="Arial" w:hAnsi="Arial" w:cs="Arial"/>
                <w:sz w:val="22"/>
                <w:szCs w:val="22"/>
              </w:rPr>
              <w:t>Standardize</w:t>
            </w:r>
            <w:r w:rsidR="002E70C0" w:rsidRPr="0070104E">
              <w:rPr>
                <w:rFonts w:ascii="Arial" w:hAnsi="Arial" w:cs="Arial"/>
                <w:sz w:val="22"/>
                <w:szCs w:val="22"/>
              </w:rPr>
              <w:t>d</w:t>
            </w:r>
            <w:r w:rsidRPr="0070104E">
              <w:rPr>
                <w:rFonts w:ascii="Arial" w:hAnsi="Arial" w:cs="Arial"/>
                <w:sz w:val="22"/>
                <w:szCs w:val="22"/>
              </w:rPr>
              <w:t xml:space="preserve"> boundary</w:t>
            </w:r>
            <w:r w:rsidRPr="0070104E">
              <w:rPr>
                <w:rFonts w:ascii="Arial" w:hAnsi="Arial" w:cs="Arial"/>
                <w:sz w:val="22"/>
                <w:szCs w:val="22"/>
                <w:vertAlign w:val="superscript"/>
              </w:rPr>
              <w:t>1</w:t>
            </w:r>
          </w:p>
        </w:tc>
        <w:tc>
          <w:tcPr>
            <w:tcW w:w="3318" w:type="dxa"/>
            <w:shd w:val="clear" w:color="auto" w:fill="auto"/>
          </w:tcPr>
          <w:p w14:paraId="73D47C2E" w14:textId="77777777" w:rsidR="005A05CB" w:rsidRPr="0070104E" w:rsidRDefault="005A05CB">
            <w:pPr>
              <w:spacing w:line="240" w:lineRule="auto"/>
              <w:rPr>
                <w:rFonts w:ascii="Arial" w:hAnsi="Arial" w:cs="Arial"/>
                <w:sz w:val="22"/>
                <w:szCs w:val="22"/>
              </w:rPr>
            </w:pPr>
            <w:r w:rsidRPr="0070104E">
              <w:rPr>
                <w:rFonts w:ascii="Arial" w:hAnsi="Arial" w:cs="Arial"/>
                <w:sz w:val="22"/>
                <w:szCs w:val="22"/>
                <w:vertAlign w:val="superscript"/>
              </w:rPr>
              <w:t>2</w:t>
            </w:r>
            <w:r w:rsidRPr="0070104E">
              <w:rPr>
                <w:rFonts w:ascii="Arial" w:hAnsi="Arial" w:cs="Arial"/>
                <w:sz w:val="22"/>
                <w:szCs w:val="22"/>
              </w:rPr>
              <w:t>Nominal Significance level (alpha (Type I error))</w:t>
            </w:r>
          </w:p>
        </w:tc>
      </w:tr>
      <w:tr w:rsidR="005A05CB" w:rsidRPr="0070104E" w14:paraId="0CDABE4A" w14:textId="77777777" w:rsidTr="00242B32">
        <w:trPr>
          <w:trHeight w:val="61"/>
        </w:trPr>
        <w:tc>
          <w:tcPr>
            <w:tcW w:w="1919" w:type="dxa"/>
            <w:shd w:val="clear" w:color="auto" w:fill="auto"/>
          </w:tcPr>
          <w:p w14:paraId="3A6C7523" w14:textId="77777777" w:rsidR="005A05CB" w:rsidRPr="0070104E" w:rsidRDefault="005A05CB">
            <w:pPr>
              <w:spacing w:line="240" w:lineRule="auto"/>
              <w:rPr>
                <w:rFonts w:ascii="Arial" w:hAnsi="Arial" w:cs="Arial"/>
                <w:sz w:val="22"/>
                <w:szCs w:val="22"/>
              </w:rPr>
            </w:pPr>
            <w:r w:rsidRPr="0070104E">
              <w:rPr>
                <w:rFonts w:ascii="Arial" w:hAnsi="Arial" w:cs="Arial"/>
                <w:sz w:val="22"/>
                <w:szCs w:val="22"/>
              </w:rPr>
              <w:t>1(Interim)</w:t>
            </w:r>
          </w:p>
        </w:tc>
        <w:tc>
          <w:tcPr>
            <w:tcW w:w="2427" w:type="dxa"/>
          </w:tcPr>
          <w:p w14:paraId="6DD69AAD" w14:textId="77777777" w:rsidR="005A05CB" w:rsidRPr="0070104E" w:rsidRDefault="005A05CB">
            <w:pPr>
              <w:spacing w:line="240" w:lineRule="auto"/>
              <w:rPr>
                <w:rFonts w:ascii="Arial" w:hAnsi="Arial" w:cs="Arial"/>
                <w:sz w:val="22"/>
                <w:szCs w:val="22"/>
              </w:rPr>
            </w:pPr>
            <w:r w:rsidRPr="0070104E">
              <w:rPr>
                <w:rFonts w:ascii="Arial" w:hAnsi="Arial" w:cs="Arial"/>
                <w:sz w:val="22"/>
                <w:szCs w:val="22"/>
              </w:rPr>
              <w:t xml:space="preserve">49 </w:t>
            </w:r>
          </w:p>
        </w:tc>
        <w:tc>
          <w:tcPr>
            <w:tcW w:w="1886" w:type="dxa"/>
          </w:tcPr>
          <w:p w14:paraId="5CF8CC51" w14:textId="77777777" w:rsidR="005A05CB" w:rsidRPr="0070104E" w:rsidRDefault="005A05CB">
            <w:pPr>
              <w:spacing w:line="240" w:lineRule="auto"/>
              <w:rPr>
                <w:rFonts w:ascii="Arial" w:hAnsi="Arial" w:cs="Arial"/>
                <w:sz w:val="22"/>
                <w:szCs w:val="22"/>
              </w:rPr>
            </w:pPr>
            <w:r w:rsidRPr="0070104E">
              <w:rPr>
                <w:rFonts w:ascii="Arial" w:hAnsi="Arial" w:cs="Arial"/>
                <w:sz w:val="22"/>
                <w:szCs w:val="22"/>
              </w:rPr>
              <w:t>1.87542</w:t>
            </w:r>
          </w:p>
        </w:tc>
        <w:tc>
          <w:tcPr>
            <w:tcW w:w="3318" w:type="dxa"/>
            <w:shd w:val="clear" w:color="auto" w:fill="auto"/>
          </w:tcPr>
          <w:p w14:paraId="4FC327CD" w14:textId="77777777" w:rsidR="005A05CB" w:rsidRPr="0070104E" w:rsidRDefault="005A05CB">
            <w:pPr>
              <w:spacing w:line="240" w:lineRule="auto"/>
              <w:rPr>
                <w:rFonts w:ascii="Arial" w:hAnsi="Arial" w:cs="Arial"/>
                <w:sz w:val="22"/>
                <w:szCs w:val="22"/>
              </w:rPr>
            </w:pPr>
            <w:r w:rsidRPr="0070104E">
              <w:rPr>
                <w:rFonts w:ascii="Arial" w:hAnsi="Arial" w:cs="Arial"/>
                <w:sz w:val="22"/>
                <w:szCs w:val="22"/>
              </w:rPr>
              <w:t>0.03037</w:t>
            </w:r>
          </w:p>
        </w:tc>
      </w:tr>
      <w:tr w:rsidR="005A05CB" w:rsidRPr="0070104E" w14:paraId="10755DDB" w14:textId="77777777" w:rsidTr="00242B32">
        <w:trPr>
          <w:trHeight w:val="65"/>
        </w:trPr>
        <w:tc>
          <w:tcPr>
            <w:tcW w:w="1919" w:type="dxa"/>
            <w:shd w:val="clear" w:color="auto" w:fill="auto"/>
          </w:tcPr>
          <w:p w14:paraId="3EC2D60E" w14:textId="77777777" w:rsidR="005A05CB" w:rsidRPr="0070104E" w:rsidRDefault="005A05CB">
            <w:pPr>
              <w:spacing w:line="240" w:lineRule="auto"/>
              <w:rPr>
                <w:rFonts w:ascii="Arial" w:hAnsi="Arial" w:cs="Arial"/>
                <w:sz w:val="22"/>
                <w:szCs w:val="22"/>
              </w:rPr>
            </w:pPr>
            <w:r w:rsidRPr="0070104E">
              <w:rPr>
                <w:rFonts w:ascii="Arial" w:hAnsi="Arial" w:cs="Arial"/>
                <w:sz w:val="22"/>
                <w:szCs w:val="22"/>
              </w:rPr>
              <w:t>2(Final)</w:t>
            </w:r>
          </w:p>
        </w:tc>
        <w:tc>
          <w:tcPr>
            <w:tcW w:w="2427" w:type="dxa"/>
          </w:tcPr>
          <w:p w14:paraId="539AA144" w14:textId="77777777" w:rsidR="005A05CB" w:rsidRPr="0070104E" w:rsidRDefault="005A05CB">
            <w:pPr>
              <w:spacing w:line="240" w:lineRule="auto"/>
              <w:rPr>
                <w:rFonts w:ascii="Arial" w:hAnsi="Arial" w:cs="Arial"/>
                <w:sz w:val="22"/>
                <w:szCs w:val="22"/>
              </w:rPr>
            </w:pPr>
            <w:r w:rsidRPr="0070104E">
              <w:rPr>
                <w:rFonts w:ascii="Arial" w:hAnsi="Arial" w:cs="Arial"/>
                <w:sz w:val="22"/>
                <w:szCs w:val="22"/>
              </w:rPr>
              <w:t xml:space="preserve">102 </w:t>
            </w:r>
          </w:p>
        </w:tc>
        <w:tc>
          <w:tcPr>
            <w:tcW w:w="1886" w:type="dxa"/>
          </w:tcPr>
          <w:p w14:paraId="6E2980CC" w14:textId="77777777" w:rsidR="005A05CB" w:rsidRPr="0070104E" w:rsidRDefault="005A05CB">
            <w:pPr>
              <w:spacing w:line="240" w:lineRule="auto"/>
              <w:rPr>
                <w:rFonts w:ascii="Arial" w:hAnsi="Arial" w:cs="Arial"/>
                <w:sz w:val="22"/>
                <w:szCs w:val="22"/>
              </w:rPr>
            </w:pPr>
            <w:r w:rsidRPr="0070104E">
              <w:rPr>
                <w:rFonts w:ascii="Arial" w:hAnsi="Arial" w:cs="Arial"/>
                <w:sz w:val="22"/>
                <w:szCs w:val="22"/>
              </w:rPr>
              <w:t>1.87542</w:t>
            </w:r>
          </w:p>
        </w:tc>
        <w:tc>
          <w:tcPr>
            <w:tcW w:w="3318" w:type="dxa"/>
            <w:shd w:val="clear" w:color="auto" w:fill="auto"/>
          </w:tcPr>
          <w:p w14:paraId="493EFCCF" w14:textId="77777777" w:rsidR="005A05CB" w:rsidRPr="0070104E" w:rsidRDefault="005A05CB">
            <w:pPr>
              <w:spacing w:line="240" w:lineRule="auto"/>
              <w:rPr>
                <w:rFonts w:ascii="Arial" w:hAnsi="Arial" w:cs="Arial"/>
                <w:sz w:val="22"/>
                <w:szCs w:val="22"/>
              </w:rPr>
            </w:pPr>
            <w:r w:rsidRPr="0070104E">
              <w:rPr>
                <w:rFonts w:ascii="Arial" w:hAnsi="Arial" w:cs="Arial"/>
                <w:sz w:val="22"/>
                <w:szCs w:val="22"/>
              </w:rPr>
              <w:t>0.03037</w:t>
            </w:r>
          </w:p>
        </w:tc>
      </w:tr>
    </w:tbl>
    <w:p w14:paraId="019E4712" w14:textId="77777777" w:rsidR="005A05CB" w:rsidRPr="00503952" w:rsidRDefault="005A05CB" w:rsidP="00503952">
      <w:pPr>
        <w:rPr>
          <w:rFonts w:ascii="Arial" w:hAnsi="Arial" w:cs="Arial"/>
          <w:sz w:val="22"/>
          <w:szCs w:val="22"/>
          <w:lang w:eastAsia="en-GB"/>
        </w:rPr>
      </w:pPr>
      <w:r w:rsidRPr="00503952">
        <w:rPr>
          <w:rFonts w:ascii="Arial" w:hAnsi="Arial" w:cs="Arial"/>
          <w:sz w:val="22"/>
          <w:szCs w:val="22"/>
          <w:vertAlign w:val="superscript"/>
          <w:lang w:eastAsia="en-GB"/>
        </w:rPr>
        <w:t xml:space="preserve">1 </w:t>
      </w:r>
      <w:r w:rsidRPr="00503952">
        <w:rPr>
          <w:rFonts w:ascii="Arial" w:hAnsi="Arial" w:cs="Arial"/>
          <w:sz w:val="22"/>
          <w:szCs w:val="22"/>
          <w:lang w:eastAsia="en-GB"/>
        </w:rPr>
        <w:t>Pocock method to reject Ho</w:t>
      </w:r>
    </w:p>
    <w:p w14:paraId="7D472019" w14:textId="77777777" w:rsidR="00393C1A" w:rsidRDefault="00393C1A">
      <w:pPr>
        <w:rPr>
          <w:rFonts w:ascii="Arial" w:hAnsi="Arial" w:cs="Arial"/>
          <w:sz w:val="22"/>
          <w:szCs w:val="22"/>
        </w:rPr>
      </w:pPr>
    </w:p>
    <w:p w14:paraId="30192CF8" w14:textId="30D94D2D" w:rsidR="005A05CB" w:rsidRPr="00503952" w:rsidRDefault="005A05CB">
      <w:pPr>
        <w:rPr>
          <w:rFonts w:ascii="Arial" w:hAnsi="Arial" w:cs="Arial"/>
          <w:sz w:val="22"/>
          <w:szCs w:val="22"/>
        </w:rPr>
      </w:pPr>
      <w:r w:rsidRPr="00503952">
        <w:rPr>
          <w:rFonts w:ascii="Arial" w:hAnsi="Arial" w:cs="Arial"/>
          <w:sz w:val="22"/>
          <w:szCs w:val="22"/>
        </w:rPr>
        <w:t>The safety (toxicity) analysis was conducted using the significance level (alpha) of 0.03037 for the interim (49 PFS cases) and with a significance level (alpha) of 0.03037 for the final analysis (102 PFS cases). Stopping the trial early for safety (toxicity) is considered if the p-value of the Chi-square test comparing the proportions of the most common AEs</w:t>
      </w:r>
      <w:r w:rsidR="00931405" w:rsidRPr="00503952">
        <w:rPr>
          <w:rFonts w:ascii="Arial" w:hAnsi="Arial" w:cs="Arial"/>
          <w:sz w:val="22"/>
          <w:szCs w:val="22"/>
        </w:rPr>
        <w:t xml:space="preserve"> (see </w:t>
      </w:r>
      <w:r w:rsidR="00F15084" w:rsidRPr="00503952">
        <w:rPr>
          <w:rFonts w:ascii="Arial" w:hAnsi="Arial" w:cs="Arial"/>
          <w:sz w:val="22"/>
          <w:szCs w:val="22"/>
        </w:rPr>
        <w:t xml:space="preserve">Supplement </w:t>
      </w:r>
      <w:r w:rsidR="005129CC">
        <w:rPr>
          <w:rFonts w:ascii="Arial" w:hAnsi="Arial" w:cs="Arial"/>
          <w:sz w:val="22"/>
          <w:szCs w:val="22"/>
        </w:rPr>
        <w:t>1</w:t>
      </w:r>
      <w:r w:rsidR="005129CC" w:rsidRPr="00503952">
        <w:rPr>
          <w:rFonts w:ascii="Arial" w:hAnsi="Arial" w:cs="Arial"/>
          <w:sz w:val="22"/>
          <w:szCs w:val="22"/>
        </w:rPr>
        <w:t xml:space="preserve"> </w:t>
      </w:r>
      <w:r w:rsidR="00F76657" w:rsidRPr="00503952">
        <w:rPr>
          <w:rFonts w:ascii="Arial" w:hAnsi="Arial" w:cs="Arial"/>
          <w:sz w:val="22"/>
          <w:szCs w:val="22"/>
        </w:rPr>
        <w:t xml:space="preserve">– Table </w:t>
      </w:r>
      <w:r w:rsidR="005129CC">
        <w:rPr>
          <w:rFonts w:ascii="Arial" w:hAnsi="Arial" w:cs="Arial"/>
          <w:sz w:val="22"/>
          <w:szCs w:val="22"/>
        </w:rPr>
        <w:t>6</w:t>
      </w:r>
      <w:r w:rsidR="00931405" w:rsidRPr="00503952">
        <w:rPr>
          <w:rFonts w:ascii="Arial" w:hAnsi="Arial" w:cs="Arial"/>
          <w:sz w:val="22"/>
          <w:szCs w:val="22"/>
        </w:rPr>
        <w:t>)</w:t>
      </w:r>
      <w:r w:rsidRPr="00503952">
        <w:rPr>
          <w:rFonts w:ascii="Arial" w:hAnsi="Arial" w:cs="Arial"/>
          <w:sz w:val="22"/>
          <w:szCs w:val="22"/>
        </w:rPr>
        <w:t xml:space="preserve"> graded as 3 or higher between </w:t>
      </w:r>
      <w:r w:rsidR="00633D2F">
        <w:rPr>
          <w:rFonts w:ascii="Arial" w:hAnsi="Arial" w:cs="Arial"/>
          <w:sz w:val="22"/>
          <w:szCs w:val="22"/>
        </w:rPr>
        <w:t>paclitaxel alone vs paclitaxel plus TAK228</w:t>
      </w:r>
      <w:r w:rsidRPr="00503952">
        <w:rPr>
          <w:rFonts w:ascii="Arial" w:hAnsi="Arial" w:cs="Arial"/>
          <w:sz w:val="22"/>
          <w:szCs w:val="22"/>
        </w:rPr>
        <w:t xml:space="preserve"> is less than the significance level (alpha) boundary (rejecting the null hypothesis) at the interim analysis.</w:t>
      </w:r>
    </w:p>
    <w:p w14:paraId="6BAB74DE" w14:textId="1B7283DA" w:rsidR="00931405" w:rsidRPr="00503952" w:rsidRDefault="008E7E66" w:rsidP="00503952">
      <w:pPr>
        <w:pStyle w:val="Heading1"/>
        <w:rPr>
          <w:rFonts w:ascii="Arial" w:hAnsi="Arial" w:cs="Arial"/>
        </w:rPr>
      </w:pPr>
      <w:r w:rsidRPr="00503952">
        <w:rPr>
          <w:rFonts w:ascii="Arial" w:hAnsi="Arial" w:cs="Arial"/>
        </w:rPr>
        <w:lastRenderedPageBreak/>
        <w:t xml:space="preserve">Statistical </w:t>
      </w:r>
      <w:r w:rsidR="00644294">
        <w:rPr>
          <w:rFonts w:ascii="Arial" w:hAnsi="Arial" w:cs="Arial"/>
        </w:rPr>
        <w:t>m</w:t>
      </w:r>
      <w:r w:rsidRPr="00503952">
        <w:rPr>
          <w:rFonts w:ascii="Arial" w:hAnsi="Arial" w:cs="Arial"/>
        </w:rPr>
        <w:t>ethodology</w:t>
      </w:r>
    </w:p>
    <w:p w14:paraId="105C7585" w14:textId="0F7B47F1" w:rsidR="004870D9" w:rsidRPr="00503952" w:rsidRDefault="004870D9" w:rsidP="0070104E">
      <w:pPr>
        <w:pStyle w:val="Heading2"/>
      </w:pPr>
      <w:bookmarkStart w:id="8" w:name="_Toc51339644"/>
      <w:r w:rsidRPr="00DE1E40">
        <w:t xml:space="preserve">Primary </w:t>
      </w:r>
      <w:r w:rsidR="008136C0" w:rsidRPr="00DE1E40">
        <w:t>e</w:t>
      </w:r>
      <w:r w:rsidRPr="00503952">
        <w:t xml:space="preserve">ndpoint </w:t>
      </w:r>
      <w:r w:rsidR="008136C0" w:rsidRPr="00503952">
        <w:t>a</w:t>
      </w:r>
      <w:r w:rsidRPr="00503952">
        <w:t>nalysis</w:t>
      </w:r>
      <w:bookmarkEnd w:id="8"/>
    </w:p>
    <w:p w14:paraId="4615396C" w14:textId="395C370E" w:rsidR="004870D9" w:rsidRPr="00503952" w:rsidRDefault="004870D9" w:rsidP="00503952">
      <w:pPr>
        <w:rPr>
          <w:sz w:val="22"/>
          <w:szCs w:val="22"/>
        </w:rPr>
      </w:pPr>
      <w:r w:rsidRPr="00503952">
        <w:rPr>
          <w:rFonts w:ascii="Arial" w:hAnsi="Arial" w:cs="Arial"/>
          <w:sz w:val="22"/>
          <w:szCs w:val="22"/>
        </w:rPr>
        <w:t>We use</w:t>
      </w:r>
      <w:r w:rsidR="00C33435" w:rsidRPr="00503952">
        <w:rPr>
          <w:rFonts w:ascii="Arial" w:hAnsi="Arial" w:cs="Arial"/>
          <w:sz w:val="22"/>
          <w:szCs w:val="22"/>
        </w:rPr>
        <w:t>d</w:t>
      </w:r>
      <w:r w:rsidRPr="00503952">
        <w:rPr>
          <w:rFonts w:ascii="Arial" w:hAnsi="Arial" w:cs="Arial"/>
          <w:sz w:val="22"/>
          <w:szCs w:val="22"/>
        </w:rPr>
        <w:t xml:space="preserve"> the Kaplan Meier method to estimate </w:t>
      </w:r>
      <w:r w:rsidR="00C33435" w:rsidRPr="00503952">
        <w:rPr>
          <w:rFonts w:ascii="Arial" w:hAnsi="Arial" w:cs="Arial"/>
          <w:sz w:val="22"/>
          <w:szCs w:val="22"/>
        </w:rPr>
        <w:t xml:space="preserve">the overall </w:t>
      </w:r>
      <w:r w:rsidRPr="00503952">
        <w:rPr>
          <w:rFonts w:ascii="Arial" w:hAnsi="Arial" w:cs="Arial"/>
          <w:sz w:val="22"/>
          <w:szCs w:val="22"/>
        </w:rPr>
        <w:t xml:space="preserve">PFS. </w:t>
      </w:r>
    </w:p>
    <w:p w14:paraId="3748B05D" w14:textId="6FED6EDD" w:rsidR="004870D9" w:rsidRPr="00503952" w:rsidRDefault="004870D9">
      <w:pPr>
        <w:rPr>
          <w:rFonts w:ascii="Arial" w:hAnsi="Arial" w:cs="Arial"/>
          <w:sz w:val="22"/>
          <w:szCs w:val="22"/>
        </w:rPr>
      </w:pPr>
      <w:r w:rsidRPr="00503952">
        <w:rPr>
          <w:rFonts w:ascii="Arial" w:hAnsi="Arial" w:cs="Arial"/>
          <w:sz w:val="22"/>
          <w:szCs w:val="22"/>
        </w:rPr>
        <w:t xml:space="preserve">PFS </w:t>
      </w:r>
      <w:r w:rsidR="00C33435" w:rsidRPr="00503952">
        <w:rPr>
          <w:rFonts w:ascii="Arial" w:hAnsi="Arial" w:cs="Arial"/>
          <w:sz w:val="22"/>
          <w:szCs w:val="22"/>
        </w:rPr>
        <w:t>was</w:t>
      </w:r>
      <w:r w:rsidRPr="00503952">
        <w:rPr>
          <w:rFonts w:ascii="Arial" w:hAnsi="Arial" w:cs="Arial"/>
          <w:sz w:val="22"/>
          <w:szCs w:val="22"/>
        </w:rPr>
        <w:t xml:space="preserve"> censored for patients who:</w:t>
      </w:r>
    </w:p>
    <w:p w14:paraId="7AA2A83D" w14:textId="07403D99" w:rsidR="004870D9" w:rsidRPr="00503952" w:rsidRDefault="004870D9" w:rsidP="00503952">
      <w:pPr>
        <w:pStyle w:val="ListParagraph"/>
        <w:numPr>
          <w:ilvl w:val="0"/>
          <w:numId w:val="1"/>
        </w:numPr>
        <w:rPr>
          <w:rFonts w:ascii="Arial" w:hAnsi="Arial" w:cs="Arial"/>
          <w:sz w:val="22"/>
          <w:szCs w:val="22"/>
        </w:rPr>
      </w:pPr>
      <w:r w:rsidRPr="00503952">
        <w:rPr>
          <w:rFonts w:ascii="Arial" w:hAnsi="Arial" w:cs="Arial"/>
          <w:sz w:val="22"/>
          <w:szCs w:val="22"/>
        </w:rPr>
        <w:t>Ha</w:t>
      </w:r>
      <w:r w:rsidR="0091294B" w:rsidRPr="00503952">
        <w:rPr>
          <w:rFonts w:ascii="Arial" w:hAnsi="Arial" w:cs="Arial"/>
          <w:sz w:val="22"/>
          <w:szCs w:val="22"/>
        </w:rPr>
        <w:t>d</w:t>
      </w:r>
      <w:r w:rsidRPr="00503952">
        <w:rPr>
          <w:rFonts w:ascii="Arial" w:hAnsi="Arial" w:cs="Arial"/>
          <w:sz w:val="22"/>
          <w:szCs w:val="22"/>
        </w:rPr>
        <w:t xml:space="preserve"> no baseline disease assessment</w:t>
      </w:r>
      <w:r w:rsidR="00C33435" w:rsidRPr="00503952">
        <w:rPr>
          <w:rFonts w:ascii="Arial" w:hAnsi="Arial" w:cs="Arial"/>
          <w:sz w:val="22"/>
          <w:szCs w:val="22"/>
        </w:rPr>
        <w:t xml:space="preserve"> (right</w:t>
      </w:r>
      <w:r w:rsidR="0091294B" w:rsidRPr="00503952">
        <w:rPr>
          <w:rFonts w:ascii="Arial" w:hAnsi="Arial" w:cs="Arial"/>
          <w:sz w:val="22"/>
          <w:szCs w:val="22"/>
        </w:rPr>
        <w:t xml:space="preserve"> censored</w:t>
      </w:r>
      <w:r w:rsidR="00C33435" w:rsidRPr="00503952">
        <w:rPr>
          <w:rFonts w:ascii="Arial" w:hAnsi="Arial" w:cs="Arial"/>
          <w:sz w:val="22"/>
          <w:szCs w:val="22"/>
        </w:rPr>
        <w:t>)</w:t>
      </w:r>
    </w:p>
    <w:p w14:paraId="4D1D1ECD" w14:textId="493DE416" w:rsidR="004870D9" w:rsidRPr="00503952" w:rsidRDefault="004870D9">
      <w:pPr>
        <w:pStyle w:val="ListParagraph"/>
        <w:numPr>
          <w:ilvl w:val="0"/>
          <w:numId w:val="1"/>
        </w:numPr>
        <w:rPr>
          <w:rFonts w:ascii="Arial" w:hAnsi="Arial" w:cs="Arial"/>
          <w:sz w:val="22"/>
          <w:szCs w:val="22"/>
        </w:rPr>
      </w:pPr>
      <w:r w:rsidRPr="00503952">
        <w:rPr>
          <w:rFonts w:ascii="Arial" w:hAnsi="Arial" w:cs="Arial"/>
          <w:sz w:val="22"/>
          <w:szCs w:val="22"/>
        </w:rPr>
        <w:t>Die</w:t>
      </w:r>
      <w:r w:rsidR="0091294B" w:rsidRPr="00503952">
        <w:rPr>
          <w:rFonts w:ascii="Arial" w:hAnsi="Arial" w:cs="Arial"/>
          <w:sz w:val="22"/>
          <w:szCs w:val="22"/>
        </w:rPr>
        <w:t>d</w:t>
      </w:r>
      <w:r w:rsidRPr="00503952">
        <w:rPr>
          <w:rFonts w:ascii="Arial" w:hAnsi="Arial" w:cs="Arial"/>
          <w:sz w:val="22"/>
          <w:szCs w:val="22"/>
        </w:rPr>
        <w:t xml:space="preserve"> from any cause or experience</w:t>
      </w:r>
      <w:r w:rsidR="0091294B" w:rsidRPr="00503952">
        <w:rPr>
          <w:rFonts w:ascii="Arial" w:hAnsi="Arial" w:cs="Arial"/>
          <w:sz w:val="22"/>
          <w:szCs w:val="22"/>
        </w:rPr>
        <w:t>d</w:t>
      </w:r>
      <w:r w:rsidRPr="00503952">
        <w:rPr>
          <w:rFonts w:ascii="Arial" w:hAnsi="Arial" w:cs="Arial"/>
          <w:sz w:val="22"/>
          <w:szCs w:val="22"/>
        </w:rPr>
        <w:t xml:space="preserve"> disease progression after more than one missed disease assessment visit</w:t>
      </w:r>
      <w:r w:rsidR="00C33435" w:rsidRPr="00503952">
        <w:rPr>
          <w:rFonts w:ascii="Arial" w:hAnsi="Arial" w:cs="Arial"/>
          <w:sz w:val="22"/>
          <w:szCs w:val="22"/>
        </w:rPr>
        <w:t xml:space="preserve"> (left</w:t>
      </w:r>
      <w:r w:rsidR="0091294B" w:rsidRPr="00503952">
        <w:rPr>
          <w:rFonts w:ascii="Arial" w:hAnsi="Arial" w:cs="Arial"/>
          <w:sz w:val="22"/>
          <w:szCs w:val="22"/>
        </w:rPr>
        <w:t xml:space="preserve"> censored</w:t>
      </w:r>
      <w:r w:rsidR="00C33435" w:rsidRPr="00503952">
        <w:rPr>
          <w:rFonts w:ascii="Arial" w:hAnsi="Arial" w:cs="Arial"/>
          <w:sz w:val="22"/>
          <w:szCs w:val="22"/>
        </w:rPr>
        <w:t>)</w:t>
      </w:r>
    </w:p>
    <w:p w14:paraId="71337503" w14:textId="60544AA8" w:rsidR="004870D9" w:rsidRPr="00503952" w:rsidRDefault="0091294B">
      <w:pPr>
        <w:pStyle w:val="ListParagraph"/>
        <w:numPr>
          <w:ilvl w:val="0"/>
          <w:numId w:val="1"/>
        </w:numPr>
        <w:rPr>
          <w:rFonts w:ascii="Arial" w:hAnsi="Arial" w:cs="Arial"/>
          <w:sz w:val="22"/>
          <w:szCs w:val="22"/>
        </w:rPr>
      </w:pPr>
      <w:r w:rsidRPr="00503952">
        <w:rPr>
          <w:rFonts w:ascii="Arial" w:hAnsi="Arial" w:cs="Arial"/>
          <w:sz w:val="22"/>
          <w:szCs w:val="22"/>
        </w:rPr>
        <w:t>Were</w:t>
      </w:r>
      <w:r w:rsidR="004870D9" w:rsidRPr="00503952">
        <w:rPr>
          <w:rFonts w:ascii="Arial" w:hAnsi="Arial" w:cs="Arial"/>
          <w:sz w:val="22"/>
          <w:szCs w:val="22"/>
        </w:rPr>
        <w:t xml:space="preserve"> alive and d</w:t>
      </w:r>
      <w:r w:rsidRPr="00503952">
        <w:rPr>
          <w:rFonts w:ascii="Arial" w:hAnsi="Arial" w:cs="Arial"/>
          <w:sz w:val="22"/>
          <w:szCs w:val="22"/>
        </w:rPr>
        <w:t>id</w:t>
      </w:r>
      <w:r w:rsidR="004870D9" w:rsidRPr="00503952">
        <w:rPr>
          <w:rFonts w:ascii="Arial" w:hAnsi="Arial" w:cs="Arial"/>
          <w:sz w:val="22"/>
          <w:szCs w:val="22"/>
        </w:rPr>
        <w:t xml:space="preserve"> not have documentation of disease progression before the data analysis cut-off date</w:t>
      </w:r>
      <w:r w:rsidR="00C33435" w:rsidRPr="00503952">
        <w:rPr>
          <w:rFonts w:ascii="Arial" w:hAnsi="Arial" w:cs="Arial"/>
          <w:sz w:val="22"/>
          <w:szCs w:val="22"/>
        </w:rPr>
        <w:t xml:space="preserve"> (left</w:t>
      </w:r>
      <w:r w:rsidRPr="00503952">
        <w:rPr>
          <w:rFonts w:ascii="Arial" w:hAnsi="Arial" w:cs="Arial"/>
          <w:sz w:val="22"/>
          <w:szCs w:val="22"/>
        </w:rPr>
        <w:t xml:space="preserve"> censored</w:t>
      </w:r>
      <w:r w:rsidR="00C33435" w:rsidRPr="00503952">
        <w:rPr>
          <w:rFonts w:ascii="Arial" w:hAnsi="Arial" w:cs="Arial"/>
          <w:sz w:val="22"/>
          <w:szCs w:val="22"/>
        </w:rPr>
        <w:t>)</w:t>
      </w:r>
    </w:p>
    <w:p w14:paraId="16A6E0A6" w14:textId="1A1920A8" w:rsidR="004870D9" w:rsidRPr="00503952" w:rsidRDefault="004870D9" w:rsidP="00503952">
      <w:pPr>
        <w:rPr>
          <w:rFonts w:ascii="Arial" w:hAnsi="Arial" w:cs="Arial"/>
          <w:sz w:val="22"/>
          <w:szCs w:val="22"/>
        </w:rPr>
      </w:pPr>
      <w:r w:rsidRPr="00503952">
        <w:rPr>
          <w:rFonts w:ascii="Arial" w:hAnsi="Arial" w:cs="Arial"/>
          <w:sz w:val="22"/>
          <w:szCs w:val="22"/>
        </w:rPr>
        <w:t xml:space="preserve">PFS </w:t>
      </w:r>
      <w:r w:rsidR="00C33435" w:rsidRPr="00503952">
        <w:rPr>
          <w:rFonts w:ascii="Arial" w:hAnsi="Arial" w:cs="Arial"/>
          <w:sz w:val="22"/>
          <w:szCs w:val="22"/>
        </w:rPr>
        <w:t>was</w:t>
      </w:r>
      <w:r w:rsidRPr="00503952">
        <w:rPr>
          <w:rFonts w:ascii="Arial" w:hAnsi="Arial" w:cs="Arial"/>
          <w:sz w:val="22"/>
          <w:szCs w:val="22"/>
        </w:rPr>
        <w:t xml:space="preserve"> </w:t>
      </w:r>
      <w:r w:rsidR="0089333C" w:rsidRPr="00503952">
        <w:rPr>
          <w:rFonts w:ascii="Arial" w:hAnsi="Arial" w:cs="Arial"/>
          <w:sz w:val="22"/>
          <w:szCs w:val="22"/>
        </w:rPr>
        <w:t>disp</w:t>
      </w:r>
      <w:r w:rsidR="00E240B7" w:rsidRPr="00503952">
        <w:rPr>
          <w:rFonts w:ascii="Arial" w:hAnsi="Arial" w:cs="Arial"/>
          <w:sz w:val="22"/>
          <w:szCs w:val="22"/>
        </w:rPr>
        <w:t>layed</w:t>
      </w:r>
      <w:r w:rsidR="002C082E" w:rsidRPr="00503952">
        <w:rPr>
          <w:rFonts w:ascii="Arial" w:hAnsi="Arial" w:cs="Arial"/>
          <w:sz w:val="22"/>
          <w:szCs w:val="22"/>
        </w:rPr>
        <w:t xml:space="preserve"> </w:t>
      </w:r>
      <w:r w:rsidRPr="00503952">
        <w:rPr>
          <w:rFonts w:ascii="Arial" w:hAnsi="Arial" w:cs="Arial"/>
          <w:sz w:val="22"/>
          <w:szCs w:val="22"/>
        </w:rPr>
        <w:t xml:space="preserve">using the Kaplan-Meier </w:t>
      </w:r>
      <w:r w:rsidR="00E240B7" w:rsidRPr="00503952">
        <w:rPr>
          <w:rFonts w:ascii="Arial" w:hAnsi="Arial" w:cs="Arial"/>
          <w:sz w:val="22"/>
          <w:szCs w:val="22"/>
        </w:rPr>
        <w:t>curves</w:t>
      </w:r>
      <w:r w:rsidR="00A20AC9" w:rsidRPr="00503952">
        <w:rPr>
          <w:rFonts w:ascii="Arial" w:hAnsi="Arial" w:cs="Arial"/>
          <w:sz w:val="22"/>
          <w:szCs w:val="22"/>
        </w:rPr>
        <w:t xml:space="preserve"> for each treatment arm.</w:t>
      </w:r>
      <w:r w:rsidRPr="00503952">
        <w:rPr>
          <w:rFonts w:ascii="Arial" w:hAnsi="Arial" w:cs="Arial"/>
          <w:sz w:val="22"/>
          <w:szCs w:val="22"/>
        </w:rPr>
        <w:t xml:space="preserve"> Median PFS </w:t>
      </w:r>
      <w:r w:rsidR="00A20AC9" w:rsidRPr="00503952">
        <w:rPr>
          <w:rFonts w:ascii="Arial" w:hAnsi="Arial" w:cs="Arial"/>
          <w:sz w:val="22"/>
          <w:szCs w:val="22"/>
        </w:rPr>
        <w:t>was</w:t>
      </w:r>
      <w:r w:rsidRPr="00503952">
        <w:rPr>
          <w:rFonts w:ascii="Arial" w:hAnsi="Arial" w:cs="Arial"/>
          <w:sz w:val="22"/>
          <w:szCs w:val="22"/>
        </w:rPr>
        <w:t xml:space="preserve"> estimated for each treatment group </w:t>
      </w:r>
      <w:r w:rsidR="007106A9" w:rsidRPr="00503952">
        <w:rPr>
          <w:rFonts w:ascii="Arial" w:hAnsi="Arial" w:cs="Arial"/>
          <w:sz w:val="22"/>
          <w:szCs w:val="22"/>
        </w:rPr>
        <w:t>and overall</w:t>
      </w:r>
      <w:r w:rsidRPr="00503952">
        <w:rPr>
          <w:rFonts w:ascii="Arial" w:hAnsi="Arial" w:cs="Arial"/>
          <w:sz w:val="22"/>
          <w:szCs w:val="22"/>
        </w:rPr>
        <w:t xml:space="preserve">. The primary inferential comparison between treatment groups </w:t>
      </w:r>
      <w:r w:rsidR="0091294B" w:rsidRPr="00503952">
        <w:rPr>
          <w:rFonts w:ascii="Arial" w:hAnsi="Arial" w:cs="Arial"/>
          <w:sz w:val="22"/>
          <w:szCs w:val="22"/>
        </w:rPr>
        <w:t>used a</w:t>
      </w:r>
      <w:r w:rsidRPr="00503952">
        <w:rPr>
          <w:rFonts w:ascii="Arial" w:hAnsi="Arial" w:cs="Arial"/>
          <w:sz w:val="22"/>
          <w:szCs w:val="22"/>
        </w:rPr>
        <w:t xml:space="preserve"> log-rank test adjust</w:t>
      </w:r>
      <w:r w:rsidR="0091294B" w:rsidRPr="00503952">
        <w:rPr>
          <w:rFonts w:ascii="Arial" w:hAnsi="Arial" w:cs="Arial"/>
          <w:sz w:val="22"/>
          <w:szCs w:val="22"/>
        </w:rPr>
        <w:t>ing for</w:t>
      </w:r>
      <w:r w:rsidRPr="00503952">
        <w:rPr>
          <w:rFonts w:ascii="Arial" w:hAnsi="Arial" w:cs="Arial"/>
          <w:sz w:val="22"/>
          <w:szCs w:val="22"/>
        </w:rPr>
        <w:t xml:space="preserve"> the randomisation stratification factors. </w:t>
      </w:r>
      <w:r w:rsidR="00FA144C" w:rsidRPr="00503952">
        <w:rPr>
          <w:rFonts w:ascii="Arial" w:hAnsi="Arial" w:cs="Arial"/>
          <w:sz w:val="22"/>
          <w:szCs w:val="22"/>
        </w:rPr>
        <w:t>T</w:t>
      </w:r>
      <w:r w:rsidRPr="00503952">
        <w:rPr>
          <w:rFonts w:ascii="Arial" w:hAnsi="Arial" w:cs="Arial"/>
          <w:sz w:val="22"/>
          <w:szCs w:val="22"/>
        </w:rPr>
        <w:t xml:space="preserve">he number and percentage of subjects who progressed, or were censored (for the reasons above), </w:t>
      </w:r>
      <w:r w:rsidR="00FA144C" w:rsidRPr="00503952">
        <w:rPr>
          <w:rFonts w:ascii="Arial" w:hAnsi="Arial" w:cs="Arial"/>
          <w:sz w:val="22"/>
          <w:szCs w:val="22"/>
        </w:rPr>
        <w:t xml:space="preserve">were </w:t>
      </w:r>
      <w:r w:rsidRPr="00503952">
        <w:rPr>
          <w:rFonts w:ascii="Arial" w:hAnsi="Arial" w:cs="Arial"/>
          <w:sz w:val="22"/>
          <w:szCs w:val="22"/>
        </w:rPr>
        <w:t>reported.</w:t>
      </w:r>
    </w:p>
    <w:p w14:paraId="2BA9878F" w14:textId="0EC5C024" w:rsidR="004870D9" w:rsidRPr="00503952" w:rsidRDefault="004870D9" w:rsidP="0070104E">
      <w:pPr>
        <w:pStyle w:val="Heading2"/>
      </w:pPr>
      <w:bookmarkStart w:id="9" w:name="_Ref47443031"/>
      <w:bookmarkStart w:id="10" w:name="_Toc51339645"/>
      <w:r w:rsidRPr="00DE1E40">
        <w:t>Safety (</w:t>
      </w:r>
      <w:r w:rsidR="008136C0" w:rsidRPr="00DE1E40">
        <w:t>t</w:t>
      </w:r>
      <w:r w:rsidRPr="00503952">
        <w:t xml:space="preserve">oxicity) </w:t>
      </w:r>
      <w:r w:rsidR="008136C0" w:rsidRPr="00503952">
        <w:t>e</w:t>
      </w:r>
      <w:r w:rsidRPr="00503952">
        <w:t xml:space="preserve">ndpoint </w:t>
      </w:r>
      <w:r w:rsidR="008136C0" w:rsidRPr="00503952">
        <w:t>a</w:t>
      </w:r>
      <w:r w:rsidRPr="00503952">
        <w:t>nalysis</w:t>
      </w:r>
      <w:bookmarkEnd w:id="9"/>
      <w:bookmarkEnd w:id="10"/>
    </w:p>
    <w:p w14:paraId="36E60CAE" w14:textId="0DD35B07" w:rsidR="005A4173" w:rsidRPr="00503952" w:rsidRDefault="004870D9" w:rsidP="00503952">
      <w:pPr>
        <w:rPr>
          <w:sz w:val="22"/>
          <w:szCs w:val="22"/>
        </w:rPr>
      </w:pPr>
      <w:bookmarkStart w:id="11" w:name="_Toc46231577"/>
      <w:bookmarkStart w:id="12" w:name="_Toc46231666"/>
      <w:bookmarkStart w:id="13" w:name="_Toc46951262"/>
      <w:bookmarkStart w:id="14" w:name="_Toc46958053"/>
      <w:bookmarkStart w:id="15" w:name="_Toc46958186"/>
      <w:bookmarkStart w:id="16" w:name="_Toc46958318"/>
      <w:bookmarkStart w:id="17" w:name="_Toc46958450"/>
      <w:bookmarkStart w:id="18" w:name="_Toc46958581"/>
      <w:bookmarkEnd w:id="11"/>
      <w:bookmarkEnd w:id="12"/>
      <w:bookmarkEnd w:id="13"/>
      <w:bookmarkEnd w:id="14"/>
      <w:bookmarkEnd w:id="15"/>
      <w:bookmarkEnd w:id="16"/>
      <w:bookmarkEnd w:id="17"/>
      <w:bookmarkEnd w:id="18"/>
      <w:r w:rsidRPr="00503952">
        <w:rPr>
          <w:rFonts w:ascii="Arial" w:hAnsi="Arial" w:cs="Arial"/>
          <w:sz w:val="22"/>
          <w:szCs w:val="22"/>
        </w:rPr>
        <w:t>The safety analysis estimate</w:t>
      </w:r>
      <w:r w:rsidR="004D1C66" w:rsidRPr="00503952">
        <w:rPr>
          <w:rFonts w:ascii="Arial" w:hAnsi="Arial" w:cs="Arial"/>
          <w:sz w:val="22"/>
          <w:szCs w:val="22"/>
        </w:rPr>
        <w:t>d</w:t>
      </w:r>
      <w:r w:rsidRPr="00503952">
        <w:rPr>
          <w:rFonts w:ascii="Arial" w:hAnsi="Arial" w:cs="Arial"/>
          <w:sz w:val="22"/>
          <w:szCs w:val="22"/>
        </w:rPr>
        <w:t xml:space="preserve"> the difference between </w:t>
      </w:r>
      <w:r w:rsidR="00B2341C">
        <w:rPr>
          <w:rFonts w:ascii="Arial" w:hAnsi="Arial" w:cs="Arial"/>
          <w:sz w:val="22"/>
          <w:szCs w:val="22"/>
        </w:rPr>
        <w:t>paclitaxel alone vs paclitaxel plus TAK228</w:t>
      </w:r>
      <w:r w:rsidRPr="00503952">
        <w:rPr>
          <w:rFonts w:ascii="Arial" w:hAnsi="Arial" w:cs="Arial"/>
          <w:sz w:val="22"/>
          <w:szCs w:val="22"/>
        </w:rPr>
        <w:t xml:space="preserve"> in the proportions of most common AEs (see </w:t>
      </w:r>
      <w:r w:rsidR="00F15084" w:rsidRPr="00503952">
        <w:rPr>
          <w:rFonts w:ascii="Arial" w:hAnsi="Arial" w:cs="Arial"/>
          <w:sz w:val="22"/>
          <w:szCs w:val="22"/>
        </w:rPr>
        <w:t xml:space="preserve">Supplement </w:t>
      </w:r>
      <w:r w:rsidR="00D62AA7" w:rsidRPr="00503952">
        <w:rPr>
          <w:rFonts w:ascii="Arial" w:hAnsi="Arial" w:cs="Arial"/>
          <w:sz w:val="22"/>
          <w:szCs w:val="22"/>
        </w:rPr>
        <w:t>1</w:t>
      </w:r>
      <w:r w:rsidR="006F06BE" w:rsidRPr="00503952">
        <w:rPr>
          <w:rFonts w:ascii="Arial" w:hAnsi="Arial" w:cs="Arial"/>
          <w:sz w:val="22"/>
          <w:szCs w:val="22"/>
        </w:rPr>
        <w:t xml:space="preserve"> – </w:t>
      </w:r>
      <w:r w:rsidR="00F76657" w:rsidRPr="00503952">
        <w:rPr>
          <w:rFonts w:ascii="Arial" w:hAnsi="Arial" w:cs="Arial"/>
          <w:sz w:val="22"/>
          <w:szCs w:val="22"/>
        </w:rPr>
        <w:t xml:space="preserve">Table </w:t>
      </w:r>
      <w:r w:rsidR="00D62AA7" w:rsidRPr="00503952">
        <w:rPr>
          <w:rFonts w:ascii="Arial" w:hAnsi="Arial" w:cs="Arial"/>
          <w:sz w:val="22"/>
          <w:szCs w:val="22"/>
        </w:rPr>
        <w:t>6</w:t>
      </w:r>
      <w:r w:rsidRPr="00503952">
        <w:rPr>
          <w:rFonts w:ascii="Arial" w:hAnsi="Arial" w:cs="Arial"/>
          <w:sz w:val="22"/>
          <w:szCs w:val="22"/>
        </w:rPr>
        <w:t>)</w:t>
      </w:r>
      <w:r w:rsidR="00C931AC" w:rsidRPr="00503952">
        <w:rPr>
          <w:rFonts w:ascii="Arial" w:hAnsi="Arial" w:cs="Arial"/>
          <w:sz w:val="22"/>
          <w:szCs w:val="22"/>
        </w:rPr>
        <w:t>,</w:t>
      </w:r>
      <w:r w:rsidRPr="00503952">
        <w:rPr>
          <w:rFonts w:ascii="Arial" w:hAnsi="Arial" w:cs="Arial"/>
          <w:sz w:val="22"/>
          <w:szCs w:val="22"/>
        </w:rPr>
        <w:t xml:space="preserve"> graded 3 or higher, using a </w:t>
      </w:r>
      <w:r w:rsidR="00B251D6">
        <w:rPr>
          <w:rFonts w:ascii="Arial" w:hAnsi="Arial" w:cs="Arial"/>
          <w:sz w:val="22"/>
          <w:szCs w:val="22"/>
        </w:rPr>
        <w:t>C</w:t>
      </w:r>
      <w:r w:rsidRPr="00503952">
        <w:rPr>
          <w:rFonts w:ascii="Arial" w:hAnsi="Arial" w:cs="Arial"/>
          <w:sz w:val="22"/>
          <w:szCs w:val="22"/>
        </w:rPr>
        <w:t xml:space="preserve">hi-square test. </w:t>
      </w:r>
    </w:p>
    <w:p w14:paraId="50DEFF1C" w14:textId="43716734" w:rsidR="005A05CB" w:rsidRPr="0070104E" w:rsidRDefault="005A05CB" w:rsidP="00503952">
      <w:pPr>
        <w:pStyle w:val="Heading1"/>
        <w:rPr>
          <w:rFonts w:ascii="Arial" w:hAnsi="Arial" w:cs="Arial"/>
          <w:lang w:eastAsia="en-GB"/>
        </w:rPr>
      </w:pPr>
      <w:r w:rsidRPr="0070104E">
        <w:rPr>
          <w:rFonts w:ascii="Arial" w:hAnsi="Arial" w:cs="Arial"/>
          <w:lang w:eastAsia="en-GB"/>
        </w:rPr>
        <w:t xml:space="preserve">Interim </w:t>
      </w:r>
      <w:r w:rsidR="00644294" w:rsidRPr="0070104E">
        <w:rPr>
          <w:rFonts w:ascii="Arial" w:hAnsi="Arial" w:cs="Arial"/>
          <w:lang w:eastAsia="en-GB"/>
        </w:rPr>
        <w:t>a</w:t>
      </w:r>
      <w:r w:rsidRPr="0070104E">
        <w:rPr>
          <w:rFonts w:ascii="Arial" w:hAnsi="Arial" w:cs="Arial"/>
          <w:lang w:eastAsia="en-GB"/>
        </w:rPr>
        <w:t xml:space="preserve">nalysis </w:t>
      </w:r>
      <w:r w:rsidR="00644294" w:rsidRPr="0070104E">
        <w:rPr>
          <w:rFonts w:ascii="Arial" w:hAnsi="Arial" w:cs="Arial"/>
          <w:lang w:eastAsia="en-GB"/>
        </w:rPr>
        <w:t>r</w:t>
      </w:r>
      <w:r w:rsidRPr="0070104E">
        <w:rPr>
          <w:rFonts w:ascii="Arial" w:hAnsi="Arial" w:cs="Arial"/>
          <w:lang w:eastAsia="en-GB"/>
        </w:rPr>
        <w:t>esults</w:t>
      </w:r>
    </w:p>
    <w:p w14:paraId="5AE2A1EA" w14:textId="70911918" w:rsidR="005A05CB" w:rsidRPr="00503952" w:rsidRDefault="005A05CB" w:rsidP="00503952">
      <w:pPr>
        <w:rPr>
          <w:rFonts w:ascii="Arial" w:hAnsi="Arial" w:cs="Arial"/>
          <w:sz w:val="22"/>
          <w:szCs w:val="22"/>
        </w:rPr>
      </w:pPr>
      <w:r w:rsidRPr="00503952">
        <w:rPr>
          <w:rFonts w:ascii="Arial" w:hAnsi="Arial" w:cs="Arial"/>
          <w:sz w:val="22"/>
          <w:szCs w:val="22"/>
        </w:rPr>
        <w:t xml:space="preserve">In the interim analysis, the p-value generated by the log-rank test comparing the primary outcome (PFS) between </w:t>
      </w:r>
      <w:r w:rsidR="00B2341C">
        <w:rPr>
          <w:rFonts w:ascii="Arial" w:hAnsi="Arial" w:cs="Arial"/>
          <w:sz w:val="22"/>
          <w:szCs w:val="22"/>
        </w:rPr>
        <w:t>paclitaxel alone vs paclitaxel plus TAK228</w:t>
      </w:r>
      <w:r w:rsidRPr="00503952">
        <w:rPr>
          <w:rFonts w:ascii="Arial" w:hAnsi="Arial" w:cs="Arial"/>
          <w:sz w:val="22"/>
          <w:szCs w:val="22"/>
        </w:rPr>
        <w:t xml:space="preserve"> was compared to the significance level (boundary value) of 0.41798 for futility.</w:t>
      </w:r>
    </w:p>
    <w:p w14:paraId="436A6F31" w14:textId="097CA8D4" w:rsidR="005A05CB" w:rsidRPr="00503952" w:rsidRDefault="005A05CB">
      <w:pPr>
        <w:rPr>
          <w:rFonts w:ascii="Arial" w:hAnsi="Arial" w:cs="Arial"/>
          <w:sz w:val="22"/>
          <w:szCs w:val="22"/>
        </w:rPr>
      </w:pPr>
      <w:r w:rsidRPr="00503952">
        <w:rPr>
          <w:rFonts w:ascii="Arial" w:hAnsi="Arial" w:cs="Arial"/>
          <w:sz w:val="22"/>
          <w:szCs w:val="22"/>
        </w:rPr>
        <w:lastRenderedPageBreak/>
        <w:t xml:space="preserve">The p-value generated by the Chi-square test, assessing the proportions of most common AEs (see </w:t>
      </w:r>
      <w:r w:rsidR="00F15084" w:rsidRPr="00503952">
        <w:rPr>
          <w:rFonts w:ascii="Arial" w:hAnsi="Arial" w:cs="Arial"/>
          <w:sz w:val="22"/>
          <w:szCs w:val="22"/>
        </w:rPr>
        <w:t xml:space="preserve">Supplement </w:t>
      </w:r>
      <w:r w:rsidR="00D62AA7" w:rsidRPr="00503952">
        <w:rPr>
          <w:rFonts w:ascii="Arial" w:hAnsi="Arial" w:cs="Arial"/>
          <w:sz w:val="22"/>
          <w:szCs w:val="22"/>
        </w:rPr>
        <w:t>1</w:t>
      </w:r>
      <w:r w:rsidR="008E2D97" w:rsidRPr="00503952">
        <w:rPr>
          <w:rFonts w:ascii="Arial" w:hAnsi="Arial" w:cs="Arial"/>
          <w:sz w:val="22"/>
          <w:szCs w:val="22"/>
        </w:rPr>
        <w:t xml:space="preserve"> – Table </w:t>
      </w:r>
      <w:r w:rsidR="00D62AA7" w:rsidRPr="00503952">
        <w:rPr>
          <w:rFonts w:ascii="Arial" w:hAnsi="Arial" w:cs="Arial"/>
          <w:sz w:val="22"/>
          <w:szCs w:val="22"/>
        </w:rPr>
        <w:t>6</w:t>
      </w:r>
      <w:r w:rsidRPr="00503952">
        <w:rPr>
          <w:rFonts w:ascii="Arial" w:hAnsi="Arial" w:cs="Arial"/>
          <w:sz w:val="22"/>
          <w:szCs w:val="22"/>
        </w:rPr>
        <w:t xml:space="preserve">) classified as grade 3 or higher between </w:t>
      </w:r>
      <w:r w:rsidR="00B2341C">
        <w:rPr>
          <w:rFonts w:ascii="Arial" w:hAnsi="Arial" w:cs="Arial"/>
          <w:sz w:val="22"/>
          <w:szCs w:val="22"/>
        </w:rPr>
        <w:t>paclitaxel alone vs paclitaxel plus TAK228</w:t>
      </w:r>
      <w:r w:rsidRPr="00503952">
        <w:rPr>
          <w:rFonts w:ascii="Arial" w:hAnsi="Arial" w:cs="Arial"/>
          <w:sz w:val="22"/>
          <w:szCs w:val="22"/>
        </w:rPr>
        <w:t>, was compared to the alpha stopping boundary of 0.</w:t>
      </w:r>
      <w:r w:rsidR="0081361D" w:rsidRPr="00503952">
        <w:rPr>
          <w:rFonts w:ascii="Arial" w:hAnsi="Arial" w:cs="Arial"/>
          <w:sz w:val="22"/>
          <w:szCs w:val="22"/>
        </w:rPr>
        <w:t>0</w:t>
      </w:r>
      <w:r w:rsidRPr="00503952">
        <w:rPr>
          <w:rFonts w:ascii="Arial" w:hAnsi="Arial" w:cs="Arial"/>
          <w:sz w:val="22"/>
          <w:szCs w:val="22"/>
        </w:rPr>
        <w:t>3</w:t>
      </w:r>
      <w:r w:rsidR="0081361D" w:rsidRPr="00503952">
        <w:rPr>
          <w:rFonts w:ascii="Arial" w:hAnsi="Arial" w:cs="Arial"/>
          <w:sz w:val="22"/>
          <w:szCs w:val="22"/>
        </w:rPr>
        <w:t>0</w:t>
      </w:r>
      <w:r w:rsidR="00B251D6">
        <w:rPr>
          <w:rFonts w:ascii="Arial" w:hAnsi="Arial" w:cs="Arial"/>
          <w:sz w:val="22"/>
          <w:szCs w:val="22"/>
        </w:rPr>
        <w:t>3</w:t>
      </w:r>
      <w:r w:rsidR="0081361D" w:rsidRPr="00503952">
        <w:rPr>
          <w:rFonts w:ascii="Arial" w:hAnsi="Arial" w:cs="Arial"/>
          <w:sz w:val="22"/>
          <w:szCs w:val="22"/>
        </w:rPr>
        <w:t>7</w:t>
      </w:r>
      <w:r w:rsidRPr="00503952">
        <w:rPr>
          <w:rFonts w:ascii="Arial" w:hAnsi="Arial" w:cs="Arial"/>
          <w:sz w:val="22"/>
          <w:szCs w:val="22"/>
        </w:rPr>
        <w:t xml:space="preserve"> for safety. </w:t>
      </w:r>
    </w:p>
    <w:p w14:paraId="0611FFC7" w14:textId="2F9B160A" w:rsidR="00D15583" w:rsidRPr="00503952" w:rsidRDefault="005A05CB">
      <w:pPr>
        <w:rPr>
          <w:rFonts w:ascii="Arial" w:hAnsi="Arial" w:cs="Arial"/>
          <w:sz w:val="22"/>
          <w:szCs w:val="22"/>
        </w:rPr>
      </w:pPr>
      <w:r w:rsidRPr="00503952">
        <w:rPr>
          <w:rFonts w:ascii="Arial" w:hAnsi="Arial" w:cs="Arial"/>
          <w:sz w:val="22"/>
          <w:szCs w:val="22"/>
        </w:rPr>
        <w:t xml:space="preserve">The </w:t>
      </w:r>
      <w:r w:rsidR="00340464" w:rsidRPr="00503952">
        <w:rPr>
          <w:rFonts w:ascii="Arial" w:hAnsi="Arial" w:cs="Arial"/>
          <w:sz w:val="22"/>
          <w:szCs w:val="22"/>
        </w:rPr>
        <w:t xml:space="preserve">Independent Data </w:t>
      </w:r>
      <w:r w:rsidR="00C44C6D" w:rsidRPr="00503952">
        <w:rPr>
          <w:rFonts w:ascii="Arial" w:hAnsi="Arial" w:cs="Arial"/>
          <w:sz w:val="22"/>
          <w:szCs w:val="22"/>
        </w:rPr>
        <w:t>Monitoring</w:t>
      </w:r>
      <w:r w:rsidR="00340464" w:rsidRPr="00503952">
        <w:rPr>
          <w:rFonts w:ascii="Arial" w:hAnsi="Arial" w:cs="Arial"/>
          <w:sz w:val="22"/>
          <w:szCs w:val="22"/>
        </w:rPr>
        <w:t xml:space="preserve"> Committee (</w:t>
      </w:r>
      <w:r w:rsidRPr="00503952">
        <w:rPr>
          <w:rFonts w:ascii="Arial" w:hAnsi="Arial" w:cs="Arial"/>
          <w:sz w:val="22"/>
          <w:szCs w:val="22"/>
        </w:rPr>
        <w:t>IDMC</w:t>
      </w:r>
      <w:r w:rsidR="00340464" w:rsidRPr="00503952">
        <w:rPr>
          <w:rFonts w:ascii="Arial" w:hAnsi="Arial" w:cs="Arial"/>
          <w:sz w:val="22"/>
          <w:szCs w:val="22"/>
        </w:rPr>
        <w:t>)</w:t>
      </w:r>
      <w:r w:rsidRPr="00503952">
        <w:rPr>
          <w:rFonts w:ascii="Arial" w:hAnsi="Arial" w:cs="Arial"/>
          <w:sz w:val="22"/>
          <w:szCs w:val="22"/>
        </w:rPr>
        <w:t xml:space="preserve"> assessed that there was no reason to prematurely stop the trial for concerns over futility or safety. The IDMC advised to continue the study to completion.</w:t>
      </w:r>
    </w:p>
    <w:p w14:paraId="1A4E41C1" w14:textId="491CF040" w:rsidR="00D15583" w:rsidRPr="0070104E" w:rsidRDefault="00D15583" w:rsidP="00503952">
      <w:pPr>
        <w:pStyle w:val="Heading1"/>
        <w:rPr>
          <w:rFonts w:ascii="Arial" w:hAnsi="Arial" w:cs="Arial"/>
        </w:rPr>
      </w:pPr>
      <w:r w:rsidRPr="0070104E">
        <w:rPr>
          <w:rFonts w:ascii="Arial" w:hAnsi="Arial" w:cs="Arial"/>
        </w:rPr>
        <w:t>References</w:t>
      </w:r>
    </w:p>
    <w:p w14:paraId="6A7B1FC6" w14:textId="58730519" w:rsidR="00547765" w:rsidRDefault="00D15583" w:rsidP="0070104E">
      <w:pPr>
        <w:pStyle w:val="Bibliography"/>
        <w:spacing w:line="360" w:lineRule="auto"/>
        <w:rPr>
          <w:noProof/>
        </w:rPr>
      </w:pPr>
      <w:r w:rsidRPr="00DE1E40">
        <w:rPr>
          <w:rFonts w:ascii="Arial" w:hAnsi="Arial" w:cs="Arial"/>
          <w:sz w:val="22"/>
          <w:szCs w:val="22"/>
        </w:rPr>
        <w:fldChar w:fldCharType="begin"/>
      </w:r>
      <w:r w:rsidRPr="00DE1E40">
        <w:rPr>
          <w:rFonts w:ascii="Arial" w:hAnsi="Arial" w:cs="Arial"/>
          <w:sz w:val="22"/>
          <w:szCs w:val="22"/>
        </w:rPr>
        <w:instrText xml:space="preserve"> BIBLIOGRAPHY  \l 2057 </w:instrText>
      </w:r>
      <w:r w:rsidRPr="00DE1E40">
        <w:rPr>
          <w:rFonts w:ascii="Arial" w:hAnsi="Arial" w:cs="Arial"/>
          <w:sz w:val="22"/>
          <w:szCs w:val="22"/>
        </w:rPr>
        <w:fldChar w:fldCharType="separate"/>
      </w:r>
      <w:r w:rsidR="00547765">
        <w:rPr>
          <w:noProof/>
        </w:rPr>
        <w:t xml:space="preserve">1. </w:t>
      </w:r>
      <w:r w:rsidR="00547765">
        <w:rPr>
          <w:i/>
          <w:iCs/>
          <w:noProof/>
        </w:rPr>
        <w:t xml:space="preserve">A Multiple Testing Procedure for Clinical Trials. </w:t>
      </w:r>
      <w:r w:rsidR="00547765">
        <w:rPr>
          <w:b/>
          <w:bCs/>
          <w:noProof/>
        </w:rPr>
        <w:t>Fleming, Peter C. O'Brien and Thomas R.</w:t>
      </w:r>
      <w:r w:rsidR="00547765">
        <w:rPr>
          <w:noProof/>
        </w:rPr>
        <w:t xml:space="preserve"> 3, Sep 1979, International Biometric Society, Vol. 35, pp. 549-556.</w:t>
      </w:r>
    </w:p>
    <w:p w14:paraId="107EE000" w14:textId="77777777" w:rsidR="00547765" w:rsidRDefault="00547765" w:rsidP="0070104E">
      <w:pPr>
        <w:pStyle w:val="Bibliography"/>
        <w:spacing w:line="360" w:lineRule="auto"/>
        <w:rPr>
          <w:noProof/>
        </w:rPr>
      </w:pPr>
      <w:r>
        <w:rPr>
          <w:noProof/>
        </w:rPr>
        <w:t xml:space="preserve">2. </w:t>
      </w:r>
      <w:r>
        <w:rPr>
          <w:b/>
          <w:bCs/>
          <w:noProof/>
        </w:rPr>
        <w:t>Jennison, Christopher and Turnbull, Bruce W.</w:t>
      </w:r>
      <w:r>
        <w:rPr>
          <w:noProof/>
        </w:rPr>
        <w:t xml:space="preserve"> </w:t>
      </w:r>
      <w:r>
        <w:rPr>
          <w:i/>
          <w:iCs/>
          <w:noProof/>
        </w:rPr>
        <w:t xml:space="preserve">Group Sequential Methods with Applications to Clinical Trials. </w:t>
      </w:r>
      <w:r>
        <w:rPr>
          <w:noProof/>
        </w:rPr>
        <w:t>s.l. : Chapman and Hall/CRC, 2000. 9780849303166.</w:t>
      </w:r>
    </w:p>
    <w:p w14:paraId="6E641725" w14:textId="77777777" w:rsidR="00547765" w:rsidRDefault="00547765" w:rsidP="0070104E">
      <w:pPr>
        <w:pStyle w:val="Bibliography"/>
        <w:spacing w:line="360" w:lineRule="auto"/>
        <w:rPr>
          <w:noProof/>
        </w:rPr>
      </w:pPr>
      <w:r>
        <w:rPr>
          <w:noProof/>
        </w:rPr>
        <w:t xml:space="preserve">3. </w:t>
      </w:r>
      <w:r>
        <w:rPr>
          <w:i/>
          <w:iCs/>
          <w:noProof/>
        </w:rPr>
        <w:t xml:space="preserve">Assessment of futility in clinical trials. </w:t>
      </w:r>
      <w:r>
        <w:rPr>
          <w:b/>
          <w:bCs/>
          <w:noProof/>
        </w:rPr>
        <w:t>Snapinn, Steven, et al.</w:t>
      </w:r>
      <w:r>
        <w:rPr>
          <w:noProof/>
        </w:rPr>
        <w:t xml:space="preserve"> 4, Oct-Dec 2006, Pharmaceutical Statistics, Vol. 5, pp. 273-81.</w:t>
      </w:r>
    </w:p>
    <w:p w14:paraId="10D8DAA9" w14:textId="77777777" w:rsidR="00547765" w:rsidRDefault="00547765" w:rsidP="0070104E">
      <w:pPr>
        <w:pStyle w:val="Bibliography"/>
        <w:spacing w:line="360" w:lineRule="auto"/>
        <w:rPr>
          <w:noProof/>
        </w:rPr>
      </w:pPr>
      <w:r>
        <w:rPr>
          <w:noProof/>
        </w:rPr>
        <w:t xml:space="preserve">4. </w:t>
      </w:r>
      <w:r>
        <w:rPr>
          <w:i/>
          <w:iCs/>
          <w:noProof/>
        </w:rPr>
        <w:t xml:space="preserve">New response evaluation criteria in solid tumours: Revised RECIST guideline (version 1.1). </w:t>
      </w:r>
      <w:r>
        <w:rPr>
          <w:b/>
          <w:bCs/>
          <w:noProof/>
        </w:rPr>
        <w:t>Eisenhauer, E. A., et al.</w:t>
      </w:r>
      <w:r>
        <w:rPr>
          <w:noProof/>
        </w:rPr>
        <w:t xml:space="preserve"> 2009, European Journal of Cancer, Vol. 45, pp. 228-247.</w:t>
      </w:r>
    </w:p>
    <w:p w14:paraId="6A492E61" w14:textId="77777777" w:rsidR="00547765" w:rsidRDefault="00547765" w:rsidP="0070104E">
      <w:pPr>
        <w:pStyle w:val="Bibliography"/>
        <w:spacing w:line="360" w:lineRule="auto"/>
        <w:rPr>
          <w:noProof/>
        </w:rPr>
      </w:pPr>
      <w:r>
        <w:rPr>
          <w:noProof/>
        </w:rPr>
        <w:t xml:space="preserve">5. </w:t>
      </w:r>
      <w:r>
        <w:rPr>
          <w:b/>
          <w:bCs/>
          <w:noProof/>
        </w:rPr>
        <w:t>U.S.DEPARTMENT OF HEALTH AND HUMAN SERVICES.</w:t>
      </w:r>
      <w:r>
        <w:rPr>
          <w:noProof/>
        </w:rPr>
        <w:t xml:space="preserve"> Common Terminology Criteria for Adverse Events (CTCAE) v4.03. [Online] 14 June 2010. https://evs.nci.nih.gov/ftp1/CTCAE/CTCAE_4.03/CTCAE_4.03_2010-06-14_QuickReference_5x7.pdf.</w:t>
      </w:r>
    </w:p>
    <w:p w14:paraId="148526CB" w14:textId="77777777" w:rsidR="00547765" w:rsidRDefault="00547765" w:rsidP="0070104E">
      <w:pPr>
        <w:pStyle w:val="Bibliography"/>
        <w:spacing w:line="360" w:lineRule="auto"/>
        <w:rPr>
          <w:noProof/>
        </w:rPr>
      </w:pPr>
      <w:r>
        <w:rPr>
          <w:noProof/>
        </w:rPr>
        <w:t xml:space="preserve">6. </w:t>
      </w:r>
      <w:r>
        <w:rPr>
          <w:i/>
          <w:iCs/>
          <w:noProof/>
        </w:rPr>
        <w:t xml:space="preserve">Choice of futility boundaries for group sequential designs with two endpoints. </w:t>
      </w:r>
      <w:r>
        <w:rPr>
          <w:b/>
          <w:bCs/>
          <w:noProof/>
        </w:rPr>
        <w:t>Schüler, Svenja, Kieser, Meinhard and Rauch, Geraldine.</w:t>
      </w:r>
      <w:r>
        <w:rPr>
          <w:noProof/>
        </w:rPr>
        <w:t xml:space="preserve"> 1, 2017, BMC Medical Research Methodology, Vol. 17.</w:t>
      </w:r>
    </w:p>
    <w:p w14:paraId="300AD8E6" w14:textId="6543FA9A" w:rsidR="00D42DFF" w:rsidRPr="00DE1E40" w:rsidRDefault="00D15583" w:rsidP="0070104E">
      <w:pPr>
        <w:spacing w:line="360" w:lineRule="auto"/>
        <w:rPr>
          <w:rFonts w:ascii="Arial" w:hAnsi="Arial" w:cs="Arial"/>
          <w:sz w:val="22"/>
          <w:szCs w:val="22"/>
        </w:rPr>
      </w:pPr>
      <w:r w:rsidRPr="00DE1E40">
        <w:rPr>
          <w:rFonts w:ascii="Arial" w:hAnsi="Arial" w:cs="Arial"/>
          <w:sz w:val="22"/>
          <w:szCs w:val="22"/>
        </w:rPr>
        <w:fldChar w:fldCharType="end"/>
      </w:r>
    </w:p>
    <w:sectPr w:rsidR="00D42DFF" w:rsidRPr="00DE1E40" w:rsidSect="00F300CC">
      <w:pgSz w:w="11906" w:h="16838"/>
      <w:pgMar w:top="1304" w:right="1304" w:bottom="130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6435E"/>
    <w:multiLevelType w:val="hybridMultilevel"/>
    <w:tmpl w:val="6B867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FD1FF2"/>
    <w:multiLevelType w:val="hybridMultilevel"/>
    <w:tmpl w:val="D45E95C2"/>
    <w:lvl w:ilvl="0" w:tplc="2BCA567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0E7855"/>
    <w:multiLevelType w:val="hybridMultilevel"/>
    <w:tmpl w:val="64685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yNzU3MTIzNLG0sDRQ0lEKTi0uzszPAykwMq8FAK1v3RYtAAAA"/>
  </w:docVars>
  <w:rsids>
    <w:rsidRoot w:val="002F60EE"/>
    <w:rsid w:val="00027E81"/>
    <w:rsid w:val="00034C5B"/>
    <w:rsid w:val="00036BCD"/>
    <w:rsid w:val="00037734"/>
    <w:rsid w:val="00066F2F"/>
    <w:rsid w:val="000A08B8"/>
    <w:rsid w:val="000A6800"/>
    <w:rsid w:val="000C14FB"/>
    <w:rsid w:val="000C5CF0"/>
    <w:rsid w:val="000E77C1"/>
    <w:rsid w:val="001068EE"/>
    <w:rsid w:val="0011572C"/>
    <w:rsid w:val="00120450"/>
    <w:rsid w:val="001229BB"/>
    <w:rsid w:val="001325E2"/>
    <w:rsid w:val="001455C0"/>
    <w:rsid w:val="0014590D"/>
    <w:rsid w:val="00167E34"/>
    <w:rsid w:val="00183754"/>
    <w:rsid w:val="001A21B4"/>
    <w:rsid w:val="001B205C"/>
    <w:rsid w:val="001B2CB5"/>
    <w:rsid w:val="001D1224"/>
    <w:rsid w:val="001D3246"/>
    <w:rsid w:val="001F29F5"/>
    <w:rsid w:val="00206B4C"/>
    <w:rsid w:val="002140B7"/>
    <w:rsid w:val="00216B67"/>
    <w:rsid w:val="002239BC"/>
    <w:rsid w:val="0024273B"/>
    <w:rsid w:val="002702AE"/>
    <w:rsid w:val="00276691"/>
    <w:rsid w:val="002A33A6"/>
    <w:rsid w:val="002A78C9"/>
    <w:rsid w:val="002C082E"/>
    <w:rsid w:val="002E0895"/>
    <w:rsid w:val="002E70C0"/>
    <w:rsid w:val="002F60EE"/>
    <w:rsid w:val="00340464"/>
    <w:rsid w:val="003615DE"/>
    <w:rsid w:val="00365237"/>
    <w:rsid w:val="003729D1"/>
    <w:rsid w:val="00393C1A"/>
    <w:rsid w:val="003946B9"/>
    <w:rsid w:val="003B211B"/>
    <w:rsid w:val="003B4B0F"/>
    <w:rsid w:val="003B4E8D"/>
    <w:rsid w:val="003C259A"/>
    <w:rsid w:val="003F3FF2"/>
    <w:rsid w:val="003F76B0"/>
    <w:rsid w:val="00400B7A"/>
    <w:rsid w:val="00404E94"/>
    <w:rsid w:val="00423537"/>
    <w:rsid w:val="00432BF4"/>
    <w:rsid w:val="0043471E"/>
    <w:rsid w:val="00441C0B"/>
    <w:rsid w:val="004425AB"/>
    <w:rsid w:val="004553A3"/>
    <w:rsid w:val="00461996"/>
    <w:rsid w:val="0046715F"/>
    <w:rsid w:val="00472E8E"/>
    <w:rsid w:val="004743E4"/>
    <w:rsid w:val="00485F52"/>
    <w:rsid w:val="004870D9"/>
    <w:rsid w:val="00492609"/>
    <w:rsid w:val="004B51BB"/>
    <w:rsid w:val="004C18E7"/>
    <w:rsid w:val="004D1C66"/>
    <w:rsid w:val="004D6E3A"/>
    <w:rsid w:val="004E65B5"/>
    <w:rsid w:val="004E6C8A"/>
    <w:rsid w:val="004F6BB9"/>
    <w:rsid w:val="00503952"/>
    <w:rsid w:val="005129CC"/>
    <w:rsid w:val="00525700"/>
    <w:rsid w:val="00526ACB"/>
    <w:rsid w:val="0053352B"/>
    <w:rsid w:val="00547765"/>
    <w:rsid w:val="0055600C"/>
    <w:rsid w:val="00573F51"/>
    <w:rsid w:val="005908C3"/>
    <w:rsid w:val="005A05CB"/>
    <w:rsid w:val="005A4173"/>
    <w:rsid w:val="005C06F7"/>
    <w:rsid w:val="005C5EDB"/>
    <w:rsid w:val="005D2D1E"/>
    <w:rsid w:val="005D7287"/>
    <w:rsid w:val="005E1EC5"/>
    <w:rsid w:val="006058CD"/>
    <w:rsid w:val="00615DE8"/>
    <w:rsid w:val="00616EF1"/>
    <w:rsid w:val="00620261"/>
    <w:rsid w:val="00624B18"/>
    <w:rsid w:val="00633B60"/>
    <w:rsid w:val="00633D2F"/>
    <w:rsid w:val="00644294"/>
    <w:rsid w:val="006454A4"/>
    <w:rsid w:val="0065186B"/>
    <w:rsid w:val="0067280A"/>
    <w:rsid w:val="00685ACF"/>
    <w:rsid w:val="0069128B"/>
    <w:rsid w:val="00693FDA"/>
    <w:rsid w:val="006A026E"/>
    <w:rsid w:val="006A1CE2"/>
    <w:rsid w:val="006A3A54"/>
    <w:rsid w:val="006B18D2"/>
    <w:rsid w:val="006C00DE"/>
    <w:rsid w:val="006D4D5A"/>
    <w:rsid w:val="006F06BE"/>
    <w:rsid w:val="006F1895"/>
    <w:rsid w:val="0070104E"/>
    <w:rsid w:val="00701251"/>
    <w:rsid w:val="0070255D"/>
    <w:rsid w:val="007106A9"/>
    <w:rsid w:val="007133F0"/>
    <w:rsid w:val="007301EA"/>
    <w:rsid w:val="00761F4F"/>
    <w:rsid w:val="00797000"/>
    <w:rsid w:val="007A1B18"/>
    <w:rsid w:val="007A771E"/>
    <w:rsid w:val="007C6255"/>
    <w:rsid w:val="007E1DDA"/>
    <w:rsid w:val="007E2CBF"/>
    <w:rsid w:val="008005C3"/>
    <w:rsid w:val="008043FE"/>
    <w:rsid w:val="0080539B"/>
    <w:rsid w:val="0081361D"/>
    <w:rsid w:val="008136C0"/>
    <w:rsid w:val="008228B3"/>
    <w:rsid w:val="00835F02"/>
    <w:rsid w:val="00840A38"/>
    <w:rsid w:val="00854299"/>
    <w:rsid w:val="00864B10"/>
    <w:rsid w:val="00880214"/>
    <w:rsid w:val="00884B61"/>
    <w:rsid w:val="0089333C"/>
    <w:rsid w:val="00893B4B"/>
    <w:rsid w:val="008A0775"/>
    <w:rsid w:val="008C280B"/>
    <w:rsid w:val="008D5E74"/>
    <w:rsid w:val="008D7D03"/>
    <w:rsid w:val="008E2D97"/>
    <w:rsid w:val="008E7E66"/>
    <w:rsid w:val="008F2676"/>
    <w:rsid w:val="008F739C"/>
    <w:rsid w:val="00900CF6"/>
    <w:rsid w:val="00901E19"/>
    <w:rsid w:val="0091294B"/>
    <w:rsid w:val="00926D9A"/>
    <w:rsid w:val="00931405"/>
    <w:rsid w:val="009419DD"/>
    <w:rsid w:val="00942347"/>
    <w:rsid w:val="00945157"/>
    <w:rsid w:val="00947493"/>
    <w:rsid w:val="0094785B"/>
    <w:rsid w:val="00962834"/>
    <w:rsid w:val="009A3FC9"/>
    <w:rsid w:val="009A659E"/>
    <w:rsid w:val="009A66E0"/>
    <w:rsid w:val="009C2E5E"/>
    <w:rsid w:val="009D43A8"/>
    <w:rsid w:val="009D57A3"/>
    <w:rsid w:val="009E1B42"/>
    <w:rsid w:val="00A1043D"/>
    <w:rsid w:val="00A149B9"/>
    <w:rsid w:val="00A20AC9"/>
    <w:rsid w:val="00A80024"/>
    <w:rsid w:val="00AD1922"/>
    <w:rsid w:val="00B007C6"/>
    <w:rsid w:val="00B01D5C"/>
    <w:rsid w:val="00B14391"/>
    <w:rsid w:val="00B2341C"/>
    <w:rsid w:val="00B251D6"/>
    <w:rsid w:val="00B526E5"/>
    <w:rsid w:val="00B72076"/>
    <w:rsid w:val="00B774AF"/>
    <w:rsid w:val="00BA136D"/>
    <w:rsid w:val="00BD63E5"/>
    <w:rsid w:val="00BE24D1"/>
    <w:rsid w:val="00BE534A"/>
    <w:rsid w:val="00BF2782"/>
    <w:rsid w:val="00BF4F07"/>
    <w:rsid w:val="00C04C9E"/>
    <w:rsid w:val="00C17BF6"/>
    <w:rsid w:val="00C33435"/>
    <w:rsid w:val="00C34409"/>
    <w:rsid w:val="00C377FC"/>
    <w:rsid w:val="00C37D7A"/>
    <w:rsid w:val="00C4076A"/>
    <w:rsid w:val="00C44C6D"/>
    <w:rsid w:val="00C63A65"/>
    <w:rsid w:val="00C7157F"/>
    <w:rsid w:val="00C8765C"/>
    <w:rsid w:val="00C931AC"/>
    <w:rsid w:val="00CB6262"/>
    <w:rsid w:val="00CD24F8"/>
    <w:rsid w:val="00CE55D8"/>
    <w:rsid w:val="00CF1941"/>
    <w:rsid w:val="00CF4B5C"/>
    <w:rsid w:val="00CF4CCF"/>
    <w:rsid w:val="00D00F8B"/>
    <w:rsid w:val="00D0387F"/>
    <w:rsid w:val="00D15583"/>
    <w:rsid w:val="00D175EC"/>
    <w:rsid w:val="00D3291C"/>
    <w:rsid w:val="00D42DFF"/>
    <w:rsid w:val="00D57587"/>
    <w:rsid w:val="00D61827"/>
    <w:rsid w:val="00D62AA7"/>
    <w:rsid w:val="00D9288F"/>
    <w:rsid w:val="00D94918"/>
    <w:rsid w:val="00DA09F0"/>
    <w:rsid w:val="00DA1C92"/>
    <w:rsid w:val="00DA787F"/>
    <w:rsid w:val="00DB7E21"/>
    <w:rsid w:val="00DE1E40"/>
    <w:rsid w:val="00DE7DF2"/>
    <w:rsid w:val="00E240B7"/>
    <w:rsid w:val="00E352A9"/>
    <w:rsid w:val="00E65EEB"/>
    <w:rsid w:val="00E67E39"/>
    <w:rsid w:val="00E81395"/>
    <w:rsid w:val="00E83178"/>
    <w:rsid w:val="00E8620D"/>
    <w:rsid w:val="00ED2DB5"/>
    <w:rsid w:val="00F06B16"/>
    <w:rsid w:val="00F12F28"/>
    <w:rsid w:val="00F15084"/>
    <w:rsid w:val="00F2190A"/>
    <w:rsid w:val="00F300CC"/>
    <w:rsid w:val="00F559CD"/>
    <w:rsid w:val="00F63E8C"/>
    <w:rsid w:val="00F6448C"/>
    <w:rsid w:val="00F71DA4"/>
    <w:rsid w:val="00F76657"/>
    <w:rsid w:val="00F82B39"/>
    <w:rsid w:val="00FA144C"/>
    <w:rsid w:val="00FA1B97"/>
    <w:rsid w:val="00FD1B3F"/>
    <w:rsid w:val="00FD60F4"/>
    <w:rsid w:val="00FE5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DDA4B"/>
  <w15:chartTrackingRefBased/>
  <w15:docId w15:val="{4C5E8BB3-1212-4A07-BDC5-4FA7D197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B16"/>
    <w:pPr>
      <w:spacing w:before="120" w:after="0" w:line="480" w:lineRule="auto"/>
    </w:pPr>
    <w:rPr>
      <w:sz w:val="24"/>
      <w:szCs w:val="24"/>
      <w:u w:color="000000"/>
    </w:rPr>
  </w:style>
  <w:style w:type="paragraph" w:styleId="Heading1">
    <w:name w:val="heading 1"/>
    <w:basedOn w:val="Normal"/>
    <w:next w:val="Normal"/>
    <w:link w:val="Heading1Char"/>
    <w:uiPriority w:val="9"/>
    <w:qFormat/>
    <w:rsid w:val="005A05CB"/>
    <w:pPr>
      <w:keepNext/>
      <w:keepLines/>
      <w:spacing w:before="240" w:after="24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46715F"/>
    <w:pPr>
      <w:keepNext/>
      <w:keepLines/>
      <w:spacing w:before="240" w:after="120"/>
      <w:outlineLvl w:val="1"/>
    </w:pPr>
    <w:rPr>
      <w:rFonts w:ascii="Arial" w:eastAsiaTheme="majorEastAsia" w:hAnsi="Arial" w:cs="Arial"/>
      <w:color w:val="2F5496" w:themeColor="accent1" w:themeShade="BF"/>
      <w:sz w:val="26"/>
      <w:szCs w:val="26"/>
      <w:lang w:val="en-US"/>
    </w:rPr>
  </w:style>
  <w:style w:type="paragraph" w:styleId="Heading3">
    <w:name w:val="heading 3"/>
    <w:basedOn w:val="Normal"/>
    <w:next w:val="Normal"/>
    <w:link w:val="Heading3Char"/>
    <w:uiPriority w:val="9"/>
    <w:unhideWhenUsed/>
    <w:qFormat/>
    <w:rsid w:val="00183754"/>
    <w:pPr>
      <w:keepNext/>
      <w:keepLines/>
      <w:spacing w:before="240" w:after="120"/>
      <w:outlineLvl w:val="2"/>
    </w:pPr>
    <w:rPr>
      <w:rFonts w:asciiTheme="majorHAnsi" w:eastAsiaTheme="majorEastAsia" w:hAnsiTheme="majorHAnsi" w:cstheme="majorBidi"/>
      <w:color w:val="1F3763" w:themeColor="accent1" w:themeShade="7F"/>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5CB"/>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46715F"/>
    <w:rPr>
      <w:rFonts w:ascii="Arial" w:eastAsiaTheme="majorEastAsia" w:hAnsi="Arial" w:cs="Arial"/>
      <w:color w:val="2F5496" w:themeColor="accent1" w:themeShade="BF"/>
      <w:sz w:val="26"/>
      <w:szCs w:val="26"/>
      <w:u w:color="000000"/>
      <w:lang w:val="en-US"/>
    </w:rPr>
  </w:style>
  <w:style w:type="character" w:styleId="CommentReference">
    <w:name w:val="annotation reference"/>
    <w:basedOn w:val="DefaultParagraphFont"/>
    <w:uiPriority w:val="99"/>
    <w:semiHidden/>
    <w:unhideWhenUsed/>
    <w:rsid w:val="005A05CB"/>
    <w:rPr>
      <w:sz w:val="16"/>
      <w:szCs w:val="16"/>
    </w:rPr>
  </w:style>
  <w:style w:type="paragraph" w:styleId="CommentText">
    <w:name w:val="annotation text"/>
    <w:basedOn w:val="Normal"/>
    <w:link w:val="CommentTextChar"/>
    <w:uiPriority w:val="99"/>
    <w:unhideWhenUsed/>
    <w:rsid w:val="005A05CB"/>
    <w:pPr>
      <w:spacing w:before="240" w:after="24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A05CB"/>
    <w:rPr>
      <w:rFonts w:ascii="Calibri" w:eastAsia="Calibri" w:hAnsi="Calibri" w:cs="Times New Roman"/>
      <w:sz w:val="20"/>
      <w:szCs w:val="20"/>
    </w:rPr>
  </w:style>
  <w:style w:type="paragraph" w:styleId="Caption">
    <w:name w:val="caption"/>
    <w:basedOn w:val="Normal"/>
    <w:next w:val="Normal"/>
    <w:link w:val="CaptionChar"/>
    <w:uiPriority w:val="35"/>
    <w:unhideWhenUsed/>
    <w:qFormat/>
    <w:rsid w:val="005A05CB"/>
    <w:pPr>
      <w:spacing w:before="240"/>
    </w:pPr>
    <w:rPr>
      <w:rFonts w:ascii="Calibri" w:eastAsia="Calibri" w:hAnsi="Calibri" w:cs="Times New Roman"/>
      <w:b/>
      <w:bCs/>
      <w:sz w:val="22"/>
      <w:szCs w:val="22"/>
    </w:rPr>
  </w:style>
  <w:style w:type="character" w:customStyle="1" w:styleId="CaptionChar">
    <w:name w:val="Caption Char"/>
    <w:basedOn w:val="DefaultParagraphFont"/>
    <w:link w:val="Caption"/>
    <w:rsid w:val="005A05CB"/>
    <w:rPr>
      <w:rFonts w:ascii="Calibri" w:eastAsia="Calibri" w:hAnsi="Calibri" w:cs="Times New Roman"/>
      <w:b/>
      <w:bCs/>
    </w:rPr>
  </w:style>
  <w:style w:type="character" w:customStyle="1" w:styleId="Heading3Char">
    <w:name w:val="Heading 3 Char"/>
    <w:basedOn w:val="DefaultParagraphFont"/>
    <w:link w:val="Heading3"/>
    <w:uiPriority w:val="9"/>
    <w:rsid w:val="00183754"/>
    <w:rPr>
      <w:rFonts w:asciiTheme="majorHAnsi" w:eastAsiaTheme="majorEastAsia" w:hAnsiTheme="majorHAnsi" w:cstheme="majorBidi"/>
      <w:color w:val="1F3763" w:themeColor="accent1" w:themeShade="7F"/>
      <w:sz w:val="24"/>
      <w:szCs w:val="24"/>
      <w:lang w:eastAsia="x-none"/>
    </w:rPr>
  </w:style>
  <w:style w:type="paragraph" w:styleId="ListParagraph">
    <w:name w:val="List Paragraph"/>
    <w:basedOn w:val="Normal"/>
    <w:uiPriority w:val="34"/>
    <w:qFormat/>
    <w:rsid w:val="00F63E8C"/>
    <w:pPr>
      <w:ind w:left="720"/>
      <w:contextualSpacing/>
    </w:pPr>
  </w:style>
  <w:style w:type="paragraph" w:styleId="Bibliography">
    <w:name w:val="Bibliography"/>
    <w:basedOn w:val="Normal"/>
    <w:next w:val="Normal"/>
    <w:uiPriority w:val="37"/>
    <w:unhideWhenUsed/>
    <w:rsid w:val="00D15583"/>
  </w:style>
  <w:style w:type="paragraph" w:styleId="CommentSubject">
    <w:name w:val="annotation subject"/>
    <w:basedOn w:val="CommentText"/>
    <w:next w:val="CommentText"/>
    <w:link w:val="CommentSubjectChar"/>
    <w:uiPriority w:val="99"/>
    <w:semiHidden/>
    <w:unhideWhenUsed/>
    <w:rsid w:val="00893B4B"/>
    <w:pPr>
      <w:spacing w:before="120" w:after="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93B4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C18E7"/>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8E7"/>
    <w:rPr>
      <w:rFonts w:ascii="Segoe UI" w:hAnsi="Segoe UI" w:cs="Segoe UI"/>
      <w:sz w:val="18"/>
      <w:szCs w:val="18"/>
    </w:rPr>
  </w:style>
  <w:style w:type="paragraph" w:styleId="Title">
    <w:name w:val="Title"/>
    <w:basedOn w:val="Normal"/>
    <w:next w:val="Normal"/>
    <w:link w:val="TitleChar"/>
    <w:uiPriority w:val="10"/>
    <w:qFormat/>
    <w:rsid w:val="008E2D97"/>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D9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A08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4296">
      <w:bodyDiv w:val="1"/>
      <w:marLeft w:val="0"/>
      <w:marRight w:val="0"/>
      <w:marTop w:val="0"/>
      <w:marBottom w:val="0"/>
      <w:divBdr>
        <w:top w:val="none" w:sz="0" w:space="0" w:color="auto"/>
        <w:left w:val="none" w:sz="0" w:space="0" w:color="auto"/>
        <w:bottom w:val="none" w:sz="0" w:space="0" w:color="auto"/>
        <w:right w:val="none" w:sz="0" w:space="0" w:color="auto"/>
      </w:divBdr>
    </w:div>
    <w:div w:id="26881777">
      <w:bodyDiv w:val="1"/>
      <w:marLeft w:val="0"/>
      <w:marRight w:val="0"/>
      <w:marTop w:val="0"/>
      <w:marBottom w:val="0"/>
      <w:divBdr>
        <w:top w:val="none" w:sz="0" w:space="0" w:color="auto"/>
        <w:left w:val="none" w:sz="0" w:space="0" w:color="auto"/>
        <w:bottom w:val="none" w:sz="0" w:space="0" w:color="auto"/>
        <w:right w:val="none" w:sz="0" w:space="0" w:color="auto"/>
      </w:divBdr>
    </w:div>
    <w:div w:id="91753998">
      <w:bodyDiv w:val="1"/>
      <w:marLeft w:val="0"/>
      <w:marRight w:val="0"/>
      <w:marTop w:val="0"/>
      <w:marBottom w:val="0"/>
      <w:divBdr>
        <w:top w:val="none" w:sz="0" w:space="0" w:color="auto"/>
        <w:left w:val="none" w:sz="0" w:space="0" w:color="auto"/>
        <w:bottom w:val="none" w:sz="0" w:space="0" w:color="auto"/>
        <w:right w:val="none" w:sz="0" w:space="0" w:color="auto"/>
      </w:divBdr>
    </w:div>
    <w:div w:id="101152393">
      <w:bodyDiv w:val="1"/>
      <w:marLeft w:val="0"/>
      <w:marRight w:val="0"/>
      <w:marTop w:val="0"/>
      <w:marBottom w:val="0"/>
      <w:divBdr>
        <w:top w:val="none" w:sz="0" w:space="0" w:color="auto"/>
        <w:left w:val="none" w:sz="0" w:space="0" w:color="auto"/>
        <w:bottom w:val="none" w:sz="0" w:space="0" w:color="auto"/>
        <w:right w:val="none" w:sz="0" w:space="0" w:color="auto"/>
      </w:divBdr>
    </w:div>
    <w:div w:id="103308070">
      <w:bodyDiv w:val="1"/>
      <w:marLeft w:val="0"/>
      <w:marRight w:val="0"/>
      <w:marTop w:val="0"/>
      <w:marBottom w:val="0"/>
      <w:divBdr>
        <w:top w:val="none" w:sz="0" w:space="0" w:color="auto"/>
        <w:left w:val="none" w:sz="0" w:space="0" w:color="auto"/>
        <w:bottom w:val="none" w:sz="0" w:space="0" w:color="auto"/>
        <w:right w:val="none" w:sz="0" w:space="0" w:color="auto"/>
      </w:divBdr>
    </w:div>
    <w:div w:id="183448549">
      <w:bodyDiv w:val="1"/>
      <w:marLeft w:val="0"/>
      <w:marRight w:val="0"/>
      <w:marTop w:val="0"/>
      <w:marBottom w:val="0"/>
      <w:divBdr>
        <w:top w:val="none" w:sz="0" w:space="0" w:color="auto"/>
        <w:left w:val="none" w:sz="0" w:space="0" w:color="auto"/>
        <w:bottom w:val="none" w:sz="0" w:space="0" w:color="auto"/>
        <w:right w:val="none" w:sz="0" w:space="0" w:color="auto"/>
      </w:divBdr>
    </w:div>
    <w:div w:id="205532854">
      <w:bodyDiv w:val="1"/>
      <w:marLeft w:val="0"/>
      <w:marRight w:val="0"/>
      <w:marTop w:val="0"/>
      <w:marBottom w:val="0"/>
      <w:divBdr>
        <w:top w:val="none" w:sz="0" w:space="0" w:color="auto"/>
        <w:left w:val="none" w:sz="0" w:space="0" w:color="auto"/>
        <w:bottom w:val="none" w:sz="0" w:space="0" w:color="auto"/>
        <w:right w:val="none" w:sz="0" w:space="0" w:color="auto"/>
      </w:divBdr>
    </w:div>
    <w:div w:id="259531445">
      <w:bodyDiv w:val="1"/>
      <w:marLeft w:val="0"/>
      <w:marRight w:val="0"/>
      <w:marTop w:val="0"/>
      <w:marBottom w:val="0"/>
      <w:divBdr>
        <w:top w:val="none" w:sz="0" w:space="0" w:color="auto"/>
        <w:left w:val="none" w:sz="0" w:space="0" w:color="auto"/>
        <w:bottom w:val="none" w:sz="0" w:space="0" w:color="auto"/>
        <w:right w:val="none" w:sz="0" w:space="0" w:color="auto"/>
      </w:divBdr>
    </w:div>
    <w:div w:id="270357573">
      <w:bodyDiv w:val="1"/>
      <w:marLeft w:val="0"/>
      <w:marRight w:val="0"/>
      <w:marTop w:val="0"/>
      <w:marBottom w:val="0"/>
      <w:divBdr>
        <w:top w:val="none" w:sz="0" w:space="0" w:color="auto"/>
        <w:left w:val="none" w:sz="0" w:space="0" w:color="auto"/>
        <w:bottom w:val="none" w:sz="0" w:space="0" w:color="auto"/>
        <w:right w:val="none" w:sz="0" w:space="0" w:color="auto"/>
      </w:divBdr>
    </w:div>
    <w:div w:id="368189408">
      <w:bodyDiv w:val="1"/>
      <w:marLeft w:val="0"/>
      <w:marRight w:val="0"/>
      <w:marTop w:val="0"/>
      <w:marBottom w:val="0"/>
      <w:divBdr>
        <w:top w:val="none" w:sz="0" w:space="0" w:color="auto"/>
        <w:left w:val="none" w:sz="0" w:space="0" w:color="auto"/>
        <w:bottom w:val="none" w:sz="0" w:space="0" w:color="auto"/>
        <w:right w:val="none" w:sz="0" w:space="0" w:color="auto"/>
      </w:divBdr>
    </w:div>
    <w:div w:id="371270325">
      <w:bodyDiv w:val="1"/>
      <w:marLeft w:val="0"/>
      <w:marRight w:val="0"/>
      <w:marTop w:val="0"/>
      <w:marBottom w:val="0"/>
      <w:divBdr>
        <w:top w:val="none" w:sz="0" w:space="0" w:color="auto"/>
        <w:left w:val="none" w:sz="0" w:space="0" w:color="auto"/>
        <w:bottom w:val="none" w:sz="0" w:space="0" w:color="auto"/>
        <w:right w:val="none" w:sz="0" w:space="0" w:color="auto"/>
      </w:divBdr>
    </w:div>
    <w:div w:id="415132905">
      <w:bodyDiv w:val="1"/>
      <w:marLeft w:val="0"/>
      <w:marRight w:val="0"/>
      <w:marTop w:val="0"/>
      <w:marBottom w:val="0"/>
      <w:divBdr>
        <w:top w:val="none" w:sz="0" w:space="0" w:color="auto"/>
        <w:left w:val="none" w:sz="0" w:space="0" w:color="auto"/>
        <w:bottom w:val="none" w:sz="0" w:space="0" w:color="auto"/>
        <w:right w:val="none" w:sz="0" w:space="0" w:color="auto"/>
      </w:divBdr>
    </w:div>
    <w:div w:id="458304280">
      <w:bodyDiv w:val="1"/>
      <w:marLeft w:val="0"/>
      <w:marRight w:val="0"/>
      <w:marTop w:val="0"/>
      <w:marBottom w:val="0"/>
      <w:divBdr>
        <w:top w:val="none" w:sz="0" w:space="0" w:color="auto"/>
        <w:left w:val="none" w:sz="0" w:space="0" w:color="auto"/>
        <w:bottom w:val="none" w:sz="0" w:space="0" w:color="auto"/>
        <w:right w:val="none" w:sz="0" w:space="0" w:color="auto"/>
      </w:divBdr>
    </w:div>
    <w:div w:id="503478173">
      <w:bodyDiv w:val="1"/>
      <w:marLeft w:val="0"/>
      <w:marRight w:val="0"/>
      <w:marTop w:val="0"/>
      <w:marBottom w:val="0"/>
      <w:divBdr>
        <w:top w:val="none" w:sz="0" w:space="0" w:color="auto"/>
        <w:left w:val="none" w:sz="0" w:space="0" w:color="auto"/>
        <w:bottom w:val="none" w:sz="0" w:space="0" w:color="auto"/>
        <w:right w:val="none" w:sz="0" w:space="0" w:color="auto"/>
      </w:divBdr>
    </w:div>
    <w:div w:id="510222468">
      <w:bodyDiv w:val="1"/>
      <w:marLeft w:val="0"/>
      <w:marRight w:val="0"/>
      <w:marTop w:val="0"/>
      <w:marBottom w:val="0"/>
      <w:divBdr>
        <w:top w:val="none" w:sz="0" w:space="0" w:color="auto"/>
        <w:left w:val="none" w:sz="0" w:space="0" w:color="auto"/>
        <w:bottom w:val="none" w:sz="0" w:space="0" w:color="auto"/>
        <w:right w:val="none" w:sz="0" w:space="0" w:color="auto"/>
      </w:divBdr>
    </w:div>
    <w:div w:id="582688805">
      <w:bodyDiv w:val="1"/>
      <w:marLeft w:val="0"/>
      <w:marRight w:val="0"/>
      <w:marTop w:val="0"/>
      <w:marBottom w:val="0"/>
      <w:divBdr>
        <w:top w:val="none" w:sz="0" w:space="0" w:color="auto"/>
        <w:left w:val="none" w:sz="0" w:space="0" w:color="auto"/>
        <w:bottom w:val="none" w:sz="0" w:space="0" w:color="auto"/>
        <w:right w:val="none" w:sz="0" w:space="0" w:color="auto"/>
      </w:divBdr>
    </w:div>
    <w:div w:id="601382568">
      <w:bodyDiv w:val="1"/>
      <w:marLeft w:val="0"/>
      <w:marRight w:val="0"/>
      <w:marTop w:val="0"/>
      <w:marBottom w:val="0"/>
      <w:divBdr>
        <w:top w:val="none" w:sz="0" w:space="0" w:color="auto"/>
        <w:left w:val="none" w:sz="0" w:space="0" w:color="auto"/>
        <w:bottom w:val="none" w:sz="0" w:space="0" w:color="auto"/>
        <w:right w:val="none" w:sz="0" w:space="0" w:color="auto"/>
      </w:divBdr>
    </w:div>
    <w:div w:id="663050203">
      <w:bodyDiv w:val="1"/>
      <w:marLeft w:val="0"/>
      <w:marRight w:val="0"/>
      <w:marTop w:val="0"/>
      <w:marBottom w:val="0"/>
      <w:divBdr>
        <w:top w:val="none" w:sz="0" w:space="0" w:color="auto"/>
        <w:left w:val="none" w:sz="0" w:space="0" w:color="auto"/>
        <w:bottom w:val="none" w:sz="0" w:space="0" w:color="auto"/>
        <w:right w:val="none" w:sz="0" w:space="0" w:color="auto"/>
      </w:divBdr>
    </w:div>
    <w:div w:id="761996711">
      <w:bodyDiv w:val="1"/>
      <w:marLeft w:val="0"/>
      <w:marRight w:val="0"/>
      <w:marTop w:val="0"/>
      <w:marBottom w:val="0"/>
      <w:divBdr>
        <w:top w:val="none" w:sz="0" w:space="0" w:color="auto"/>
        <w:left w:val="none" w:sz="0" w:space="0" w:color="auto"/>
        <w:bottom w:val="none" w:sz="0" w:space="0" w:color="auto"/>
        <w:right w:val="none" w:sz="0" w:space="0" w:color="auto"/>
      </w:divBdr>
    </w:div>
    <w:div w:id="780490549">
      <w:bodyDiv w:val="1"/>
      <w:marLeft w:val="0"/>
      <w:marRight w:val="0"/>
      <w:marTop w:val="0"/>
      <w:marBottom w:val="0"/>
      <w:divBdr>
        <w:top w:val="none" w:sz="0" w:space="0" w:color="auto"/>
        <w:left w:val="none" w:sz="0" w:space="0" w:color="auto"/>
        <w:bottom w:val="none" w:sz="0" w:space="0" w:color="auto"/>
        <w:right w:val="none" w:sz="0" w:space="0" w:color="auto"/>
      </w:divBdr>
    </w:div>
    <w:div w:id="918712091">
      <w:bodyDiv w:val="1"/>
      <w:marLeft w:val="0"/>
      <w:marRight w:val="0"/>
      <w:marTop w:val="0"/>
      <w:marBottom w:val="0"/>
      <w:divBdr>
        <w:top w:val="none" w:sz="0" w:space="0" w:color="auto"/>
        <w:left w:val="none" w:sz="0" w:space="0" w:color="auto"/>
        <w:bottom w:val="none" w:sz="0" w:space="0" w:color="auto"/>
        <w:right w:val="none" w:sz="0" w:space="0" w:color="auto"/>
      </w:divBdr>
    </w:div>
    <w:div w:id="1040321724">
      <w:bodyDiv w:val="1"/>
      <w:marLeft w:val="0"/>
      <w:marRight w:val="0"/>
      <w:marTop w:val="0"/>
      <w:marBottom w:val="0"/>
      <w:divBdr>
        <w:top w:val="none" w:sz="0" w:space="0" w:color="auto"/>
        <w:left w:val="none" w:sz="0" w:space="0" w:color="auto"/>
        <w:bottom w:val="none" w:sz="0" w:space="0" w:color="auto"/>
        <w:right w:val="none" w:sz="0" w:space="0" w:color="auto"/>
      </w:divBdr>
    </w:div>
    <w:div w:id="1108157939">
      <w:bodyDiv w:val="1"/>
      <w:marLeft w:val="0"/>
      <w:marRight w:val="0"/>
      <w:marTop w:val="0"/>
      <w:marBottom w:val="0"/>
      <w:divBdr>
        <w:top w:val="none" w:sz="0" w:space="0" w:color="auto"/>
        <w:left w:val="none" w:sz="0" w:space="0" w:color="auto"/>
        <w:bottom w:val="none" w:sz="0" w:space="0" w:color="auto"/>
        <w:right w:val="none" w:sz="0" w:space="0" w:color="auto"/>
      </w:divBdr>
    </w:div>
    <w:div w:id="1185024473">
      <w:bodyDiv w:val="1"/>
      <w:marLeft w:val="0"/>
      <w:marRight w:val="0"/>
      <w:marTop w:val="0"/>
      <w:marBottom w:val="0"/>
      <w:divBdr>
        <w:top w:val="none" w:sz="0" w:space="0" w:color="auto"/>
        <w:left w:val="none" w:sz="0" w:space="0" w:color="auto"/>
        <w:bottom w:val="none" w:sz="0" w:space="0" w:color="auto"/>
        <w:right w:val="none" w:sz="0" w:space="0" w:color="auto"/>
      </w:divBdr>
    </w:div>
    <w:div w:id="1189369976">
      <w:bodyDiv w:val="1"/>
      <w:marLeft w:val="0"/>
      <w:marRight w:val="0"/>
      <w:marTop w:val="0"/>
      <w:marBottom w:val="0"/>
      <w:divBdr>
        <w:top w:val="none" w:sz="0" w:space="0" w:color="auto"/>
        <w:left w:val="none" w:sz="0" w:space="0" w:color="auto"/>
        <w:bottom w:val="none" w:sz="0" w:space="0" w:color="auto"/>
        <w:right w:val="none" w:sz="0" w:space="0" w:color="auto"/>
      </w:divBdr>
    </w:div>
    <w:div w:id="1283077569">
      <w:bodyDiv w:val="1"/>
      <w:marLeft w:val="0"/>
      <w:marRight w:val="0"/>
      <w:marTop w:val="0"/>
      <w:marBottom w:val="0"/>
      <w:divBdr>
        <w:top w:val="none" w:sz="0" w:space="0" w:color="auto"/>
        <w:left w:val="none" w:sz="0" w:space="0" w:color="auto"/>
        <w:bottom w:val="none" w:sz="0" w:space="0" w:color="auto"/>
        <w:right w:val="none" w:sz="0" w:space="0" w:color="auto"/>
      </w:divBdr>
    </w:div>
    <w:div w:id="1299145561">
      <w:bodyDiv w:val="1"/>
      <w:marLeft w:val="0"/>
      <w:marRight w:val="0"/>
      <w:marTop w:val="0"/>
      <w:marBottom w:val="0"/>
      <w:divBdr>
        <w:top w:val="none" w:sz="0" w:space="0" w:color="auto"/>
        <w:left w:val="none" w:sz="0" w:space="0" w:color="auto"/>
        <w:bottom w:val="none" w:sz="0" w:space="0" w:color="auto"/>
        <w:right w:val="none" w:sz="0" w:space="0" w:color="auto"/>
      </w:divBdr>
    </w:div>
    <w:div w:id="1301616583">
      <w:bodyDiv w:val="1"/>
      <w:marLeft w:val="0"/>
      <w:marRight w:val="0"/>
      <w:marTop w:val="0"/>
      <w:marBottom w:val="0"/>
      <w:divBdr>
        <w:top w:val="none" w:sz="0" w:space="0" w:color="auto"/>
        <w:left w:val="none" w:sz="0" w:space="0" w:color="auto"/>
        <w:bottom w:val="none" w:sz="0" w:space="0" w:color="auto"/>
        <w:right w:val="none" w:sz="0" w:space="0" w:color="auto"/>
      </w:divBdr>
      <w:divsChild>
        <w:div w:id="725448527">
          <w:marLeft w:val="0"/>
          <w:marRight w:val="0"/>
          <w:marTop w:val="0"/>
          <w:marBottom w:val="0"/>
          <w:divBdr>
            <w:top w:val="none" w:sz="0" w:space="0" w:color="auto"/>
            <w:left w:val="none" w:sz="0" w:space="0" w:color="auto"/>
            <w:bottom w:val="none" w:sz="0" w:space="0" w:color="auto"/>
            <w:right w:val="none" w:sz="0" w:space="0" w:color="auto"/>
          </w:divBdr>
        </w:div>
      </w:divsChild>
    </w:div>
    <w:div w:id="1414936733">
      <w:bodyDiv w:val="1"/>
      <w:marLeft w:val="0"/>
      <w:marRight w:val="0"/>
      <w:marTop w:val="0"/>
      <w:marBottom w:val="0"/>
      <w:divBdr>
        <w:top w:val="none" w:sz="0" w:space="0" w:color="auto"/>
        <w:left w:val="none" w:sz="0" w:space="0" w:color="auto"/>
        <w:bottom w:val="none" w:sz="0" w:space="0" w:color="auto"/>
        <w:right w:val="none" w:sz="0" w:space="0" w:color="auto"/>
      </w:divBdr>
    </w:div>
    <w:div w:id="1420366060">
      <w:bodyDiv w:val="1"/>
      <w:marLeft w:val="0"/>
      <w:marRight w:val="0"/>
      <w:marTop w:val="0"/>
      <w:marBottom w:val="0"/>
      <w:divBdr>
        <w:top w:val="none" w:sz="0" w:space="0" w:color="auto"/>
        <w:left w:val="none" w:sz="0" w:space="0" w:color="auto"/>
        <w:bottom w:val="none" w:sz="0" w:space="0" w:color="auto"/>
        <w:right w:val="none" w:sz="0" w:space="0" w:color="auto"/>
      </w:divBdr>
    </w:div>
    <w:div w:id="1447193948">
      <w:bodyDiv w:val="1"/>
      <w:marLeft w:val="0"/>
      <w:marRight w:val="0"/>
      <w:marTop w:val="0"/>
      <w:marBottom w:val="0"/>
      <w:divBdr>
        <w:top w:val="none" w:sz="0" w:space="0" w:color="auto"/>
        <w:left w:val="none" w:sz="0" w:space="0" w:color="auto"/>
        <w:bottom w:val="none" w:sz="0" w:space="0" w:color="auto"/>
        <w:right w:val="none" w:sz="0" w:space="0" w:color="auto"/>
      </w:divBdr>
    </w:div>
    <w:div w:id="1451823354">
      <w:bodyDiv w:val="1"/>
      <w:marLeft w:val="0"/>
      <w:marRight w:val="0"/>
      <w:marTop w:val="0"/>
      <w:marBottom w:val="0"/>
      <w:divBdr>
        <w:top w:val="none" w:sz="0" w:space="0" w:color="auto"/>
        <w:left w:val="none" w:sz="0" w:space="0" w:color="auto"/>
        <w:bottom w:val="none" w:sz="0" w:space="0" w:color="auto"/>
        <w:right w:val="none" w:sz="0" w:space="0" w:color="auto"/>
      </w:divBdr>
    </w:div>
    <w:div w:id="1487891485">
      <w:bodyDiv w:val="1"/>
      <w:marLeft w:val="0"/>
      <w:marRight w:val="0"/>
      <w:marTop w:val="0"/>
      <w:marBottom w:val="0"/>
      <w:divBdr>
        <w:top w:val="none" w:sz="0" w:space="0" w:color="auto"/>
        <w:left w:val="none" w:sz="0" w:space="0" w:color="auto"/>
        <w:bottom w:val="none" w:sz="0" w:space="0" w:color="auto"/>
        <w:right w:val="none" w:sz="0" w:space="0" w:color="auto"/>
      </w:divBdr>
    </w:div>
    <w:div w:id="1488083732">
      <w:bodyDiv w:val="1"/>
      <w:marLeft w:val="0"/>
      <w:marRight w:val="0"/>
      <w:marTop w:val="0"/>
      <w:marBottom w:val="0"/>
      <w:divBdr>
        <w:top w:val="none" w:sz="0" w:space="0" w:color="auto"/>
        <w:left w:val="none" w:sz="0" w:space="0" w:color="auto"/>
        <w:bottom w:val="none" w:sz="0" w:space="0" w:color="auto"/>
        <w:right w:val="none" w:sz="0" w:space="0" w:color="auto"/>
      </w:divBdr>
    </w:div>
    <w:div w:id="1512722088">
      <w:bodyDiv w:val="1"/>
      <w:marLeft w:val="0"/>
      <w:marRight w:val="0"/>
      <w:marTop w:val="0"/>
      <w:marBottom w:val="0"/>
      <w:divBdr>
        <w:top w:val="none" w:sz="0" w:space="0" w:color="auto"/>
        <w:left w:val="none" w:sz="0" w:space="0" w:color="auto"/>
        <w:bottom w:val="none" w:sz="0" w:space="0" w:color="auto"/>
        <w:right w:val="none" w:sz="0" w:space="0" w:color="auto"/>
      </w:divBdr>
    </w:div>
    <w:div w:id="1516843331">
      <w:bodyDiv w:val="1"/>
      <w:marLeft w:val="0"/>
      <w:marRight w:val="0"/>
      <w:marTop w:val="0"/>
      <w:marBottom w:val="0"/>
      <w:divBdr>
        <w:top w:val="none" w:sz="0" w:space="0" w:color="auto"/>
        <w:left w:val="none" w:sz="0" w:space="0" w:color="auto"/>
        <w:bottom w:val="none" w:sz="0" w:space="0" w:color="auto"/>
        <w:right w:val="none" w:sz="0" w:space="0" w:color="auto"/>
      </w:divBdr>
    </w:div>
    <w:div w:id="1518272919">
      <w:bodyDiv w:val="1"/>
      <w:marLeft w:val="0"/>
      <w:marRight w:val="0"/>
      <w:marTop w:val="0"/>
      <w:marBottom w:val="0"/>
      <w:divBdr>
        <w:top w:val="none" w:sz="0" w:space="0" w:color="auto"/>
        <w:left w:val="none" w:sz="0" w:space="0" w:color="auto"/>
        <w:bottom w:val="none" w:sz="0" w:space="0" w:color="auto"/>
        <w:right w:val="none" w:sz="0" w:space="0" w:color="auto"/>
      </w:divBdr>
    </w:div>
    <w:div w:id="1526746639">
      <w:bodyDiv w:val="1"/>
      <w:marLeft w:val="0"/>
      <w:marRight w:val="0"/>
      <w:marTop w:val="0"/>
      <w:marBottom w:val="0"/>
      <w:divBdr>
        <w:top w:val="none" w:sz="0" w:space="0" w:color="auto"/>
        <w:left w:val="none" w:sz="0" w:space="0" w:color="auto"/>
        <w:bottom w:val="none" w:sz="0" w:space="0" w:color="auto"/>
        <w:right w:val="none" w:sz="0" w:space="0" w:color="auto"/>
      </w:divBdr>
    </w:div>
    <w:div w:id="1556699669">
      <w:bodyDiv w:val="1"/>
      <w:marLeft w:val="0"/>
      <w:marRight w:val="0"/>
      <w:marTop w:val="0"/>
      <w:marBottom w:val="0"/>
      <w:divBdr>
        <w:top w:val="none" w:sz="0" w:space="0" w:color="auto"/>
        <w:left w:val="none" w:sz="0" w:space="0" w:color="auto"/>
        <w:bottom w:val="none" w:sz="0" w:space="0" w:color="auto"/>
        <w:right w:val="none" w:sz="0" w:space="0" w:color="auto"/>
      </w:divBdr>
    </w:div>
    <w:div w:id="1590458316">
      <w:bodyDiv w:val="1"/>
      <w:marLeft w:val="0"/>
      <w:marRight w:val="0"/>
      <w:marTop w:val="0"/>
      <w:marBottom w:val="0"/>
      <w:divBdr>
        <w:top w:val="none" w:sz="0" w:space="0" w:color="auto"/>
        <w:left w:val="none" w:sz="0" w:space="0" w:color="auto"/>
        <w:bottom w:val="none" w:sz="0" w:space="0" w:color="auto"/>
        <w:right w:val="none" w:sz="0" w:space="0" w:color="auto"/>
      </w:divBdr>
    </w:div>
    <w:div w:id="1685858634">
      <w:bodyDiv w:val="1"/>
      <w:marLeft w:val="0"/>
      <w:marRight w:val="0"/>
      <w:marTop w:val="0"/>
      <w:marBottom w:val="0"/>
      <w:divBdr>
        <w:top w:val="none" w:sz="0" w:space="0" w:color="auto"/>
        <w:left w:val="none" w:sz="0" w:space="0" w:color="auto"/>
        <w:bottom w:val="none" w:sz="0" w:space="0" w:color="auto"/>
        <w:right w:val="none" w:sz="0" w:space="0" w:color="auto"/>
      </w:divBdr>
    </w:div>
    <w:div w:id="1688671248">
      <w:bodyDiv w:val="1"/>
      <w:marLeft w:val="0"/>
      <w:marRight w:val="0"/>
      <w:marTop w:val="0"/>
      <w:marBottom w:val="0"/>
      <w:divBdr>
        <w:top w:val="none" w:sz="0" w:space="0" w:color="auto"/>
        <w:left w:val="none" w:sz="0" w:space="0" w:color="auto"/>
        <w:bottom w:val="none" w:sz="0" w:space="0" w:color="auto"/>
        <w:right w:val="none" w:sz="0" w:space="0" w:color="auto"/>
      </w:divBdr>
    </w:div>
    <w:div w:id="1780418111">
      <w:bodyDiv w:val="1"/>
      <w:marLeft w:val="0"/>
      <w:marRight w:val="0"/>
      <w:marTop w:val="0"/>
      <w:marBottom w:val="0"/>
      <w:divBdr>
        <w:top w:val="none" w:sz="0" w:space="0" w:color="auto"/>
        <w:left w:val="none" w:sz="0" w:space="0" w:color="auto"/>
        <w:bottom w:val="none" w:sz="0" w:space="0" w:color="auto"/>
        <w:right w:val="none" w:sz="0" w:space="0" w:color="auto"/>
      </w:divBdr>
    </w:div>
    <w:div w:id="1817718462">
      <w:bodyDiv w:val="1"/>
      <w:marLeft w:val="0"/>
      <w:marRight w:val="0"/>
      <w:marTop w:val="0"/>
      <w:marBottom w:val="0"/>
      <w:divBdr>
        <w:top w:val="none" w:sz="0" w:space="0" w:color="auto"/>
        <w:left w:val="none" w:sz="0" w:space="0" w:color="auto"/>
        <w:bottom w:val="none" w:sz="0" w:space="0" w:color="auto"/>
        <w:right w:val="none" w:sz="0" w:space="0" w:color="auto"/>
      </w:divBdr>
    </w:div>
    <w:div w:id="1978755591">
      <w:bodyDiv w:val="1"/>
      <w:marLeft w:val="0"/>
      <w:marRight w:val="0"/>
      <w:marTop w:val="0"/>
      <w:marBottom w:val="0"/>
      <w:divBdr>
        <w:top w:val="none" w:sz="0" w:space="0" w:color="auto"/>
        <w:left w:val="none" w:sz="0" w:space="0" w:color="auto"/>
        <w:bottom w:val="none" w:sz="0" w:space="0" w:color="auto"/>
        <w:right w:val="none" w:sz="0" w:space="0" w:color="auto"/>
      </w:divBdr>
    </w:div>
    <w:div w:id="201942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SO690Nmerical.XSL" StyleName="ISO 690 - Numerical Reference" Version="1987">
  <b:Source>
    <b:Tag>Sna06</b:Tag>
    <b:SourceType>JournalArticle</b:SourceType>
    <b:Guid>{D5038750-955C-46D0-BBC8-37C56AEEF7B3}</b:Guid>
    <b:Title>Assessment of futility in clinical trials</b:Title>
    <b:Year>2006</b:Year>
    <b:Volume>5</b:Volume>
    <b:Issue>4</b:Issue>
    <b:Author>
      <b:Author>
        <b:NameList>
          <b:Person>
            <b:Last>Snapinn</b:Last>
            <b:First>Steven</b:First>
          </b:Person>
          <b:Person>
            <b:Last>Chen</b:Last>
            <b:First>Mon-Gy</b:First>
          </b:Person>
          <b:Person>
            <b:Last>Jiang</b:Last>
            <b:First>Qi</b:First>
          </b:Person>
          <b:Person>
            <b:Last>Koutsoukos</b:Last>
            <b:First>Tony</b:First>
          </b:Person>
        </b:NameList>
      </b:Author>
    </b:Author>
    <b:JournalName>Pharmaceutical Statistics</b:JournalName>
    <b:Month>Oct-Dec</b:Month>
    <b:Pages>273-81</b:Pages>
    <b:RefOrder>3</b:RefOrder>
  </b:Source>
  <b:Source>
    <b:Tag>Eis09</b:Tag>
    <b:SourceType>JournalArticle</b:SourceType>
    <b:Guid>{A80C14A4-00AA-4411-8F36-28217A5C7974}</b:Guid>
    <b:Title>New response evaluation criteria in solid tumours: Revised RECIST guideline (version 1.1)</b:Title>
    <b:JournalName>European Journal of Cancer</b:JournalName>
    <b:Year>2009</b:Year>
    <b:Pages>228-247</b:Pages>
    <b:Volume>45</b:Volume>
    <b:Author>
      <b:Author>
        <b:NameList>
          <b:Person>
            <b:Last>Eisenhauer</b:Last>
            <b:Middle>A.</b:Middle>
            <b:First>E.</b:First>
          </b:Person>
          <b:Person>
            <b:Last>Therasse</b:Last>
            <b:First>P.</b:First>
          </b:Person>
          <b:Person>
            <b:Last>Bogaerts</b:Last>
            <b:First>J.</b:First>
          </b:Person>
          <b:Person>
            <b:Last>Schwartz</b:Last>
            <b:Middle>H.</b:Middle>
            <b:First>L.</b:First>
          </b:Person>
          <b:Person>
            <b:Last>Sargent</b:Last>
            <b:First>D.</b:First>
          </b:Person>
          <b:Person>
            <b:Last>Ford</b:Last>
            <b:First>R.</b:First>
          </b:Person>
          <b:Person>
            <b:Last>Dancey</b:Last>
            <b:First>J.</b:First>
          </b:Person>
          <b:Person>
            <b:Last>Arbuck</b:Last>
            <b:First>S.</b:First>
          </b:Person>
          <b:Person>
            <b:Last>Gwyther</b:Last>
            <b:First>S.</b:First>
          </b:Person>
          <b:Person>
            <b:Last>Mooney</b:Last>
            <b:First>M.</b:First>
          </b:Person>
          <b:Person>
            <b:Last>Rubinstein</b:Last>
            <b:First>L.</b:First>
          </b:Person>
          <b:Person>
            <b:Last>Shankar</b:Last>
            <b:First>L.</b:First>
          </b:Person>
          <b:Person>
            <b:Last>Dodd</b:Last>
            <b:First>L.</b:First>
          </b:Person>
          <b:Person>
            <b:Last>Kaplan</b:Last>
            <b:First>R.</b:First>
          </b:Person>
          <b:Person>
            <b:Last>Lacombe</b:Last>
            <b:First>D.</b:First>
          </b:Person>
          <b:Person>
            <b:Last>Verweij</b:Last>
            <b:First>J.</b:First>
          </b:Person>
        </b:NameList>
      </b:Author>
    </b:Author>
    <b:RefOrder>4</b:RefOrder>
  </b:Source>
  <b:Source>
    <b:Tag>USD10</b:Tag>
    <b:SourceType>DocumentFromInternetSite</b:SourceType>
    <b:Guid>{570217BA-F694-4DBF-A8D3-E32A88BFFED8}</b:Guid>
    <b:Author>
      <b:Author>
        <b:Corporate>U.S.DEPARTMENT OF HEALTH AND HUMAN SERVICES</b:Corporate>
      </b:Author>
    </b:Author>
    <b:Title>Common Terminology Criteria for Adverse Events (CTCAE) v4.03</b:Title>
    <b:Year>2010</b:Year>
    <b:Month>June</b:Month>
    <b:Day>14</b:Day>
    <b:URL>https://evs.nci.nih.gov/ftp1/CTCAE/CTCAE_4.03/CTCAE_4.03_2010-06-14_QuickReference_5x7.pdf</b:URL>
    <b:RefOrder>5</b:RefOrder>
  </b:Source>
  <b:Source>
    <b:Tag>Jen00</b:Tag>
    <b:SourceType>Book</b:SourceType>
    <b:Guid>{8950E5E7-9EFE-4A81-8F5C-A6C8918E4EDE}</b:Guid>
    <b:Title>Group Sequential Methods with Applications to Clinical Trials</b:Title>
    <b:Year>2000</b:Year>
    <b:Publisher>Chapman and Hall/CRC</b:Publisher>
    <b:StandardNumber>9780849303166</b:StandardNumber>
    <b:Author>
      <b:Author>
        <b:NameList>
          <b:Person>
            <b:Last>Jennison</b:Last>
            <b:First>Christopher</b:First>
          </b:Person>
          <b:Person>
            <b:Last>Turnbull</b:Last>
            <b:Middle>W</b:Middle>
            <b:First>Bruce</b:First>
          </b:Person>
        </b:NameList>
      </b:Author>
    </b:Author>
    <b:RefOrder>2</b:RefOrder>
  </b:Source>
  <b:Source>
    <b:Tag>Sch17</b:Tag>
    <b:SourceType>JournalArticle</b:SourceType>
    <b:Guid>{9ACCA7B2-194F-429B-8356-1265495554E9}</b:Guid>
    <b:Title>Choice of futility boundaries for group sequential designs with two endpoints</b:Title>
    <b:Year>2017</b:Year>
    <b:Volume>17</b:Volume>
    <b:Issue>1</b:Issue>
    <b:Author>
      <b:Author>
        <b:NameList>
          <b:Person>
            <b:Last>Schüler</b:Last>
            <b:First>Svenja</b:First>
          </b:Person>
          <b:Person>
            <b:Last>Kieser</b:Last>
            <b:First>Meinhard</b:First>
          </b:Person>
          <b:Person>
            <b:Last>Rauch</b:Last>
            <b:First>Geraldine</b:First>
          </b:Person>
        </b:NameList>
      </b:Author>
    </b:Author>
    <b:JournalName>BMC Medical Research Methodology</b:JournalName>
    <b:RefOrder>6</b:RefOrder>
  </b:Source>
  <b:Source>
    <b:Tag>Pet791</b:Tag>
    <b:SourceType>JournalArticle</b:SourceType>
    <b:Guid>{F98D3E2C-1A30-4C07-BE55-487B3618CA2C}</b:Guid>
    <b:Title>A Multiple Testing Procedure for Clinical Trials</b:Title>
    <b:Year>1979</b:Year>
    <b:Volume>35</b:Volume>
    <b:Issue>3</b:Issue>
    <b:Author>
      <b:Author>
        <b:NameList>
          <b:Person>
            <b:Last>Fleming</b:Last>
            <b:First>Peter</b:First>
            <b:Middle>C. O'Brien and Thomas R.</b:Middle>
          </b:Person>
        </b:NameList>
      </b:Author>
    </b:Author>
    <b:Edition>3</b:Edition>
    <b:JournalName>International Biometric Society</b:JournalName>
    <b:Month>Sep</b:Month>
    <b:Pages>pp. 549-556</b:Pages>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6CF69855D96CCE48A1355C309EFA8D45" ma:contentTypeVersion="13" ma:contentTypeDescription="Create a new document." ma:contentTypeScope="" ma:versionID="1091e5688e2e6e0035440097dcfbc687">
  <xsd:schema xmlns:xsd="http://www.w3.org/2001/XMLSchema" xmlns:xs="http://www.w3.org/2001/XMLSchema" xmlns:p="http://schemas.microsoft.com/office/2006/metadata/properties" xmlns:ns3="14743699-e7d1-4d07-a3fe-5f6fa09a18e7" xmlns:ns4="ec44119d-5819-40b3-b06b-a07da3831644" targetNamespace="http://schemas.microsoft.com/office/2006/metadata/properties" ma:root="true" ma:fieldsID="e2c16c4ad6d72df5cb97c34f8070904b" ns3:_="" ns4:_="">
    <xsd:import namespace="14743699-e7d1-4d07-a3fe-5f6fa09a18e7"/>
    <xsd:import namespace="ec44119d-5819-40b3-b06b-a07da38316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43699-e7d1-4d07-a3fe-5f6fa09a1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44119d-5819-40b3-b06b-a07da383164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AD5DDE-C3E6-41DE-94A2-24BFFB8F0164}">
  <ds:schemaRefs>
    <ds:schemaRef ds:uri="http://schemas.microsoft.com/sharepoint/v3/contenttype/forms"/>
  </ds:schemaRefs>
</ds:datastoreItem>
</file>

<file path=customXml/itemProps2.xml><?xml version="1.0" encoding="utf-8"?>
<ds:datastoreItem xmlns:ds="http://schemas.openxmlformats.org/officeDocument/2006/customXml" ds:itemID="{FC868DD5-4660-4005-B1EE-BD4547AFA34E}">
  <ds:schemaRefs>
    <ds:schemaRef ds:uri="14743699-e7d1-4d07-a3fe-5f6fa09a18e7"/>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ec44119d-5819-40b3-b06b-a07da3831644"/>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ADFD059-161E-4CE5-BAAD-6B4962CB6153}">
  <ds:schemaRefs>
    <ds:schemaRef ds:uri="http://schemas.openxmlformats.org/officeDocument/2006/bibliography"/>
  </ds:schemaRefs>
</ds:datastoreItem>
</file>

<file path=customXml/itemProps4.xml><?xml version="1.0" encoding="utf-8"?>
<ds:datastoreItem xmlns:ds="http://schemas.openxmlformats.org/officeDocument/2006/customXml" ds:itemID="{A0FE512A-B22A-4C80-B9B1-3C4FE9D62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43699-e7d1-4d07-a3fe-5f6fa09a18e7"/>
    <ds:schemaRef ds:uri="ec44119d-5819-40b3-b06b-a07da3831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Nohpal de la Rosa, Consuelo</dc:creator>
  <cp:keywords/>
  <dc:description/>
  <cp:lastModifiedBy>Fiorentino, Francesca</cp:lastModifiedBy>
  <cp:revision>3</cp:revision>
  <dcterms:created xsi:type="dcterms:W3CDTF">2021-09-07T13:16:00Z</dcterms:created>
  <dcterms:modified xsi:type="dcterms:W3CDTF">2021-09-10T14:21:00Z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0x0101006CF69855D96CCE48A1355C309EFA8D45</vt:lpwstr>
  </property>
</Properties>
</file>