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927" w:rsidRPr="00871544" w:rsidRDefault="00877927" w:rsidP="00877927">
      <w:pPr>
        <w:pStyle w:val="Heading1"/>
      </w:pPr>
      <w:r>
        <w:t>Appendices</w:t>
      </w:r>
    </w:p>
    <w:p w:rsidR="00877927" w:rsidRDefault="00877927" w:rsidP="00877927">
      <w:pPr>
        <w:pStyle w:val="Heading2"/>
        <w:numPr>
          <w:ilvl w:val="0"/>
          <w:numId w:val="1"/>
        </w:numPr>
      </w:pPr>
      <w:r>
        <w:t>Parental/ Caregiver Consent Form</w:t>
      </w:r>
    </w:p>
    <w:p w:rsidR="00877927" w:rsidRDefault="00877927" w:rsidP="00877927">
      <w:r w:rsidRPr="00596074">
        <w:rPr>
          <w:noProof/>
        </w:rPr>
        <w:drawing>
          <wp:inline distT="0" distB="0" distL="0" distR="0" wp14:anchorId="3B19698E" wp14:editId="58F34D18">
            <wp:extent cx="5731510" cy="8148320"/>
            <wp:effectExtent l="0" t="0" r="254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48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Pr="00871544" w:rsidRDefault="00877927" w:rsidP="00877927">
      <w:r w:rsidRPr="00596074">
        <w:rPr>
          <w:noProof/>
        </w:rPr>
        <w:lastRenderedPageBreak/>
        <w:drawing>
          <wp:inline distT="0" distB="0" distL="0" distR="0" wp14:anchorId="4AA321B9" wp14:editId="6F51A5C6">
            <wp:extent cx="5731510" cy="8109585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/>
    <w:p w:rsidR="00877927" w:rsidRDefault="00877927" w:rsidP="00877927">
      <w:pPr>
        <w:pStyle w:val="Heading2"/>
        <w:numPr>
          <w:ilvl w:val="0"/>
          <w:numId w:val="1"/>
        </w:numPr>
      </w:pPr>
      <w:r>
        <w:lastRenderedPageBreak/>
        <w:t xml:space="preserve">Parent/Caregiver Participant Information Sheet </w:t>
      </w:r>
    </w:p>
    <w:p w:rsidR="00877927" w:rsidRDefault="00877927" w:rsidP="00877927">
      <w:r w:rsidRPr="00596074">
        <w:rPr>
          <w:noProof/>
        </w:rPr>
        <w:drawing>
          <wp:inline distT="0" distB="0" distL="0" distR="0" wp14:anchorId="49A6EAFB" wp14:editId="23918636">
            <wp:extent cx="5731510" cy="8079740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118"/>
                    <a:stretch/>
                  </pic:blipFill>
                  <pic:spPr bwMode="auto">
                    <a:xfrm>
                      <a:off x="0" y="0"/>
                      <a:ext cx="5731510" cy="8079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>
      <w:r w:rsidRPr="00596074">
        <w:rPr>
          <w:noProof/>
        </w:rPr>
        <w:lastRenderedPageBreak/>
        <w:drawing>
          <wp:inline distT="0" distB="0" distL="0" distR="0" wp14:anchorId="7AFA6C67" wp14:editId="741D9789">
            <wp:extent cx="5731510" cy="8108950"/>
            <wp:effectExtent l="0" t="0" r="254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/>
    <w:p w:rsidR="00877927" w:rsidRDefault="00877927" w:rsidP="00877927">
      <w:r w:rsidRPr="00596074">
        <w:rPr>
          <w:noProof/>
        </w:rPr>
        <w:lastRenderedPageBreak/>
        <w:drawing>
          <wp:inline distT="0" distB="0" distL="0" distR="0" wp14:anchorId="092BA7B6" wp14:editId="6ACDB7D9">
            <wp:extent cx="5731510" cy="811657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1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/>
    <w:p w:rsidR="00877927" w:rsidRDefault="00877927" w:rsidP="00877927">
      <w:r w:rsidRPr="00596074">
        <w:rPr>
          <w:noProof/>
        </w:rPr>
        <w:lastRenderedPageBreak/>
        <w:drawing>
          <wp:inline distT="0" distB="0" distL="0" distR="0" wp14:anchorId="44325676" wp14:editId="5A2BBAA4">
            <wp:extent cx="5731510" cy="8129905"/>
            <wp:effectExtent l="0" t="0" r="254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2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/>
    <w:p w:rsidR="00877927" w:rsidRDefault="00877927" w:rsidP="00877927">
      <w:r w:rsidRPr="00596074">
        <w:rPr>
          <w:noProof/>
        </w:rPr>
        <w:lastRenderedPageBreak/>
        <w:drawing>
          <wp:inline distT="0" distB="0" distL="0" distR="0" wp14:anchorId="58FCE90F" wp14:editId="7985C2A2">
            <wp:extent cx="5731510" cy="8166100"/>
            <wp:effectExtent l="0" t="0" r="254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6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>
      <w:pPr>
        <w:ind w:left="360"/>
      </w:pPr>
    </w:p>
    <w:p w:rsidR="00877927" w:rsidRDefault="00877927" w:rsidP="00877927">
      <w:pPr>
        <w:pStyle w:val="Heading2"/>
        <w:numPr>
          <w:ilvl w:val="0"/>
          <w:numId w:val="1"/>
        </w:numPr>
      </w:pPr>
      <w:r>
        <w:lastRenderedPageBreak/>
        <w:t>Child Assent Form</w:t>
      </w:r>
    </w:p>
    <w:p w:rsidR="00877927" w:rsidRDefault="00877927" w:rsidP="00877927">
      <w:pPr>
        <w:pStyle w:val="ListParagraph"/>
      </w:pPr>
      <w:r w:rsidRPr="001F10D4">
        <w:rPr>
          <w:noProof/>
          <w:lang w:val="en-US"/>
        </w:rPr>
        <w:drawing>
          <wp:inline distT="0" distB="0" distL="0" distR="0" wp14:anchorId="1D62A017" wp14:editId="6BA4466E">
            <wp:extent cx="5731510" cy="8093075"/>
            <wp:effectExtent l="0" t="0" r="254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09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/>
    <w:p w:rsidR="00877927" w:rsidRDefault="00877927" w:rsidP="00877927">
      <w:r w:rsidRPr="001F10D4">
        <w:rPr>
          <w:noProof/>
        </w:rPr>
        <w:drawing>
          <wp:inline distT="0" distB="0" distL="0" distR="0" wp14:anchorId="6BB0BF8B" wp14:editId="76B11E85">
            <wp:extent cx="5731510" cy="810450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10D4">
        <w:t xml:space="preserve"> </w:t>
      </w:r>
    </w:p>
    <w:p w:rsidR="00877927" w:rsidRDefault="00877927" w:rsidP="00877927">
      <w:pPr>
        <w:pStyle w:val="Heading2"/>
        <w:numPr>
          <w:ilvl w:val="0"/>
          <w:numId w:val="1"/>
        </w:numPr>
      </w:pPr>
      <w:r>
        <w:lastRenderedPageBreak/>
        <w:t>Child Participant Information Sheet</w:t>
      </w:r>
    </w:p>
    <w:p w:rsidR="00877927" w:rsidRDefault="00877927" w:rsidP="00877927">
      <w:pPr>
        <w:pStyle w:val="ListParagraph"/>
      </w:pPr>
      <w:r w:rsidRPr="001F10D4">
        <w:rPr>
          <w:noProof/>
          <w:lang w:val="en-US"/>
        </w:rPr>
        <w:drawing>
          <wp:inline distT="0" distB="0" distL="0" distR="0" wp14:anchorId="36B350BB" wp14:editId="182CE61C">
            <wp:extent cx="5731510" cy="8131175"/>
            <wp:effectExtent l="0" t="0" r="2540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/>
    <w:p w:rsidR="00877927" w:rsidRDefault="00877927" w:rsidP="00877927">
      <w:pPr>
        <w:pStyle w:val="ListParagraph"/>
      </w:pPr>
      <w:r w:rsidRPr="001F10D4">
        <w:rPr>
          <w:noProof/>
          <w:lang w:val="en-US"/>
        </w:rPr>
        <w:lastRenderedPageBreak/>
        <w:drawing>
          <wp:inline distT="0" distB="0" distL="0" distR="0" wp14:anchorId="063032C0" wp14:editId="0217A062">
            <wp:extent cx="5731510" cy="810450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7927" w:rsidRDefault="00877927" w:rsidP="00877927">
      <w:pPr>
        <w:pStyle w:val="Heading2"/>
        <w:numPr>
          <w:ilvl w:val="0"/>
          <w:numId w:val="1"/>
        </w:numPr>
        <w:sectPr w:rsidR="00877927" w:rsidSect="00877927">
          <w:headerReference w:type="default" r:id="rId17"/>
          <w:footerReference w:type="default" r:id="rId1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6" w:space="0" w:color="CCCCCC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55"/>
        <w:gridCol w:w="5301"/>
      </w:tblGrid>
      <w:tr w:rsidR="00877927" w:rsidRPr="00A25049" w:rsidTr="00877927">
        <w:trPr>
          <w:tblHeader/>
        </w:trPr>
        <w:tc>
          <w:tcPr>
            <w:tcW w:w="5000" w:type="pct"/>
            <w:gridSpan w:val="2"/>
            <w:tcBorders>
              <w:top w:val="nil"/>
              <w:left w:val="nil"/>
              <w:bottom w:val="single" w:sz="4" w:space="0" w:color="D3D3D3"/>
              <w:right w:val="nil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</w:tcPr>
          <w:p w:rsidR="00877927" w:rsidRDefault="00877927" w:rsidP="00877927">
            <w:pPr>
              <w:pStyle w:val="Heading2"/>
              <w:numPr>
                <w:ilvl w:val="0"/>
                <w:numId w:val="1"/>
              </w:numPr>
            </w:pPr>
            <w:r>
              <w:lastRenderedPageBreak/>
              <w:t>Trial Registration Data Set</w:t>
            </w:r>
          </w:p>
        </w:tc>
      </w:tr>
      <w:tr w:rsidR="00877927" w:rsidRPr="00A25049" w:rsidTr="00877927">
        <w:trPr>
          <w:tblHeader/>
        </w:trPr>
        <w:tc>
          <w:tcPr>
            <w:tcW w:w="2197" w:type="pct"/>
            <w:tcBorders>
              <w:top w:val="single" w:sz="4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Data category</w:t>
            </w:r>
          </w:p>
        </w:tc>
        <w:tc>
          <w:tcPr>
            <w:tcW w:w="2803" w:type="pct"/>
            <w:tcBorders>
              <w:top w:val="single" w:sz="4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EEEEEE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Treatment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Primary registry and trial identifying number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rPr>
                <w:rFonts w:ascii="Raleway" w:hAnsi="Raleway"/>
                <w:color w:val="111111"/>
                <w:sz w:val="21"/>
                <w:szCs w:val="21"/>
                <w:shd w:val="clear" w:color="auto" w:fill="EEEEEE"/>
              </w:rPr>
              <w:t>Australia New Zealand Clinical Trials Registry. ACTRN12620000061932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Date of registration in primary registry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24/1/2020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Secondary identifying numbers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None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Source(s) of monetary or material support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Health Research Council of New Zealand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Primary sponsor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Health Research Council of New Zealand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Secondary sponsor(s)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none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Contact for public queries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Default="00877927" w:rsidP="003E6A30">
            <w:r>
              <w:t>Mrs Jayshree South</w:t>
            </w:r>
          </w:p>
          <w:p w:rsidR="00877927" w:rsidRDefault="00877927" w:rsidP="003E6A30">
            <w:r>
              <w:t xml:space="preserve"> </w:t>
            </w:r>
            <w:r w:rsidRPr="00A25049">
              <w:t>School of Optometry and Vision Science</w:t>
            </w:r>
            <w:r w:rsidRPr="00A25049">
              <w:br/>
              <w:t>The University of Auckland</w:t>
            </w:r>
            <w:r w:rsidRPr="00A25049">
              <w:br/>
              <w:t>85 Park Road, Grafton</w:t>
            </w:r>
            <w:r w:rsidRPr="00A25049">
              <w:br/>
              <w:t>Auckland</w:t>
            </w:r>
            <w:r w:rsidRPr="00A25049">
              <w:br/>
              <w:t>1023</w:t>
            </w:r>
          </w:p>
          <w:p w:rsidR="00877927" w:rsidRPr="00A25049" w:rsidRDefault="00877927" w:rsidP="003E6A30">
            <w:r w:rsidRPr="00A25049">
              <w:t>New Zealand</w:t>
            </w:r>
          </w:p>
          <w:p w:rsidR="00877927" w:rsidRPr="00A25049" w:rsidRDefault="00877927" w:rsidP="003E6A30">
            <w:pPr>
              <w:rPr>
                <w:b/>
                <w:bCs/>
              </w:rPr>
            </w:pPr>
            <w:r w:rsidRPr="00A25049">
              <w:rPr>
                <w:b/>
                <w:bCs/>
              </w:rPr>
              <w:t>Phone</w:t>
            </w:r>
            <w:r>
              <w:rPr>
                <w:b/>
                <w:bCs/>
              </w:rPr>
              <w:t xml:space="preserve">: </w:t>
            </w:r>
            <w:r w:rsidRPr="00A25049">
              <w:t xml:space="preserve">+64 </w:t>
            </w:r>
            <w:r w:rsidRPr="00A25049">
              <w:rPr>
                <w:lang w:val="en-AU"/>
              </w:rPr>
              <w:t>273594878</w:t>
            </w:r>
          </w:p>
          <w:p w:rsidR="00877927" w:rsidRPr="00A25049" w:rsidRDefault="00877927" w:rsidP="003E6A30">
            <w:r w:rsidRPr="00A25049">
              <w:rPr>
                <w:b/>
                <w:bCs/>
              </w:rPr>
              <w:t>Email:</w:t>
            </w:r>
            <w:r>
              <w:t xml:space="preserve"> J.south@auckland,ac,nz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Contact for scientific queries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Default="00877927" w:rsidP="003E6A30">
            <w:r>
              <w:t xml:space="preserve">Dr Joanna Black </w:t>
            </w:r>
          </w:p>
          <w:p w:rsidR="00877927" w:rsidRPr="00A25049" w:rsidRDefault="00877927" w:rsidP="003E6A30">
            <w:r w:rsidRPr="00A25049">
              <w:t>School of Optometry and Vision Science</w:t>
            </w:r>
            <w:r w:rsidRPr="00A25049">
              <w:br/>
              <w:t>The University of Auckland</w:t>
            </w:r>
            <w:r w:rsidRPr="00A25049">
              <w:br/>
              <w:t>85 Park Road, Grafton</w:t>
            </w:r>
            <w:r w:rsidRPr="00A25049">
              <w:br/>
              <w:t>Auckland</w:t>
            </w:r>
            <w:r w:rsidRPr="00A25049">
              <w:br/>
              <w:t>1023</w:t>
            </w:r>
          </w:p>
          <w:p w:rsidR="00877927" w:rsidRPr="00A25049" w:rsidRDefault="00877927" w:rsidP="003E6A30">
            <w:pPr>
              <w:rPr>
                <w:b/>
                <w:bCs/>
              </w:rPr>
            </w:pPr>
            <w:r w:rsidRPr="00A25049">
              <w:rPr>
                <w:b/>
                <w:bCs/>
              </w:rPr>
              <w:t>Country</w:t>
            </w:r>
          </w:p>
          <w:p w:rsidR="00877927" w:rsidRPr="00A25049" w:rsidRDefault="00877927" w:rsidP="003E6A30">
            <w:r w:rsidRPr="00A25049">
              <w:t>New Zealand</w:t>
            </w:r>
          </w:p>
          <w:p w:rsidR="00877927" w:rsidRPr="00A25049" w:rsidRDefault="00877927" w:rsidP="003E6A30">
            <w:pPr>
              <w:rPr>
                <w:b/>
                <w:bCs/>
              </w:rPr>
            </w:pPr>
            <w:r w:rsidRPr="00A25049">
              <w:rPr>
                <w:b/>
                <w:bCs/>
              </w:rPr>
              <w:t>Phone</w:t>
            </w:r>
            <w:r>
              <w:rPr>
                <w:b/>
                <w:bCs/>
              </w:rPr>
              <w:t xml:space="preserve">: </w:t>
            </w:r>
            <w:r w:rsidRPr="00A25049">
              <w:t>+64 99232405</w:t>
            </w:r>
          </w:p>
          <w:p w:rsidR="00877927" w:rsidRPr="00A25049" w:rsidRDefault="00877927" w:rsidP="003E6A30">
            <w:pPr>
              <w:rPr>
                <w:b/>
                <w:bCs/>
              </w:rPr>
            </w:pPr>
            <w:r w:rsidRPr="00A25049">
              <w:rPr>
                <w:b/>
                <w:bCs/>
              </w:rPr>
              <w:lastRenderedPageBreak/>
              <w:t>Email</w:t>
            </w:r>
            <w:r>
              <w:rPr>
                <w:b/>
                <w:bCs/>
              </w:rPr>
              <w:t xml:space="preserve">: </w:t>
            </w:r>
            <w:r w:rsidRPr="00A25049">
              <w:t>j.black@auckland.ac.nz</w:t>
            </w:r>
          </w:p>
          <w:p w:rsidR="00877927" w:rsidRPr="00A25049" w:rsidRDefault="00877927" w:rsidP="003E6A30"/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lastRenderedPageBreak/>
              <w:t>Public title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6B472F">
              <w:t>Effect of standard versus customised spectacle treatment for children with asymmetric refractive error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Scientific title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Measuring aniseikonia: investigating neuroplasticity and image factors in amblyopic children using aniseikonia-correcting spectacles (MAGNIFY) study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Countries of recruitment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New Zealand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Health condition(s) or problem(s) studied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Anisometropia, Aniseikonia, Amblyopia</w:t>
            </w:r>
          </w:p>
        </w:tc>
      </w:tr>
      <w:tr w:rsidR="00877927" w:rsidRPr="00A25049" w:rsidTr="00877927">
        <w:tc>
          <w:tcPr>
            <w:tcW w:w="2197" w:type="pct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Intervention(s)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Active comparator: Aniseikonia correction lenses</w:t>
            </w:r>
            <w:r>
              <w:t xml:space="preserve"> (</w:t>
            </w:r>
            <w:r w:rsidRPr="00A25049">
              <w:t>spectacle lenses are designed to equalise focus and also reduce aniseikonia (image size differences) between the two eyes</w:t>
            </w:r>
          </w:p>
        </w:tc>
      </w:tr>
      <w:tr w:rsidR="00877927" w:rsidRPr="00A25049" w:rsidTr="00877927">
        <w:tc>
          <w:tcPr>
            <w:tcW w:w="2197" w:type="pct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:rsidR="00877927" w:rsidRPr="00A25049" w:rsidRDefault="00877927" w:rsidP="003E6A30"/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 xml:space="preserve">Placebo comparator: </w:t>
            </w:r>
            <w:r>
              <w:t>Standard Spectacle lens (</w:t>
            </w:r>
            <w:r w:rsidRPr="00A25049">
              <w:t>spectacle lens which corrects image focus only)</w:t>
            </w:r>
          </w:p>
        </w:tc>
      </w:tr>
      <w:tr w:rsidR="00877927" w:rsidRPr="00A25049" w:rsidTr="00877927">
        <w:tc>
          <w:tcPr>
            <w:tcW w:w="2197" w:type="pct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Key inclusion and exclusion criteria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 xml:space="preserve">Ages eligible for study: </w:t>
            </w:r>
            <w:r>
              <w:t>4 to 8 years old</w:t>
            </w:r>
            <w:r w:rsidRPr="00A25049">
              <w:br/>
              <w:t>Sexes eligible for study: both</w:t>
            </w:r>
            <w:r w:rsidRPr="00A25049">
              <w:br/>
              <w:t>Accepts healthy volunteers: no</w:t>
            </w:r>
          </w:p>
        </w:tc>
      </w:tr>
      <w:tr w:rsidR="00877927" w:rsidRPr="00A25049" w:rsidTr="00877927">
        <w:tc>
          <w:tcPr>
            <w:tcW w:w="2197" w:type="pct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:rsidR="00877927" w:rsidRPr="00A25049" w:rsidRDefault="00877927" w:rsidP="003E6A30"/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Default="00877927" w:rsidP="003E6A30">
            <w:r w:rsidRPr="00A25049">
              <w:t xml:space="preserve">Inclusion criteria: </w:t>
            </w:r>
          </w:p>
          <w:p w:rsidR="00877927" w:rsidRPr="00A25049" w:rsidRDefault="00877927" w:rsidP="003E6A30">
            <w:r w:rsidRPr="00EE3729">
              <w:t>• 4-8 Years of age</w:t>
            </w:r>
            <w:r w:rsidRPr="00EE3729">
              <w:br/>
              <w:t>• Anisometropia equal to or greater than 1.50 DS difference in spherical equivalent between eyes</w:t>
            </w:r>
            <w:r w:rsidRPr="00EE3729">
              <w:br/>
              <w:t>• Uncorrected Vision in the worst eye of 6/12 (0.30 logMAR) or worse with an interocular difference of 2 lines or more. Visual acuity will be measured using the ATS-HOTV protocol on the Electronic Visual Acuity tester (EVA).</w:t>
            </w:r>
            <w:r w:rsidRPr="00EE3729">
              <w:br/>
              <w:t xml:space="preserve">• No manifest strabismus at near or distance on cover </w:t>
            </w:r>
            <w:r w:rsidRPr="00EE3729">
              <w:lastRenderedPageBreak/>
              <w:t>test</w:t>
            </w:r>
            <w:r w:rsidRPr="00EE3729">
              <w:br/>
              <w:t>• Refractive corrections meet the following criteria and are based on a cycloplegic refraction that is not more than six months old. The criteria are: 1) Hyperopia: not be under-corrected by more than +1.50D spherical equivalent and the reduction in plus sphere must be identical between the two eyes. 2) Anisometropia: full correction of the anisometropic difference. 3) Astigmatism: full cylindrical power will be prescribed. 4) Cylinder axis in the spectacle lenses in both eyes must be equal to or less than +/-6 degrees of the axis of the cycloplegic refraction when cylinder power is equal to or greater than 1.00 D.</w:t>
            </w:r>
            <w:r w:rsidRPr="00EE3729">
              <w:br/>
              <w:t>• Willing and being able to provide written informed consent for participation in the study</w:t>
            </w:r>
          </w:p>
        </w:tc>
      </w:tr>
      <w:tr w:rsidR="00877927" w:rsidRPr="00A25049" w:rsidTr="00877927">
        <w:tc>
          <w:tcPr>
            <w:tcW w:w="2197" w:type="pct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:rsidR="00877927" w:rsidRPr="00A25049" w:rsidRDefault="00877927" w:rsidP="003E6A30"/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 xml:space="preserve">Exclusion criteria: </w:t>
            </w:r>
            <w:r w:rsidRPr="00EE3729">
              <w:t>Presence of a constant or alternating strabismus at any distance, previous amblyopia treatment, Myopia &gt; 6.00D, previous intraocular surgery, any co-existent ocular pathology and any known neurological conditions. Not willing to wear spectacle refractive correction</w:t>
            </w:r>
          </w:p>
        </w:tc>
      </w:tr>
      <w:tr w:rsidR="00877927" w:rsidRPr="00A25049" w:rsidTr="00877927">
        <w:tc>
          <w:tcPr>
            <w:tcW w:w="2197" w:type="pct"/>
            <w:vMerge w:val="restar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Study type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Interventional</w:t>
            </w:r>
          </w:p>
        </w:tc>
      </w:tr>
      <w:tr w:rsidR="00877927" w:rsidRPr="00A25049" w:rsidTr="00877927">
        <w:tc>
          <w:tcPr>
            <w:tcW w:w="2197" w:type="pct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:rsidR="00877927" w:rsidRPr="00A25049" w:rsidRDefault="00877927" w:rsidP="003E6A30"/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Default="00877927" w:rsidP="003E6A30">
            <w:r w:rsidRPr="00A25049">
              <w:t>Allocation</w:t>
            </w:r>
            <w:r>
              <w:t xml:space="preserve">: </w:t>
            </w:r>
            <w:r w:rsidRPr="00EE3729">
              <w:t>Randomised controlled trial</w:t>
            </w:r>
            <w:r w:rsidRPr="00A25049">
              <w:t xml:space="preserve">. </w:t>
            </w:r>
          </w:p>
          <w:p w:rsidR="00877927" w:rsidRPr="00A25049" w:rsidRDefault="00877927" w:rsidP="003E6A30">
            <w:r w:rsidRPr="00EE3729">
              <w:t>Allocation concealment: Participants will be randomized to the standard lenses or aniseikonia-correcting lenses group after they are consented to take part and confirmed to be eligible for the trial. Randomization will be conducted using an envelope or computer-based system. Allocation to each group will be made using a 1:1 ratio</w:t>
            </w:r>
          </w:p>
        </w:tc>
      </w:tr>
      <w:tr w:rsidR="00877927" w:rsidRPr="00A25049" w:rsidTr="00877927">
        <w:tc>
          <w:tcPr>
            <w:tcW w:w="2197" w:type="pct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:rsidR="00877927" w:rsidRPr="00A25049" w:rsidRDefault="00877927" w:rsidP="003E6A30"/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 xml:space="preserve">Primary purpose: </w:t>
            </w:r>
            <w:r>
              <w:t>Treatment</w:t>
            </w:r>
          </w:p>
        </w:tc>
      </w:tr>
      <w:tr w:rsidR="00877927" w:rsidRPr="00A25049" w:rsidTr="00877927">
        <w:tc>
          <w:tcPr>
            <w:tcW w:w="2197" w:type="pct"/>
            <w:vMerge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vAlign w:val="bottom"/>
            <w:hideMark/>
          </w:tcPr>
          <w:p w:rsidR="00877927" w:rsidRPr="00A25049" w:rsidRDefault="00877927" w:rsidP="003E6A30"/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/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Date of first enrolment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Jan 2020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Target sample size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>
              <w:t>50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Recruitment status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Recruiting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Primary outcome(s)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EE3729">
              <w:t>Change in best-corrected distance visual acuity in the amblyopic eye from baseline (dispensing visit) to 15 weeks post-randomisation, measured using the highly standardised HOTV protocol EVA testing system</w:t>
            </w:r>
            <w:r>
              <w:t xml:space="preserve"> (Time frame: </w:t>
            </w:r>
            <w:r w:rsidRPr="00EE3729">
              <w:t>From baseline (Dispensing visit) to 15 weeks post-randomisation</w:t>
            </w:r>
            <w:r>
              <w:t>)</w:t>
            </w:r>
          </w:p>
        </w:tc>
      </w:tr>
      <w:tr w:rsidR="00877927" w:rsidRPr="00A25049" w:rsidTr="00877927">
        <w:tc>
          <w:tcPr>
            <w:tcW w:w="2197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Pr="00A25049" w:rsidRDefault="00877927" w:rsidP="003E6A30">
            <w:r w:rsidRPr="00A25049">
              <w:t>Key secondary outcomes</w:t>
            </w:r>
          </w:p>
        </w:tc>
        <w:tc>
          <w:tcPr>
            <w:tcW w:w="2803" w:type="pct"/>
            <w:tcBorders>
              <w:top w:val="single" w:sz="6" w:space="0" w:color="D3D3D3"/>
              <w:left w:val="single" w:sz="6" w:space="0" w:color="D3D3D3"/>
              <w:bottom w:val="single" w:sz="6" w:space="0" w:color="D3D3D3"/>
              <w:right w:val="single" w:sz="6" w:space="0" w:color="D3D3D3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:rsidR="00877927" w:rsidRDefault="00877927" w:rsidP="003E6A30">
            <w:r w:rsidRPr="00EE3729">
              <w:t>Change from baseline (dispensing visit) in best-corrected distance visual acuity in the amblyopic eye, fellow eye and both eyes at 5, 10 and 15 weeks analysed post-randomisation as a composite score measured using the highly standardised HOTV protocol EVA testing system</w:t>
            </w:r>
            <w:r>
              <w:t xml:space="preserve"> (time frame: </w:t>
            </w:r>
            <w:r w:rsidRPr="00EE3729">
              <w:t>From baseline to 5-, 10- and 15-weeks post-randomisation</w:t>
            </w:r>
            <w:r>
              <w:t>)</w:t>
            </w:r>
          </w:p>
          <w:p w:rsidR="00877927" w:rsidRPr="00EE3729" w:rsidRDefault="00877927" w:rsidP="003E6A30">
            <w:r w:rsidRPr="00EE3729">
              <w:t>Change from baseline in stereopsis at 5-, 10- and 15-weeks post-randomisation measured using Randot Preschool Stereotest</w:t>
            </w:r>
            <w:r>
              <w:t xml:space="preserve"> (</w:t>
            </w:r>
            <w:r w:rsidRPr="00EE3729">
              <w:t>Baseline measurements from dispensing visit and 5, 10 and 15 weeks after randomization to standard lenses group or aniseikonia correcting lenses group</w:t>
            </w:r>
            <w:r>
              <w:t>)</w:t>
            </w:r>
          </w:p>
          <w:p w:rsidR="00877927" w:rsidRPr="00EE3729" w:rsidRDefault="00877927" w:rsidP="003E6A30">
            <w:r w:rsidRPr="00EE3729">
              <w:t>Spectacle wear compliance will be based on the total time the participants wore their glasses as recorded in the participants daily wear diary. A participant is considered compliant if they have worn their glasses for equal to or greater than 75% of their awake time</w:t>
            </w:r>
            <w:r>
              <w:t xml:space="preserve"> (</w:t>
            </w:r>
            <w:r w:rsidRPr="00EE3729">
              <w:t>At follow up visits 5, 10 and 15 weeks after randomization</w:t>
            </w:r>
            <w:r>
              <w:t>)</w:t>
            </w:r>
          </w:p>
          <w:p w:rsidR="00877927" w:rsidRPr="00EE3729" w:rsidRDefault="00877927" w:rsidP="003E6A30">
            <w:r w:rsidRPr="00EE3729">
              <w:t xml:space="preserve">Change in quality of life using the PedEyeQ Quality of life </w:t>
            </w:r>
            <w:r w:rsidRPr="00EE3729">
              <w:lastRenderedPageBreak/>
              <w:t>questionnaire.</w:t>
            </w:r>
            <w:r>
              <w:t xml:space="preserve"> (</w:t>
            </w:r>
            <w:r w:rsidRPr="00EE3729">
              <w:t>Baseline measurement (Dispensing visit) and 15 weeks post randomization to standard lenses or aniseikonia correcting lenses group</w:t>
            </w:r>
            <w:r>
              <w:t>)</w:t>
            </w:r>
          </w:p>
          <w:p w:rsidR="00877927" w:rsidRPr="00A25049" w:rsidRDefault="00877927" w:rsidP="003E6A30">
            <w:r w:rsidRPr="00EE3729">
              <w:t>Serious adverse events such as eye strain or headaches, reported by the participants or identified via eye exams during follow-up visits.</w:t>
            </w:r>
            <w:r>
              <w:t xml:space="preserve"> (</w:t>
            </w:r>
            <w:r w:rsidRPr="00EE3729">
              <w:t>5, 10 and 15 weeks after randomization</w:t>
            </w:r>
            <w:r>
              <w:t>)</w:t>
            </w:r>
            <w:bookmarkStart w:id="0" w:name="_GoBack"/>
            <w:bookmarkEnd w:id="0"/>
          </w:p>
        </w:tc>
      </w:tr>
    </w:tbl>
    <w:p w:rsidR="00A5447A" w:rsidRDefault="00A5447A" w:rsidP="00877927"/>
    <w:sectPr w:rsidR="00A544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altName w:val="Times New Roman"/>
    <w:charset w:val="00"/>
    <w:family w:val="auto"/>
    <w:pitch w:val="variable"/>
    <w:sig w:usb0="00000001" w:usb1="5000205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5847005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F616FF" w:rsidRDefault="0087792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F616FF" w:rsidRDefault="00877927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33A8" w:rsidRDefault="0087792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12F72"/>
    <w:multiLevelType w:val="hybridMultilevel"/>
    <w:tmpl w:val="BE3C86EE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927"/>
    <w:rsid w:val="0082473A"/>
    <w:rsid w:val="00877927"/>
    <w:rsid w:val="00A54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927"/>
    <w:pPr>
      <w:keepNext/>
      <w:keepLines/>
      <w:spacing w:before="240" w:after="0" w:line="259" w:lineRule="auto"/>
      <w:outlineLvl w:val="0"/>
    </w:pPr>
    <w:rPr>
      <w:rFonts w:ascii="Calibri" w:eastAsiaTheme="majorEastAsia" w:hAnsi="Calibri" w:cstheme="majorBidi"/>
      <w:color w:val="365F91" w:themeColor="accent1" w:themeShade="BF"/>
      <w:sz w:val="32"/>
      <w:szCs w:val="32"/>
      <w:lang w:val="en-NZ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927"/>
    <w:pPr>
      <w:keepNext/>
      <w:keepLines/>
      <w:spacing w:before="40" w:after="0" w:line="259" w:lineRule="auto"/>
      <w:outlineLvl w:val="1"/>
    </w:pPr>
    <w:rPr>
      <w:rFonts w:ascii="Calibri" w:eastAsiaTheme="majorEastAsia" w:hAnsi="Calibri" w:cstheme="majorBidi"/>
      <w:color w:val="365F91" w:themeColor="accent1" w:themeShade="BF"/>
      <w:sz w:val="28"/>
      <w:szCs w:val="26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927"/>
    <w:rPr>
      <w:rFonts w:ascii="Calibri" w:eastAsiaTheme="majorEastAsia" w:hAnsi="Calibri" w:cstheme="majorBidi"/>
      <w:color w:val="365F91" w:themeColor="accent1" w:themeShade="BF"/>
      <w:sz w:val="32"/>
      <w:szCs w:val="32"/>
      <w:lang w:val="en-NZ"/>
    </w:rPr>
  </w:style>
  <w:style w:type="character" w:customStyle="1" w:styleId="Heading2Char">
    <w:name w:val="Heading 2 Char"/>
    <w:basedOn w:val="DefaultParagraphFont"/>
    <w:link w:val="Heading2"/>
    <w:uiPriority w:val="9"/>
    <w:rsid w:val="00877927"/>
    <w:rPr>
      <w:rFonts w:ascii="Calibri" w:eastAsiaTheme="majorEastAsia" w:hAnsi="Calibri" w:cstheme="majorBidi"/>
      <w:color w:val="365F91" w:themeColor="accent1" w:themeShade="BF"/>
      <w:sz w:val="28"/>
      <w:szCs w:val="26"/>
      <w:lang w:val="en-NZ"/>
    </w:rPr>
  </w:style>
  <w:style w:type="paragraph" w:styleId="ListParagraph">
    <w:name w:val="List Paragraph"/>
    <w:basedOn w:val="Normal"/>
    <w:uiPriority w:val="34"/>
    <w:qFormat/>
    <w:rsid w:val="00877927"/>
    <w:pPr>
      <w:spacing w:after="160" w:line="259" w:lineRule="auto"/>
      <w:ind w:left="720"/>
      <w:contextualSpacing/>
    </w:pPr>
    <w:rPr>
      <w:rFonts w:ascii="Verdana" w:hAnsi="Verdana"/>
      <w:lang w:val="en-NZ"/>
    </w:rPr>
  </w:style>
  <w:style w:type="paragraph" w:styleId="Header">
    <w:name w:val="header"/>
    <w:basedOn w:val="Normal"/>
    <w:link w:val="HeaderChar"/>
    <w:uiPriority w:val="99"/>
    <w:unhideWhenUsed/>
    <w:rsid w:val="00877927"/>
    <w:pPr>
      <w:tabs>
        <w:tab w:val="center" w:pos="4513"/>
        <w:tab w:val="right" w:pos="9026"/>
      </w:tabs>
      <w:spacing w:after="0" w:line="240" w:lineRule="auto"/>
    </w:pPr>
    <w:rPr>
      <w:rFonts w:ascii="Verdana" w:hAnsi="Verdana"/>
      <w:lang w:val="en-NZ"/>
    </w:rPr>
  </w:style>
  <w:style w:type="character" w:customStyle="1" w:styleId="HeaderChar">
    <w:name w:val="Header Char"/>
    <w:basedOn w:val="DefaultParagraphFont"/>
    <w:link w:val="Header"/>
    <w:uiPriority w:val="99"/>
    <w:rsid w:val="00877927"/>
    <w:rPr>
      <w:rFonts w:ascii="Verdana" w:hAnsi="Verdana"/>
      <w:lang w:val="en-NZ"/>
    </w:rPr>
  </w:style>
  <w:style w:type="paragraph" w:styleId="Footer">
    <w:name w:val="footer"/>
    <w:basedOn w:val="Normal"/>
    <w:link w:val="FooterChar"/>
    <w:uiPriority w:val="99"/>
    <w:unhideWhenUsed/>
    <w:rsid w:val="00877927"/>
    <w:pPr>
      <w:tabs>
        <w:tab w:val="center" w:pos="4513"/>
        <w:tab w:val="right" w:pos="9026"/>
      </w:tabs>
      <w:spacing w:after="0" w:line="240" w:lineRule="auto"/>
    </w:pPr>
    <w:rPr>
      <w:rFonts w:ascii="Verdana" w:hAnsi="Verdana"/>
      <w:lang w:val="en-NZ"/>
    </w:rPr>
  </w:style>
  <w:style w:type="character" w:customStyle="1" w:styleId="FooterChar">
    <w:name w:val="Footer Char"/>
    <w:basedOn w:val="DefaultParagraphFont"/>
    <w:link w:val="Footer"/>
    <w:uiPriority w:val="99"/>
    <w:rsid w:val="00877927"/>
    <w:rPr>
      <w:rFonts w:ascii="Verdana" w:hAnsi="Verdana"/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9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77927"/>
    <w:pPr>
      <w:keepNext/>
      <w:keepLines/>
      <w:spacing w:before="240" w:after="0" w:line="259" w:lineRule="auto"/>
      <w:outlineLvl w:val="0"/>
    </w:pPr>
    <w:rPr>
      <w:rFonts w:ascii="Calibri" w:eastAsiaTheme="majorEastAsia" w:hAnsi="Calibri" w:cstheme="majorBidi"/>
      <w:color w:val="365F91" w:themeColor="accent1" w:themeShade="BF"/>
      <w:sz w:val="32"/>
      <w:szCs w:val="32"/>
      <w:lang w:val="en-NZ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927"/>
    <w:pPr>
      <w:keepNext/>
      <w:keepLines/>
      <w:spacing w:before="40" w:after="0" w:line="259" w:lineRule="auto"/>
      <w:outlineLvl w:val="1"/>
    </w:pPr>
    <w:rPr>
      <w:rFonts w:ascii="Calibri" w:eastAsiaTheme="majorEastAsia" w:hAnsi="Calibri" w:cstheme="majorBidi"/>
      <w:color w:val="365F91" w:themeColor="accent1" w:themeShade="BF"/>
      <w:sz w:val="28"/>
      <w:szCs w:val="26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7927"/>
    <w:rPr>
      <w:rFonts w:ascii="Calibri" w:eastAsiaTheme="majorEastAsia" w:hAnsi="Calibri" w:cstheme="majorBidi"/>
      <w:color w:val="365F91" w:themeColor="accent1" w:themeShade="BF"/>
      <w:sz w:val="32"/>
      <w:szCs w:val="32"/>
      <w:lang w:val="en-NZ"/>
    </w:rPr>
  </w:style>
  <w:style w:type="character" w:customStyle="1" w:styleId="Heading2Char">
    <w:name w:val="Heading 2 Char"/>
    <w:basedOn w:val="DefaultParagraphFont"/>
    <w:link w:val="Heading2"/>
    <w:uiPriority w:val="9"/>
    <w:rsid w:val="00877927"/>
    <w:rPr>
      <w:rFonts w:ascii="Calibri" w:eastAsiaTheme="majorEastAsia" w:hAnsi="Calibri" w:cstheme="majorBidi"/>
      <w:color w:val="365F91" w:themeColor="accent1" w:themeShade="BF"/>
      <w:sz w:val="28"/>
      <w:szCs w:val="26"/>
      <w:lang w:val="en-NZ"/>
    </w:rPr>
  </w:style>
  <w:style w:type="paragraph" w:styleId="ListParagraph">
    <w:name w:val="List Paragraph"/>
    <w:basedOn w:val="Normal"/>
    <w:uiPriority w:val="34"/>
    <w:qFormat/>
    <w:rsid w:val="00877927"/>
    <w:pPr>
      <w:spacing w:after="160" w:line="259" w:lineRule="auto"/>
      <w:ind w:left="720"/>
      <w:contextualSpacing/>
    </w:pPr>
    <w:rPr>
      <w:rFonts w:ascii="Verdana" w:hAnsi="Verdana"/>
      <w:lang w:val="en-NZ"/>
    </w:rPr>
  </w:style>
  <w:style w:type="paragraph" w:styleId="Header">
    <w:name w:val="header"/>
    <w:basedOn w:val="Normal"/>
    <w:link w:val="HeaderChar"/>
    <w:uiPriority w:val="99"/>
    <w:unhideWhenUsed/>
    <w:rsid w:val="00877927"/>
    <w:pPr>
      <w:tabs>
        <w:tab w:val="center" w:pos="4513"/>
        <w:tab w:val="right" w:pos="9026"/>
      </w:tabs>
      <w:spacing w:after="0" w:line="240" w:lineRule="auto"/>
    </w:pPr>
    <w:rPr>
      <w:rFonts w:ascii="Verdana" w:hAnsi="Verdana"/>
      <w:lang w:val="en-NZ"/>
    </w:rPr>
  </w:style>
  <w:style w:type="character" w:customStyle="1" w:styleId="HeaderChar">
    <w:name w:val="Header Char"/>
    <w:basedOn w:val="DefaultParagraphFont"/>
    <w:link w:val="Header"/>
    <w:uiPriority w:val="99"/>
    <w:rsid w:val="00877927"/>
    <w:rPr>
      <w:rFonts w:ascii="Verdana" w:hAnsi="Verdana"/>
      <w:lang w:val="en-NZ"/>
    </w:rPr>
  </w:style>
  <w:style w:type="paragraph" w:styleId="Footer">
    <w:name w:val="footer"/>
    <w:basedOn w:val="Normal"/>
    <w:link w:val="FooterChar"/>
    <w:uiPriority w:val="99"/>
    <w:unhideWhenUsed/>
    <w:rsid w:val="00877927"/>
    <w:pPr>
      <w:tabs>
        <w:tab w:val="center" w:pos="4513"/>
        <w:tab w:val="right" w:pos="9026"/>
      </w:tabs>
      <w:spacing w:after="0" w:line="240" w:lineRule="auto"/>
    </w:pPr>
    <w:rPr>
      <w:rFonts w:ascii="Verdana" w:hAnsi="Verdana"/>
      <w:lang w:val="en-NZ"/>
    </w:rPr>
  </w:style>
  <w:style w:type="character" w:customStyle="1" w:styleId="FooterChar">
    <w:name w:val="Footer Char"/>
    <w:basedOn w:val="DefaultParagraphFont"/>
    <w:link w:val="Footer"/>
    <w:uiPriority w:val="99"/>
    <w:rsid w:val="00877927"/>
    <w:rPr>
      <w:rFonts w:ascii="Verdana" w:hAnsi="Verdana"/>
      <w:lang w:val="en-NZ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779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79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16</Pages>
  <Words>774</Words>
  <Characters>4704</Characters>
  <Application>Microsoft Office Word</Application>
  <DocSecurity>0</DocSecurity>
  <Lines>123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1</cp:revision>
  <dcterms:created xsi:type="dcterms:W3CDTF">2022-03-12T15:34:00Z</dcterms:created>
  <dcterms:modified xsi:type="dcterms:W3CDTF">2022-03-12T15:54:00Z</dcterms:modified>
</cp:coreProperties>
</file>