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2926" w:rsidRDefault="00112926">
      <w:pPr>
        <w:pStyle w:val="Default"/>
        <w:rPr>
          <w:sz w:val="24"/>
          <w:szCs w:val="24"/>
        </w:rPr>
      </w:pPr>
    </w:p>
    <w:p w:rsidR="00112926" w:rsidRDefault="00BF123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Supplementary File </w:t>
      </w:r>
      <w:r w:rsidR="00C25493">
        <w:rPr>
          <w:b/>
          <w:bCs/>
          <w:sz w:val="28"/>
          <w:szCs w:val="28"/>
          <w:lang w:val="en-US"/>
        </w:rPr>
        <w:t>5</w:t>
      </w:r>
    </w:p>
    <w:p w:rsidR="00112926" w:rsidRDefault="00BF123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The 20 included breast cancer management trials</w:t>
      </w: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7373"/>
        <w:gridCol w:w="1006"/>
      </w:tblGrid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b/>
                <w:bCs/>
              </w:rPr>
              <w:t>Title</w:t>
            </w: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b/>
                <w:bCs/>
              </w:rPr>
              <w:t>Phase</w:t>
            </w:r>
          </w:p>
        </w:tc>
      </w:tr>
      <w:tr w:rsidR="00112926" w:rsidTr="00E84633">
        <w:trPr>
          <w:trHeight w:val="95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proofErr w:type="spellStart"/>
            <w:r>
              <w:rPr>
                <w:rFonts w:eastAsia="Arial Unicode MS" w:cs="Arial Unicode MS"/>
                <w:lang w:val="en-US"/>
              </w:rPr>
              <w:t>Hortobagyi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et al. </w:t>
            </w:r>
            <w:proofErr w:type="spellStart"/>
            <w:r>
              <w:rPr>
                <w:rFonts w:eastAsia="Arial Unicode MS" w:cs="Arial Unicode MS"/>
                <w:lang w:val="en-US"/>
              </w:rPr>
              <w:t>Ribociclib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as First-Line Therapy for HR-Positive, Advanced Breast Cancer. The New England Journal of Medicine 2016, 375(18), pp.1738</w:t>
            </w:r>
            <w:r>
              <w:rPr>
                <w:rFonts w:eastAsia="Arial Unicode MS" w:cs="Arial Unicode MS"/>
              </w:rPr>
              <w:t>–1748.</w:t>
            </w:r>
          </w:p>
          <w:p w:rsidR="00112926" w:rsidRDefault="000B3A60">
            <w:pPr>
              <w:pStyle w:val="TableStyle2"/>
            </w:pPr>
            <w:hyperlink r:id="rId7" w:history="1">
              <w:r w:rsidR="00BF1237">
                <w:rPr>
                  <w:rStyle w:val="Hyperlink0"/>
                  <w:color w:val="0433FF"/>
                </w:rPr>
                <w:t>https://www.nejm.org/doi/full/10.1056/nejmoa1609709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71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2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>Cardoso et al. 70-Gene Signature as an Aid to Treatment Decisions in Early-Stage Breast Cancer. The New England Journal of Medicine 2016, 375(8), pp.717</w:t>
            </w:r>
            <w:r>
              <w:rPr>
                <w:rFonts w:eastAsia="Arial Unicode MS" w:cs="Arial Unicode MS"/>
              </w:rPr>
              <w:t>–729.</w:t>
            </w:r>
          </w:p>
          <w:p w:rsidR="00112926" w:rsidRDefault="000B3A60">
            <w:pPr>
              <w:pStyle w:val="TableStyle2"/>
            </w:pPr>
            <w:hyperlink r:id="rId8" w:history="1">
              <w:r w:rsidR="00BF1237">
                <w:rPr>
                  <w:rStyle w:val="Hyperlink0"/>
                  <w:color w:val="0433FF"/>
                </w:rPr>
                <w:t>https://www.nejm.org/doi/10.1056/NEJMoa1602253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19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>Martin et al. Neratinib after trastuzumab-based adjuvant therapy in HER2-positive breast cancer (</w:t>
            </w:r>
            <w:proofErr w:type="spellStart"/>
            <w:r>
              <w:rPr>
                <w:rFonts w:eastAsia="Arial Unicode MS" w:cs="Arial Unicode MS"/>
                <w:lang w:val="en-US"/>
              </w:rPr>
              <w:t>ExteNET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): 5-year analysis of a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double-blind, placebo-controlled, phase 3 trial. The Lancet Oncology 2017, 18(12), pp.1688</w:t>
            </w:r>
            <w:r>
              <w:rPr>
                <w:rFonts w:eastAsia="Arial Unicode MS" w:cs="Arial Unicode MS"/>
              </w:rPr>
              <w:t>–1700.</w:t>
            </w:r>
            <w:r>
              <w:rPr>
                <w:rFonts w:eastAsia="Arial Unicode MS" w:cs="Arial Unicode MS"/>
                <w:lang w:val="en-US"/>
              </w:rPr>
              <w:t xml:space="preserve"> </w:t>
            </w:r>
          </w:p>
          <w:p w:rsidR="00112926" w:rsidRDefault="000B3A60">
            <w:pPr>
              <w:pStyle w:val="TableStyle2"/>
            </w:pPr>
            <w:hyperlink r:id="rId9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https://www.thelancet.com/journals/lanonc/article/PIIS1470-2045(17)30717-9/fulltext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19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4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proofErr w:type="spellStart"/>
            <w:r>
              <w:rPr>
                <w:rFonts w:eastAsia="Arial Unicode MS" w:cs="Arial Unicode MS"/>
                <w:lang w:val="en-US"/>
              </w:rPr>
              <w:t>Badwe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et al. Locoregional treatment versus no treatment of the primary </w:t>
            </w:r>
            <w:proofErr w:type="spellStart"/>
            <w:r>
              <w:rPr>
                <w:rFonts w:eastAsia="Arial Unicode MS" w:cs="Arial Unicode MS"/>
                <w:lang w:val="en-US"/>
              </w:rPr>
              <w:t>tumour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in metastatic breast cancer: an open-label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controlled trial. The Lancet Oncology 2015, 16(13), pp.1380</w:t>
            </w:r>
            <w:r>
              <w:rPr>
                <w:rFonts w:eastAsia="Arial Unicode MS" w:cs="Arial Unicode MS"/>
              </w:rPr>
              <w:t>–1388.</w:t>
            </w:r>
          </w:p>
          <w:p w:rsidR="00112926" w:rsidRDefault="000B3A60">
            <w:pPr>
              <w:pStyle w:val="TableStyle2"/>
            </w:pPr>
            <w:hyperlink r:id="rId10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https://www.thelancet.com/journals/lanonc/article/PIIS1470-2045(15)00135-7/fulltext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6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5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de-DE"/>
              </w:rPr>
              <w:t>Polg</w:t>
            </w:r>
            <w:r>
              <w:rPr>
                <w:rFonts w:eastAsia="Arial Unicode MS" w:cs="Arial Unicode MS"/>
              </w:rPr>
              <w:t>á</w:t>
            </w:r>
            <w:r>
              <w:rPr>
                <w:rFonts w:eastAsia="Arial Unicode MS" w:cs="Arial Unicode MS"/>
                <w:lang w:val="en-US"/>
              </w:rPr>
              <w:t xml:space="preserve">r et al. Late side-effects and cosmetic results of accelerated partial breast irradiation with interstitial brachytherapy versus whole-breast irradiation after breast-conserving surgery for low-risk invasive and in-situ carcinoma of the female breast: 5-year results of a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controlled, phase 3 trial. The Lancet Oncology 2017, 18(2), pp.259</w:t>
            </w:r>
            <w:r>
              <w:rPr>
                <w:rFonts w:eastAsia="Arial Unicode MS" w:cs="Arial Unicode MS"/>
              </w:rPr>
              <w:t>–268.</w:t>
            </w:r>
          </w:p>
          <w:p w:rsidR="00112926" w:rsidRDefault="000B3A60">
            <w:pPr>
              <w:pStyle w:val="TableStyle2"/>
            </w:pPr>
            <w:hyperlink r:id="rId11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https://www.thelancet.com/journals/lanonc/article/PIIS1470-2045(17)30011-6/fulltext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6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Ganz et al. Patient-reported outcomes with anastrozole versus tamoxifen for postmenopausal patients with ductal carcinoma in situ treated with lumpectomy plus radiotherapy (NSABP B-35): a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double-blind, phase 3 clinical trial. The Lancet 2016, 387(10021), pp.857</w:t>
            </w:r>
            <w:r>
              <w:rPr>
                <w:rFonts w:eastAsia="Arial Unicode MS" w:cs="Arial Unicode MS"/>
              </w:rPr>
              <w:t>–865.</w:t>
            </w:r>
          </w:p>
          <w:p w:rsidR="00112926" w:rsidRDefault="000B3A60">
            <w:pPr>
              <w:pStyle w:val="TableStyle2"/>
            </w:pPr>
            <w:hyperlink r:id="rId12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https://www.thelancet.com/journals/lancet/article/PIIS0140-6736(15)01169-1/fulltext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19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7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Bear, H.D. et al. Neoadjuvant plus adjuvant bevacizumab in early breast cancer (NSABP B-40 NRG Oncology): secondary outcomes of a phase 3,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controlled trial. The Lancet. Oncology 2015, 16(9), pp.1037</w:t>
            </w:r>
            <w:r>
              <w:rPr>
                <w:rFonts w:eastAsia="Arial Unicode MS" w:cs="Arial Unicode MS"/>
              </w:rPr>
              <w:t>–1048.</w:t>
            </w:r>
          </w:p>
          <w:p w:rsidR="00112926" w:rsidRDefault="000B3A60">
            <w:pPr>
              <w:pStyle w:val="TableStyle2"/>
            </w:pPr>
            <w:hyperlink r:id="rId13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https://www.thelancet.com/journals/lanonc/article/PIIS1470-2045(15)00041-8/fulltext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19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8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Del </w:t>
            </w:r>
            <w:proofErr w:type="spellStart"/>
            <w:r>
              <w:rPr>
                <w:rFonts w:eastAsia="Arial Unicode MS" w:cs="Arial Unicode MS"/>
                <w:lang w:val="en-US"/>
              </w:rPr>
              <w:t>Mastro</w:t>
            </w:r>
            <w:proofErr w:type="spellEnd"/>
            <w:r>
              <w:rPr>
                <w:rFonts w:eastAsia="Arial Unicode MS" w:cs="Arial Unicode MS"/>
                <w:lang w:val="en-US"/>
              </w:rPr>
              <w:t>, L. et al. Fluorouracil and dose-dense chemotherapy in adjuvant treatment of patients with early-stage breast cancer: an open-label, 2</w:t>
            </w:r>
            <w:r>
              <w:rPr>
                <w:rFonts w:eastAsia="Arial Unicode MS" w:cs="Arial Unicode MS"/>
              </w:rPr>
              <w:t> × </w:t>
            </w:r>
            <w:r>
              <w:rPr>
                <w:rFonts w:eastAsia="Arial Unicode MS" w:cs="Arial Unicode MS"/>
                <w:lang w:val="en-US"/>
              </w:rPr>
              <w:t xml:space="preserve">2 factorial,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phase 3 trial. Lancet 2015, 385(9980), pp.1863</w:t>
            </w:r>
            <w:r>
              <w:rPr>
                <w:rFonts w:eastAsia="Arial Unicode MS" w:cs="Arial Unicode MS"/>
              </w:rPr>
              <w:t>–1872.</w:t>
            </w:r>
          </w:p>
          <w:p w:rsidR="00112926" w:rsidRDefault="000B3A60">
            <w:pPr>
              <w:pStyle w:val="TableStyle2"/>
            </w:pPr>
            <w:hyperlink r:id="rId14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https://www.thelancet.com/journals/lancet/article/PIIS0140-6736(14)62048-1/fulltext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lastRenderedPageBreak/>
              <w:t>9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>Sparano, J.A. et al. Prospective Validation of a 21-Gene Expression Assay in Breast Cancer. The New England Journal of Medicine 2015, 373(21), pp.2005</w:t>
            </w:r>
            <w:r>
              <w:rPr>
                <w:rFonts w:eastAsia="Arial Unicode MS" w:cs="Arial Unicode MS"/>
              </w:rPr>
              <w:t>–2014.</w:t>
            </w:r>
          </w:p>
          <w:p w:rsidR="00112926" w:rsidRDefault="000B3A60">
            <w:pPr>
              <w:pStyle w:val="TableStyle2"/>
            </w:pPr>
            <w:hyperlink r:id="rId15" w:history="1">
              <w:r w:rsidR="00BF1237">
                <w:rPr>
                  <w:rStyle w:val="Hyperlink0"/>
                  <w:color w:val="0433FF"/>
                </w:rPr>
                <w:t>https://www.nejm.org/doi/10.1056/NEJMoa1510764?url_ver=Z39.88-2003&amp;rfr_id=ori:rid:crossref.org&amp;rfr_dat=cr_pub%3dwww.ncbi.nlm.nih.gov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10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Robertson et al. </w:t>
            </w:r>
            <w:proofErr w:type="spellStart"/>
            <w:r>
              <w:rPr>
                <w:rFonts w:eastAsia="Arial Unicode MS" w:cs="Arial Unicode MS"/>
                <w:lang w:val="en-US"/>
              </w:rPr>
              <w:t>Fulvestrant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500 mg versus anastrozole 1 mg for hormone receptor-positive advanced breast cancer (FALCON): an international,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double-blind, phase 3 trial. The Lancet 2016, 388(10063), pp.2997</w:t>
            </w:r>
            <w:r>
              <w:rPr>
                <w:rFonts w:eastAsia="Arial Unicode MS" w:cs="Arial Unicode MS"/>
              </w:rPr>
              <w:t>–3005.</w:t>
            </w:r>
          </w:p>
          <w:p w:rsidR="00112926" w:rsidRDefault="000B3A60">
            <w:pPr>
              <w:pStyle w:val="TableStyle2"/>
            </w:pPr>
            <w:hyperlink r:id="rId16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https://www.thelancet.com/journals/lancet/article/PIIS0140-6736(16)32389-3/references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11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Forbes, J.F. et al. Anastrozole versus tamoxifen for the prevention of locoregional and contralateral breast cancer in postmenopausal women with locally excised ductal carcinoma in situ (IBIS-II DCIS): a double-blind,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controlled trial. Lancet 2016, 387(10021), pp.866</w:t>
            </w:r>
            <w:r>
              <w:rPr>
                <w:rFonts w:eastAsia="Arial Unicode MS" w:cs="Arial Unicode MS"/>
              </w:rPr>
              <w:t>–73.</w:t>
            </w:r>
          </w:p>
          <w:p w:rsidR="00112926" w:rsidRDefault="000B3A60">
            <w:pPr>
              <w:pStyle w:val="TableStyle2"/>
            </w:pPr>
            <w:hyperlink r:id="rId17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https://www.thelancet.com/journals/lancet/article/PIIS0140-6736(15)01129-0/fulltext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12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Zielinski et al. Bevacizumab plus paclitaxel versus bevacizumab plus capecitabine as first-line treatment for HER2-negative metastatic breast cancer (TURANDOT): primary endpoint results of a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open-label, non-inferiority, phase 3 trial. The Lancet Oncology 2016, 17(9), pp.1230</w:t>
            </w:r>
            <w:r>
              <w:rPr>
                <w:rFonts w:eastAsia="Arial Unicode MS" w:cs="Arial Unicode MS"/>
              </w:rPr>
              <w:t>–1239.</w:t>
            </w:r>
          </w:p>
          <w:p w:rsidR="00112926" w:rsidRDefault="000B3A60">
            <w:pPr>
              <w:pStyle w:val="TableStyle2"/>
            </w:pPr>
            <w:hyperlink r:id="rId18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https://www.thelancet.com/journals/lanonc/article/PIIS1470-2045(16)30154-1/fulltext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13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proofErr w:type="spellStart"/>
            <w:r>
              <w:rPr>
                <w:rFonts w:eastAsia="Arial Unicode MS" w:cs="Arial Unicode MS"/>
                <w:lang w:val="en-US"/>
              </w:rPr>
              <w:t>Krop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et al. Trastuzumab emtansine versus treatment of physician's choice in patients with previously treated HER2-positive metastatic breast cancer (TH3RESA): final overall survival results from a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open-label phase 3 trial. The Lancet Oncology 2017, 18(6), pp.743</w:t>
            </w:r>
            <w:r>
              <w:rPr>
                <w:rFonts w:eastAsia="Arial Unicode MS" w:cs="Arial Unicode MS"/>
              </w:rPr>
              <w:t>–754.</w:t>
            </w:r>
          </w:p>
          <w:p w:rsidR="00112926" w:rsidRDefault="000B3A60">
            <w:pPr>
              <w:pStyle w:val="TableStyle2"/>
            </w:pPr>
            <w:hyperlink r:id="rId19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https://www.thelancet.com/journals/lanonc/article/PIIS1470-2045(17)30313-3/references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14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Earl et al. Addition of gemcitabine to paclitaxel, </w:t>
            </w:r>
            <w:proofErr w:type="spellStart"/>
            <w:r>
              <w:rPr>
                <w:rFonts w:eastAsia="Arial Unicode MS" w:cs="Arial Unicode MS"/>
                <w:lang w:val="en-US"/>
              </w:rPr>
              <w:t>epirubicin</w:t>
            </w:r>
            <w:proofErr w:type="spellEnd"/>
            <w:r>
              <w:rPr>
                <w:rFonts w:eastAsia="Arial Unicode MS" w:cs="Arial Unicode MS"/>
                <w:lang w:val="en-US"/>
              </w:rPr>
              <w:t>, and cyclophosphamide adjuvant chemotherapy for women with early-stage breast cancer (</w:t>
            </w:r>
            <w:proofErr w:type="spellStart"/>
            <w:r>
              <w:rPr>
                <w:rFonts w:eastAsia="Arial Unicode MS" w:cs="Arial Unicode MS"/>
                <w:lang w:val="en-US"/>
              </w:rPr>
              <w:t>tAnGo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): final 10-year follow-up of an open-label,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phase 3 trial. The Lancet Oncology 2017, 18(6), pp.755</w:t>
            </w:r>
            <w:r>
              <w:rPr>
                <w:rFonts w:eastAsia="Arial Unicode MS" w:cs="Arial Unicode MS"/>
              </w:rPr>
              <w:t>–769.</w:t>
            </w:r>
          </w:p>
          <w:p w:rsidR="00112926" w:rsidRDefault="000B3A60">
            <w:pPr>
              <w:pStyle w:val="TableStyle2"/>
            </w:pPr>
            <w:hyperlink r:id="rId20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https://www.thelancet.com/journals/lanonc/article/PIIS1470-2045(17)30319-4/fulltext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15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Earl et al. Efficacy of neoadjuvant bevacizumab added to docetaxel followed by fluorouracil, </w:t>
            </w:r>
            <w:proofErr w:type="spellStart"/>
            <w:r>
              <w:rPr>
                <w:rFonts w:eastAsia="Arial Unicode MS" w:cs="Arial Unicode MS"/>
                <w:lang w:val="en-US"/>
              </w:rPr>
              <w:t>epirubicin</w:t>
            </w:r>
            <w:proofErr w:type="spellEnd"/>
            <w:r>
              <w:rPr>
                <w:rFonts w:eastAsia="Arial Unicode MS" w:cs="Arial Unicode MS"/>
                <w:lang w:val="en-US"/>
              </w:rPr>
              <w:t>, and cyclophosphamide, for women with HER2-negative early breast cancer (</w:t>
            </w:r>
            <w:proofErr w:type="spellStart"/>
            <w:r>
              <w:rPr>
                <w:rFonts w:eastAsia="Arial Unicode MS" w:cs="Arial Unicode MS"/>
                <w:lang w:val="en-US"/>
              </w:rPr>
              <w:t>ARTemis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): an open-label,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phase 3 trial. The Lancet Oncology 2015, 16(6), pp.656</w:t>
            </w:r>
            <w:r>
              <w:rPr>
                <w:rFonts w:eastAsia="Arial Unicode MS" w:cs="Arial Unicode MS"/>
              </w:rPr>
              <w:t>–666.</w:t>
            </w:r>
          </w:p>
          <w:p w:rsidR="00112926" w:rsidRDefault="000B3A60">
            <w:pPr>
              <w:pStyle w:val="TableStyle2"/>
            </w:pPr>
            <w:hyperlink r:id="rId21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https://www.thelancet.com/journals/lanonc/article/PIIS1470-2045(15)70137-3/fulltext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43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16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proofErr w:type="spellStart"/>
            <w:r>
              <w:rPr>
                <w:rFonts w:eastAsia="Arial Unicode MS" w:cs="Arial Unicode MS"/>
                <w:lang w:val="en-US"/>
              </w:rPr>
              <w:t>Baselga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et al. Buparlisib plus </w:t>
            </w:r>
            <w:proofErr w:type="spellStart"/>
            <w:r>
              <w:rPr>
                <w:rFonts w:eastAsia="Arial Unicode MS" w:cs="Arial Unicode MS"/>
                <w:lang w:val="en-US"/>
              </w:rPr>
              <w:t>fulvestrant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versus placebo plus </w:t>
            </w:r>
            <w:proofErr w:type="spellStart"/>
            <w:r>
              <w:rPr>
                <w:rFonts w:eastAsia="Arial Unicode MS" w:cs="Arial Unicode MS"/>
                <w:lang w:val="en-US"/>
              </w:rPr>
              <w:t>fulvestrant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in postmenopausal, hormone receptor-positive, HER2-negative, advanced breast cancer (BELLE-2): a </w:t>
            </w:r>
            <w:proofErr w:type="spellStart"/>
            <w:r>
              <w:rPr>
                <w:rFonts w:eastAsia="Arial Unicode MS" w:cs="Arial Unicode MS"/>
                <w:lang w:val="en-US"/>
              </w:rPr>
              <w:t>randomised</w:t>
            </w:r>
            <w:proofErr w:type="spellEnd"/>
            <w:r>
              <w:rPr>
                <w:rFonts w:eastAsia="Arial Unicode MS" w:cs="Arial Unicode MS"/>
                <w:lang w:val="en-US"/>
              </w:rPr>
              <w:t>, double-blind, placebo-controlled, phase 3 trial. The Lancet Oncology 2017, 18(7), pp.904</w:t>
            </w:r>
            <w:r>
              <w:rPr>
                <w:rFonts w:eastAsia="Arial Unicode MS" w:cs="Arial Unicode MS"/>
              </w:rPr>
              <w:t>–916.</w:t>
            </w:r>
          </w:p>
          <w:p w:rsidR="00112926" w:rsidRDefault="000B3A60">
            <w:pPr>
              <w:pStyle w:val="TableStyle2"/>
            </w:pPr>
            <w:hyperlink r:id="rId22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https://www.thelancet.com/journals/lanonc/article/PIIS1470-2045(17)30376-5/fulltext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119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17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proofErr w:type="spellStart"/>
            <w:r>
              <w:rPr>
                <w:rFonts w:eastAsia="Arial Unicode MS" w:cs="Arial Unicode MS"/>
                <w:lang w:val="en-US"/>
              </w:rPr>
              <w:t>Cuzick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et al. Tamoxifen for prevention of breast cancer: extended long-term follow-up of the IBIS-I breast cancer prevention trial. Lancet Oncology 2015, 16(1), pp.67</w:t>
            </w:r>
            <w:r>
              <w:rPr>
                <w:rFonts w:eastAsia="Arial Unicode MS" w:cs="Arial Unicode MS"/>
              </w:rPr>
              <w:t>–75.</w:t>
            </w:r>
          </w:p>
          <w:p w:rsidR="00112926" w:rsidRDefault="000B3A60">
            <w:pPr>
              <w:pStyle w:val="TableStyle2"/>
            </w:pPr>
            <w:hyperlink r:id="rId23" w:history="1">
              <w:r w:rsidR="00BF1237">
                <w:rPr>
                  <w:rStyle w:val="Hyperlink0"/>
                  <w:color w:val="0433FF"/>
                  <w:lang w:val="en-US"/>
                </w:rPr>
                <w:t>https://www.thelancet.com/journals/lanonc/article/PIIS1470-2045%2814%2971171-4/fulltext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95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lastRenderedPageBreak/>
              <w:t>18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von </w:t>
            </w:r>
            <w:proofErr w:type="spellStart"/>
            <w:r>
              <w:rPr>
                <w:rFonts w:eastAsia="Arial Unicode MS" w:cs="Arial Unicode MS"/>
                <w:lang w:val="en-US"/>
              </w:rPr>
              <w:t>Minckwitz</w:t>
            </w:r>
            <w:proofErr w:type="spellEnd"/>
            <w:r>
              <w:rPr>
                <w:rFonts w:eastAsia="Arial Unicode MS" w:cs="Arial Unicode MS"/>
                <w:lang w:val="en-US"/>
              </w:rPr>
              <w:t>, G. et al. Trastuzumab Emtansine for Residual Invasive HER2-Positive Breast Cancer. The New England Journal of Medicine 2019, 380(7), pp.617</w:t>
            </w:r>
            <w:r>
              <w:rPr>
                <w:rFonts w:eastAsia="Arial Unicode MS" w:cs="Arial Unicode MS"/>
              </w:rPr>
              <w:t>–628.</w:t>
            </w:r>
          </w:p>
          <w:p w:rsidR="00112926" w:rsidRDefault="000B3A60">
            <w:pPr>
              <w:pStyle w:val="TableStyle2"/>
            </w:pPr>
            <w:hyperlink r:id="rId24" w:history="1">
              <w:r w:rsidR="00BF1237">
                <w:rPr>
                  <w:rStyle w:val="Hyperlink0"/>
                  <w:color w:val="0433FF"/>
                </w:rPr>
                <w:t>https://www.nejm.org/doi/full/10.1056/NEJMoa1814017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71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19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r>
              <w:rPr>
                <w:rFonts w:eastAsia="Arial Unicode MS" w:cs="Arial Unicode MS"/>
                <w:lang w:val="en-US"/>
              </w:rPr>
              <w:t xml:space="preserve">Finn, R.S. et al. </w:t>
            </w:r>
            <w:proofErr w:type="spellStart"/>
            <w:r>
              <w:rPr>
                <w:rFonts w:eastAsia="Arial Unicode MS" w:cs="Arial Unicode MS"/>
                <w:lang w:val="en-US"/>
              </w:rPr>
              <w:t>Palbociclib</w:t>
            </w:r>
            <w:proofErr w:type="spellEnd"/>
            <w:r>
              <w:rPr>
                <w:rFonts w:eastAsia="Arial Unicode MS" w:cs="Arial Unicode MS"/>
                <w:lang w:val="en-US"/>
              </w:rPr>
              <w:t xml:space="preserve"> and Letrozole in Advanced Breast Cancer. The New England Journal of Medicine 2016, 375(20), pp.1925</w:t>
            </w:r>
            <w:r>
              <w:rPr>
                <w:rFonts w:eastAsia="Arial Unicode MS" w:cs="Arial Unicode MS"/>
              </w:rPr>
              <w:t>–1936.</w:t>
            </w:r>
          </w:p>
          <w:p w:rsidR="00112926" w:rsidRDefault="000B3A60">
            <w:pPr>
              <w:pStyle w:val="TableStyle2"/>
            </w:pPr>
            <w:hyperlink r:id="rId25" w:history="1">
              <w:r w:rsidR="00BF1237">
                <w:rPr>
                  <w:rStyle w:val="Hyperlink0"/>
                  <w:color w:val="0433FF"/>
                </w:rPr>
                <w:t>https://www.nejm.org/doi/full/10.1056/NEJMoa1607303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  <w:tr w:rsidR="00112926" w:rsidTr="00E84633">
        <w:trPr>
          <w:trHeight w:val="95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20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BF1237">
            <w:pPr>
              <w:pStyle w:val="TableStyle2"/>
            </w:pPr>
            <w:proofErr w:type="spellStart"/>
            <w:r>
              <w:rPr>
                <w:rFonts w:eastAsia="Arial Unicode MS" w:cs="Arial Unicode MS"/>
                <w:lang w:val="en-US"/>
              </w:rPr>
              <w:t>Poortmans</w:t>
            </w:r>
            <w:proofErr w:type="spellEnd"/>
            <w:r>
              <w:rPr>
                <w:rFonts w:eastAsia="Arial Unicode MS" w:cs="Arial Unicode MS"/>
                <w:lang w:val="en-US"/>
              </w:rPr>
              <w:t>, Philip M. et al. Internal Mammary and Medial Supraclavicular Irradiation in Breast Cancer. The New England Journal of Medicine 2015, 373(4), pp.317</w:t>
            </w:r>
            <w:r>
              <w:rPr>
                <w:rFonts w:eastAsia="Arial Unicode MS" w:cs="Arial Unicode MS"/>
              </w:rPr>
              <w:t>–327.</w:t>
            </w:r>
          </w:p>
          <w:p w:rsidR="00112926" w:rsidRDefault="000B3A60">
            <w:pPr>
              <w:pStyle w:val="TableStyle2"/>
            </w:pPr>
            <w:hyperlink r:id="rId26" w:history="1">
              <w:r w:rsidR="00BF1237">
                <w:rPr>
                  <w:rStyle w:val="Hyperlink0"/>
                  <w:color w:val="0433FF"/>
                </w:rPr>
                <w:t>https://www.nejm.org/doi/full/10.1056/nejmoa1415369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Default="00BF1237">
            <w:pPr>
              <w:pStyle w:val="TableStyle2"/>
              <w:jc w:val="center"/>
            </w:pPr>
            <w:r>
              <w:t>3</w:t>
            </w:r>
          </w:p>
        </w:tc>
      </w:tr>
    </w:tbl>
    <w:p w:rsidR="00112926" w:rsidRDefault="00112926" w:rsidP="00CF1A28">
      <w:pPr>
        <w:pStyle w:val="Default"/>
        <w:ind w:left="357"/>
      </w:pPr>
    </w:p>
    <w:p w:rsidR="00112926" w:rsidRDefault="00BF1237">
      <w:pPr>
        <w:pStyle w:val="Default"/>
      </w:pPr>
      <w:r>
        <w:rPr>
          <w:rFonts w:ascii="Arial Unicode MS" w:eastAsia="Arial Unicode MS" w:hAnsi="Arial Unicode MS" w:cs="Arial Unicode MS"/>
        </w:rPr>
        <w:br w:type="page"/>
      </w:r>
    </w:p>
    <w:p w:rsidR="00112926" w:rsidRDefault="00BF123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The 24 included nephrology trials</w:t>
      </w: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7373"/>
        <w:gridCol w:w="1006"/>
      </w:tblGrid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BF1237">
            <w:pPr>
              <w:pStyle w:val="TableStyle2"/>
              <w:jc w:val="center"/>
              <w:rPr>
                <w:rFonts w:asciiTheme="majorHAnsi" w:hAnsiTheme="majorHAnsi"/>
              </w:rPr>
            </w:pPr>
            <w:r w:rsidRPr="000D2F55">
              <w:rPr>
                <w:rFonts w:asciiTheme="majorHAnsi" w:hAnsiTheme="majorHAnsi"/>
                <w:b/>
                <w:bCs/>
              </w:rPr>
              <w:t>Number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0D2F55" w:rsidRDefault="00BF1237">
            <w:pPr>
              <w:pStyle w:val="TableStyle2"/>
              <w:rPr>
                <w:rFonts w:asciiTheme="majorHAnsi" w:hAnsiTheme="majorHAnsi"/>
              </w:rPr>
            </w:pPr>
            <w:r w:rsidRPr="000D2F55">
              <w:rPr>
                <w:rFonts w:asciiTheme="majorHAnsi" w:hAnsiTheme="majorHAnsi"/>
                <w:b/>
                <w:bCs/>
              </w:rPr>
              <w:t>Title</w:t>
            </w: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0D2F55" w:rsidRDefault="00BF1237">
            <w:pPr>
              <w:pStyle w:val="TableStyle2"/>
              <w:rPr>
                <w:rFonts w:asciiTheme="majorHAnsi" w:hAnsiTheme="majorHAnsi"/>
              </w:rPr>
            </w:pPr>
            <w:r w:rsidRPr="000D2F55">
              <w:rPr>
                <w:rFonts w:asciiTheme="majorHAnsi" w:hAnsiTheme="majorHAnsi"/>
                <w:b/>
                <w:bCs/>
              </w:rPr>
              <w:t>Phase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677" w:rsidRPr="000D2F55" w:rsidRDefault="00DB4677" w:rsidP="00DB4677">
            <w:pPr>
              <w:rPr>
                <w:rFonts w:asciiTheme="majorHAnsi" w:hAnsiTheme="majorHAnsi"/>
                <w:sz w:val="20"/>
                <w:szCs w:val="20"/>
                <w:lang w:val="en-IE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De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Zeeuw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D.,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Akizawa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T.,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Audhya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P.,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Bakris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G.L., Chin, M., Christ-Schmidt, H., Goldsberry, A., Houser, M., Krauth, M.,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Lambers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Heerspink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H.J. and McMurray, J.J., 2013. Bardoxolone methyl in type 2 diabetes and stage 4 chronic kidney disease.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New England Journal of Medicine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369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(26), pp.2492-2503.</w:t>
            </w:r>
            <w:r w:rsidRPr="000D2F55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hyperlink r:id="rId27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https://nejm.org/doi/full/10.1056/NEJMoa1306033</w:t>
              </w:r>
            </w:hyperlink>
            <w:r w:rsidR="00B541F3" w:rsidRPr="00811E05">
              <w:rPr>
                <w:rFonts w:asciiTheme="majorHAnsi" w:hAnsiTheme="majorHAnsi"/>
                <w:color w:val="0433FF"/>
                <w:sz w:val="20"/>
                <w:szCs w:val="20"/>
              </w:rPr>
              <w:t xml:space="preserve"> </w:t>
            </w:r>
          </w:p>
          <w:p w:rsidR="00112926" w:rsidRPr="000D2F55" w:rsidRDefault="0011292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Default="00DB4677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Macdougall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I.C., Provenzano, R., Sharma, A.,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Spinowitz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B.S., Schmidt, R.J., Pergola, P.E.,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Zabaneh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R.I., Tong-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Starksen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S., Mayo, M.R., Tang, H.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Polu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K.R., 2013.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Peginesatide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for anemia in patients with chronic kidney disease not receiving dialysis.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New England Journal of Medicine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368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(4), pp.320-332.</w:t>
            </w:r>
            <w:r w:rsidR="00811E05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hyperlink r:id="rId28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https://www.nejm.org/doi/full/10.1056/NEJMoa1203166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DB4677" w:rsidP="00DB4677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Cooper, C.J., Murphy, T.P.,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Cutlip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D.E., Jamerson, K., Henrich, W., Reid, D.M., Cohen, D.J., Matsumoto, A.H.,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Steffes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Jaff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M.R. and Prince, M.R., 2014. Stenting and medical therapy for atherosclerotic renal-artery stenosis.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New England Journal of Medicine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370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(1), pp.13-22. </w:t>
            </w:r>
            <w:hyperlink r:id="rId29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https://www.nejm.org/doi/full/10.1056/NEJMoa1310753</w:t>
              </w:r>
            </w:hyperlink>
          </w:p>
          <w:p w:rsidR="00974840" w:rsidRPr="000D2F55" w:rsidRDefault="00974840" w:rsidP="00DB467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4840" w:rsidRPr="000D2F55" w:rsidRDefault="0071222B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Agarwal, R., Rossignol, P., Romero, A., Garza, D., Mayo, M.R., Warren, S., Ma, J., White, W.B. and Williams, B., 2019.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Patiromer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versus placebo to enable spironolactone use in patients with resistant hypertension and chronic kidney disease (AMBER): a phase 2,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randomised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double-blind, placebo-controlled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Lancet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394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(10208), pp.1540-1550. </w:t>
            </w:r>
            <w:hyperlink r:id="rId30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https://www.thelancet.com/journals/lancet/article/PIIS0140-6736(19)32135-</w:t>
              </w:r>
              <w:r w:rsidRPr="000D2F55">
                <w:rPr>
                  <w:rStyle w:val="Hyperlink"/>
                  <w:rFonts w:asciiTheme="majorHAnsi" w:hAnsiTheme="majorHAnsi"/>
                  <w:sz w:val="20"/>
                  <w:szCs w:val="20"/>
                </w:rPr>
                <w:t>X/fulltext)</w:t>
              </w:r>
            </w:hyperlink>
            <w:r w:rsidRPr="000D2F55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71222B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Hutchison, C.A.,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Cockwell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P.,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Moroz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V., Bradwell, A.R., Fifer, L.,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Gillmore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J.D.,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Jesky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M.D.,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Storr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Wessels, J.,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Winearls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C.G.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Weisel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K., 2019. High cutoff versus high-flux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haemodialysis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for myeloma cast nephropathy in patients receiving bortezomib-based chemotherapy (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EuLITE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): a phase 2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randomised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controlled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 xml:space="preserve">The Lancet </w:t>
            </w:r>
            <w:proofErr w:type="spellStart"/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Haematology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(4), </w:t>
            </w:r>
            <w:proofErr w:type="gram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pp.e</w:t>
            </w:r>
            <w:proofErr w:type="gram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217-e228. </w:t>
            </w:r>
            <w:hyperlink r:id="rId31" w:history="1">
              <w:r w:rsidR="003E605A"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https://www.sciencedirect.com/science/article/abs/pii/S2352302619300146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71222B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Jaber, S.,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Paugam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C.,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Futier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E.,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Lefrant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J.Y.,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Lasocki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S., Lescot, T.,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Pottecher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Demoule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A.,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Ferrandiere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Asehnoune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Dellamonica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J., 2018. Sodium bicarbonate therapy for patients with severe metabolic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acidaemia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in the intensive care unit (BICAR-ICU): a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multicentre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open-label,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randomised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controlled, phase 3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Lancet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392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(10141), pp.31-40. </w:t>
            </w:r>
            <w:r w:rsidR="00DE1B85" w:rsidRPr="00811E05">
              <w:rPr>
                <w:rFonts w:asciiTheme="majorHAnsi" w:hAnsiTheme="majorHAnsi"/>
                <w:color w:val="0433FF"/>
                <w:sz w:val="20"/>
                <w:szCs w:val="20"/>
              </w:rPr>
              <w:t>https://www.sciencedirect.com/science/article/abs/pii/S0140673618310808</w:t>
            </w:r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71222B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Wilson, F.P.,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Shashaty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Testani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J., Aqeel, I.,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Borovskiy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Y.,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Ellenberg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S.S., Feldman, H.I., Fernandez, H.,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Gitelman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Y., Lin, J.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Negoianu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D., 2015. Automated, electronic alerts for acute kidney injury: a single-blind, parallel-group,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randomised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controlled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Lancet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385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(9981), pp.1966-1974. </w:t>
            </w:r>
            <w:r w:rsidRPr="00811E05">
              <w:rPr>
                <w:rFonts w:asciiTheme="majorHAnsi" w:hAnsiTheme="majorHAnsi"/>
                <w:color w:val="0433FF"/>
                <w:sz w:val="20"/>
                <w:szCs w:val="20"/>
              </w:rPr>
              <w:t>https://www.thelancet.com/journals/lancet/article/PI</w:t>
            </w:r>
            <w:r w:rsidR="00811E05" w:rsidRPr="00811E05">
              <w:rPr>
                <w:rFonts w:asciiTheme="majorHAnsi" w:hAnsiTheme="majorHAnsi"/>
                <w:color w:val="0433FF"/>
                <w:sz w:val="20"/>
                <w:szCs w:val="20"/>
              </w:rPr>
              <w:t>IS0140-6736(15)60266-5/fulltext</w:t>
            </w:r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Unclear, but certainly not Phase 1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DE2299" w:rsidP="00DE2299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Howman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A., Chapman, T.L., Langdon, M.M., Ferguson, C.,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Adu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D.,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Feehally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J., Gaskin, G.J., Jayne, D.R., O'Donoghue, D., Boulton-Jones, M. and Mathieson, P.W., 2013. Immunosuppression for progressive membranous nephropathy: a UK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randomised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controlled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Lancet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381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(9868), pp.744-751. </w:t>
            </w:r>
            <w:hyperlink r:id="rId32" w:history="1">
              <w:r w:rsidR="00DE1B85"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https://www.sciencedirect.com/science/article/pii/S0140673612615669</w:t>
              </w:r>
            </w:hyperlink>
          </w:p>
          <w:p w:rsidR="00974840" w:rsidRPr="000D2F55" w:rsidRDefault="00974840" w:rsidP="00DE229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lastRenderedPageBreak/>
              <w:t>Unclear, but certainly not Phase 1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500B23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Iijima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Sako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Oba, M.S., Ito, S.,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Hataya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H., Tanaka, R., Ohwada, Y., Kamei, K.,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Ishikura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Yata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N.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Nozu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K., 2014. Cyclosporine C2 monitoring for the treatment of frequently relapsing nephrotic syndrome in children: a multicenter randomized phase II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Clinical Journal of the American Society of Nephrology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9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(2), pp.271-278. </w:t>
            </w:r>
            <w:hyperlink r:id="rId33" w:history="1">
              <w:r w:rsidR="00811E05" w:rsidRPr="008D1CD2">
                <w:rPr>
                  <w:rStyle w:val="Hyperlink"/>
                  <w:rFonts w:asciiTheme="majorHAnsi" w:hAnsiTheme="majorHAnsi"/>
                  <w:sz w:val="20"/>
                  <w:szCs w:val="20"/>
                </w:rPr>
                <w:t>https://cjasn.asnjournals.org/content/9/2/271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5B4490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Ito, S.,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Shikata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Nangaku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Okuda, Y.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Sawanobori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T., 2019. Efficacy and safety of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esaxerenone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(CS-3150) for the treatment of type 2 diabetes with microalbuminuria: a randomized, double-blind, placebo-controlled, phase II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Clinical Journal of the American Society of Nephrology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14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(8), pp.1161-1172. </w:t>
            </w:r>
            <w:hyperlink r:id="rId34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https://cjasn.asnjournals.org/content/14/8/1161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11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5B4490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Ito, S., Kagawa, T., Saiki, T., Shimizu, K., Kuroda, S., Sano, Y. and Umeda, Y., 2019. Efficacy and safety of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imarikiren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in patients with type 2 diabetes and microalbuminuria: A randomized, controlled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Clinical Journal of the American Society of Nephrology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14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(3), pp.354-363. </w:t>
            </w:r>
            <w:hyperlink r:id="rId35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https://cjasn.asnjournals.org/content/14/3/354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12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4840" w:rsidRPr="000D2F55" w:rsidRDefault="005E5058" w:rsidP="00811E05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Tumlin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J., Goldman, J., Spiegel, D.M.,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Roer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D.,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Ntoso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K.A., Blaney, M., Jacobs, J., Gillespie, B.S. and Begelman, S.M., 2010. A phase III, randomized, double-blind, placebo-controlled study of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tenecteplase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for improvement of hemodialysis catheter function: TROPICS 3.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Clinical Journal of the American Society of Nephrology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5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(4), pp.631-636. </w:t>
            </w:r>
            <w:hyperlink r:id="rId36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https://cjasn.asnjournals.org/content/5/4/631</w:t>
              </w:r>
            </w:hyperlink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13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5E5058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Rostaing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L.,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Massari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P., Garcia, V.D.,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Mancilla-Urrea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E.,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Nainan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G., del Carmen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Rial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Steinberg, S.,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Vincenti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F., Shi, R., Di Russo, G. and Thomas, D., 2011. Switching from calcineurin inhibitor-based regimens to a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belatacept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-based regimen in renal transplant recipients: a randomized phase II study.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Clinical Journal of the American Society of Nephrology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(2), pp.430-439. </w:t>
            </w:r>
            <w:hyperlink r:id="rId37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https://cjasn.asnjournals.org/content/6/2/430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14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5E5058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Bridoux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F., Carron, P.L.,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Pegourie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B.,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Alamartine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E.,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Augeul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-Meunier, K.,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Karras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A., Joly, B.,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Peraldi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M.N., Arnulf, B.,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Vigneau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C. and Lamy, T., 2017. Effect of high-cutoff hemodialysis vs conventional hemodialysis on hemodialysis independence among patients with myeloma cast nephropathy: a randomized clinical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Jama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318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(21), pp.2099-2110. </w:t>
            </w:r>
            <w:hyperlink r:id="rId38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https://jamanetwork.com/journals/jama/fullarticle/2665000?resultClick=1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0920DA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Garg, A.X., Devereaux, P.J., Yusuf, S.,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Cuerden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M.S., Parikh, C.R., Coca, S.G., Walsh, M., Novick, R., Cook, R.J., Jain, A.R. and Pan, X., 2014. Kidney function after off-pump or on-pump coronary artery bypass graft surgery: a randomized clinical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Jama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311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(21), pp.2191-2198. </w:t>
            </w:r>
            <w:hyperlink r:id="rId39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https://jamanetwork.com/journals/jama/fullarticle/1877182?resultClick=1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16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0920DA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Carroll, J.K., Pulver, G., Dickinson, L.M., Pace, W.D.,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Vassalotti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J.A.,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Kimminau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K.S., Manning, B.K.,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Staton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E.W. and Fox, C.H., 2018. Effect of 2 clinical decision support strategies on chronic kidney disease outcomes in primary care: a cluster randomized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JAMA network open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(6), </w:t>
            </w:r>
            <w:proofErr w:type="gram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pp.e</w:t>
            </w:r>
            <w:proofErr w:type="gram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183377-e183377. </w:t>
            </w:r>
            <w:hyperlink r:id="rId40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https://jamanetwork.com/journals/jamanetworkopen/fullarticle/2709713?resultClick=1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Unclear, but certainly not Phase 1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lastRenderedPageBreak/>
              <w:t>17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0920DA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Tuttle, K.R., Brosius III, F.C., Adler, S.G.,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Kretzler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Mehta, R.L.,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Tumlin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J.A., Tanaka, Y., Haneda, M., Liu, J., Silk, M.E. and Cardillo, T.E., 2018. JAK1/JAK2 inhibition by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baricitinib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in diabetic kidney disease: results from a Phase 2 randomized controlled clinical trial.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Nephrology Dialysis Transplantation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33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(11), pp.1950-1959. </w:t>
            </w:r>
            <w:hyperlink r:id="rId41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https://academic.oup.com/ndt/article/33/11/1950/4903016?searchresult=1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18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0920DA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Yokoyama, K., Akiba, T.,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Fukagawa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M., Nakayama, M., Sawada, K.,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Kumagai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Y.,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Chertow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G.M. and Hirakata, H., 2014. A randomized trial of JTT-751 versus sevelamer hydrochloride in patients on hemodialysis.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Nephrology Dialysis Transplantation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29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(5), pp.1053-1060. </w:t>
            </w:r>
            <w:hyperlink r:id="rId42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https://academic.oup.com/ndt/article/29/5/1053/1876199?searchresult=1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112926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19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926" w:rsidRPr="00811E05" w:rsidRDefault="000920DA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Fishbane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S.N., Singh, A.K., Cournoyer, S.H., Jindal, K.K., Fanti, P.,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Guss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C.D., Lin, V.H., Pratt, R.D. and Gupta, A., 2015. Ferric pyrophosphate citrate (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Triferic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™) administration via the dialysate maintains hemoglobin and iron balance in chronic hemodialysis patients.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Nephrology Dialysis Transplantation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30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(12), pp.2019-2026. </w:t>
            </w:r>
            <w:hyperlink r:id="rId43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https://academic.oup.com/ndt/article/30/12/2019/2460012?searchresult=1</w:t>
              </w:r>
            </w:hyperlink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926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23671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20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23671" w:rsidRPr="00811E05" w:rsidRDefault="000920DA" w:rsidP="007C67FD">
            <w:pPr>
              <w:rPr>
                <w:rFonts w:asciiTheme="majorHAnsi" w:hAnsiTheme="majorHAnsi" w:cs="Arial"/>
                <w:color w:val="0433FF"/>
                <w:sz w:val="20"/>
                <w:szCs w:val="20"/>
                <w:shd w:val="clear" w:color="auto" w:fill="FFFFFF"/>
              </w:rPr>
            </w:pPr>
            <w:r w:rsidRPr="000D2F55">
              <w:rPr>
                <w:rFonts w:asciiTheme="majorHAnsi" w:hAnsiTheme="majorHAnsi" w:cs="Arial"/>
                <w:color w:val="002147"/>
                <w:sz w:val="20"/>
                <w:szCs w:val="20"/>
                <w:shd w:val="clear" w:color="auto" w:fill="FFFFFF"/>
              </w:rPr>
              <w:t xml:space="preserve">Haynes, R., and P. K. Judge. “Randomized Multicentre Pilot Study of Sacubitril/Valsartan versus Irbesartan in Patients with Chronic Kidney Disease: UK Heart and Renal Protection (UK HARP)-III. Rationale, Trial Design and Baseline Data.” Nephrology, Dialysis and Transplantation, vol. 32, no. 12, Oxford University Press, 2016, pp. 2043–51. </w:t>
            </w:r>
            <w:hyperlink r:id="rId44" w:history="1">
              <w:r w:rsidRPr="00811E05">
                <w:rPr>
                  <w:rStyle w:val="Hyperlink"/>
                  <w:rFonts w:asciiTheme="majorHAnsi" w:hAnsiTheme="majorHAnsi" w:cs="Arial"/>
                  <w:color w:val="0433FF"/>
                  <w:sz w:val="20"/>
                  <w:szCs w:val="20"/>
                  <w:shd w:val="clear" w:color="auto" w:fill="FFFFFF"/>
                </w:rPr>
                <w:t>https://academic.oup.com/ndt/article/32/12/2043/3059462?searchresult=1</w:t>
              </w:r>
            </w:hyperlink>
            <w:r w:rsidRPr="00811E05">
              <w:rPr>
                <w:rFonts w:asciiTheme="majorHAnsi" w:hAnsiTheme="majorHAnsi" w:cs="Arial"/>
                <w:color w:val="0433FF"/>
                <w:sz w:val="20"/>
                <w:szCs w:val="20"/>
                <w:shd w:val="clear" w:color="auto" w:fill="FFFFFF"/>
              </w:rPr>
              <w:t xml:space="preserve"> </w:t>
            </w:r>
          </w:p>
          <w:p w:rsidR="00974840" w:rsidRPr="000D2F55" w:rsidRDefault="00974840" w:rsidP="007C67F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Unclear, but certainly not Phase 1</w:t>
            </w:r>
          </w:p>
        </w:tc>
      </w:tr>
      <w:tr w:rsidR="00F23671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21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23671" w:rsidRPr="00811E05" w:rsidRDefault="00323D77" w:rsidP="00323D77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Hammer, F., Krane, V.,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Störk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S.,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Röser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C., Hofmann, K., Pollak, N.,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Allolio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B.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Wanner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 C., 2014. Rationale and design of the mineralocorticoid receptor antagonists in end-stage renal disease study (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MiREnDa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).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Nephrology Dialysis Transplantation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29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(2), pp.400-405.</w:t>
            </w:r>
            <w:r w:rsidR="00811E0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hyperlink r:id="rId45" w:history="1">
              <w:r w:rsidR="00423960"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https://pubmed.ncbi.nlm.nih.gov/24166468/</w:t>
              </w:r>
            </w:hyperlink>
          </w:p>
          <w:p w:rsidR="00974840" w:rsidRPr="000D2F55" w:rsidRDefault="00974840" w:rsidP="00323D7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F23671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22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23671" w:rsidRPr="00811E05" w:rsidRDefault="00423960" w:rsidP="00423960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Qunibi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W.Y., Martinez, C., Smith, M., Benjamin, J., Mangione, A. and Roger, S.D., 2011. A randomized controlled trial comparing intravenous ferric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carboxymaltose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with oral iron for treatment of iron deficiency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anaemia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of non-dialysis-dependent chronic kidney disease patients.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Nephrology Dialysis Transplantation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26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(5), pp.1599-1607. </w:t>
            </w:r>
            <w:hyperlink r:id="rId46" w:history="1">
              <w:r w:rsidRPr="00811E05">
                <w:rPr>
                  <w:rStyle w:val="Hyperlink"/>
                  <w:rFonts w:asciiTheme="majorHAnsi" w:hAnsiTheme="majorHAnsi"/>
                  <w:color w:val="0433FF"/>
                  <w:sz w:val="20"/>
                  <w:szCs w:val="20"/>
                </w:rPr>
                <w:t>https://academic.oup.com/ndt/article/26/5/1599/1892199?searchresult=1</w:t>
              </w:r>
            </w:hyperlink>
            <w:r w:rsidR="00811E05" w:rsidRPr="00811E05">
              <w:rPr>
                <w:rFonts w:asciiTheme="majorHAnsi" w:hAnsiTheme="majorHAnsi"/>
                <w:color w:val="0433FF"/>
                <w:sz w:val="20"/>
                <w:szCs w:val="20"/>
              </w:rPr>
              <w:t>)</w:t>
            </w:r>
          </w:p>
          <w:p w:rsidR="00974840" w:rsidRPr="000D2F55" w:rsidRDefault="00974840" w:rsidP="0042396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23671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23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23671" w:rsidRPr="00811E05" w:rsidRDefault="00423960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Ash, S.R., Singh, B., Lavin, P.T., Stavros, F. and Rasmussen, H.S., 2015. A phase 2 study on the treatment of hyperkalemia in patients with chronic kidney disease suggests that the selective potassium trap, ZS-9, is safe and efficient.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Kidney international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88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(2), pp.404-411. </w:t>
            </w:r>
            <w:r w:rsidRPr="00811E05">
              <w:rPr>
                <w:rFonts w:asciiTheme="majorHAnsi" w:hAnsiTheme="majorHAnsi"/>
                <w:color w:val="0433FF"/>
                <w:sz w:val="20"/>
                <w:szCs w:val="20"/>
              </w:rPr>
              <w:t>https://www.kidney-international.org/article/S2157</w:t>
            </w:r>
            <w:r w:rsidR="00811E05">
              <w:rPr>
                <w:rFonts w:asciiTheme="majorHAnsi" w:hAnsiTheme="majorHAnsi"/>
                <w:color w:val="0433FF"/>
                <w:sz w:val="20"/>
                <w:szCs w:val="20"/>
              </w:rPr>
              <w:t>-1716(15)32161-4/fulltext#s0045</w:t>
            </w:r>
          </w:p>
          <w:p w:rsidR="00974840" w:rsidRPr="000D2F55" w:rsidRDefault="0097484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671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  <w:tr w:rsidR="007C67FD" w:rsidTr="00E84633">
        <w:trPr>
          <w:trHeight w:val="279"/>
        </w:trPr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67FD" w:rsidRPr="000D2F55" w:rsidRDefault="00AA4118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24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67FD" w:rsidRPr="00811E05" w:rsidRDefault="00423960" w:rsidP="007C67FD">
            <w:pPr>
              <w:rPr>
                <w:rFonts w:asciiTheme="majorHAnsi" w:hAnsiTheme="majorHAnsi"/>
                <w:color w:val="0433FF"/>
                <w:sz w:val="20"/>
                <w:szCs w:val="20"/>
              </w:rPr>
            </w:pP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Rovin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B.H.,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Solomons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N.,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Pendergraft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III, W.F., Dooley, M.A.,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Tumlin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J., Romero-Diaz, J., Lysenko, L., Navarra, S.V., Huizinga, R.B.,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Adzerikho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I. and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Mikhailova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, E., 2019. A randomized, controlled double-blind study comparing the efficacy and safety of dose-ranging </w:t>
            </w:r>
            <w:proofErr w:type="spellStart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voclosporin</w:t>
            </w:r>
            <w:proofErr w:type="spellEnd"/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with placebo in achieving remission in patients with active lupus nephritis.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Kidney international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0D2F55">
              <w:rPr>
                <w:rFonts w:asciiTheme="majorHAnsi" w:hAnsiTheme="majorHAnsi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95</w:t>
            </w:r>
            <w:r w:rsidRPr="000D2F5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(1), pp.219-231. </w:t>
            </w:r>
            <w:r w:rsidRPr="00811E05">
              <w:rPr>
                <w:rFonts w:asciiTheme="majorHAnsi" w:hAnsiTheme="majorHAnsi"/>
                <w:color w:val="0433FF"/>
                <w:sz w:val="20"/>
                <w:szCs w:val="20"/>
              </w:rPr>
              <w:t>https://www.kidney-international.org/article/S0085-2538(18)30628-8/fulltext#s</w:t>
            </w:r>
            <w:r w:rsidR="00811E05">
              <w:rPr>
                <w:rFonts w:asciiTheme="majorHAnsi" w:hAnsiTheme="majorHAnsi"/>
                <w:color w:val="0433FF"/>
                <w:sz w:val="20"/>
                <w:szCs w:val="20"/>
              </w:rPr>
              <w:t>ec3</w:t>
            </w:r>
          </w:p>
          <w:p w:rsidR="00974840" w:rsidRPr="000D2F55" w:rsidRDefault="00974840" w:rsidP="007C67FD">
            <w:pPr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67FD" w:rsidRPr="000D2F55" w:rsidRDefault="003D7A1A">
            <w:pPr>
              <w:rPr>
                <w:rFonts w:asciiTheme="majorHAnsi" w:hAnsiTheme="majorHAnsi"/>
                <w:sz w:val="20"/>
                <w:szCs w:val="20"/>
              </w:rPr>
            </w:pPr>
            <w:r w:rsidRPr="000D2F55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</w:tr>
    </w:tbl>
    <w:p w:rsidR="00112926" w:rsidRDefault="00112926">
      <w:pPr>
        <w:pStyle w:val="Default"/>
      </w:pPr>
    </w:p>
    <w:sectPr w:rsidR="00112926">
      <w:headerReference w:type="default" r:id="rId47"/>
      <w:footerReference w:type="default" r:id="rId4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B3A60" w:rsidRDefault="000B3A60">
      <w:r>
        <w:separator/>
      </w:r>
    </w:p>
  </w:endnote>
  <w:endnote w:type="continuationSeparator" w:id="0">
    <w:p w:rsidR="000B3A60" w:rsidRDefault="000B3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2926" w:rsidRDefault="00BF1237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  <w:lang w:val="en-US"/>
      </w:rPr>
      <w:t xml:space="preserve">Page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 xml:space="preserve"> PAGE 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811E05">
      <w:rPr>
        <w:rFonts w:ascii="Arial" w:eastAsia="Arial" w:hAnsi="Arial" w:cs="Arial"/>
        <w:noProof/>
        <w:sz w:val="18"/>
        <w:szCs w:val="18"/>
      </w:rPr>
      <w:t>6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hAnsi="Arial"/>
        <w:sz w:val="18"/>
        <w:szCs w:val="18"/>
        <w:lang w:val="en-US"/>
      </w:rPr>
      <w:t xml:space="preserve"> of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 xml:space="preserve"> NUMPAGES 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811E05">
      <w:rPr>
        <w:rFonts w:ascii="Arial" w:eastAsia="Arial" w:hAnsi="Arial" w:cs="Arial"/>
        <w:noProof/>
        <w:sz w:val="18"/>
        <w:szCs w:val="18"/>
      </w:rPr>
      <w:t>6</w:t>
    </w:r>
    <w:r>
      <w:rPr>
        <w:rFonts w:ascii="Arial" w:eastAsia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B3A60" w:rsidRDefault="000B3A60">
      <w:r>
        <w:separator/>
      </w:r>
    </w:p>
  </w:footnote>
  <w:footnote w:type="continuationSeparator" w:id="0">
    <w:p w:rsidR="000B3A60" w:rsidRDefault="000B3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2926" w:rsidRDefault="001129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A7C"/>
    <w:multiLevelType w:val="hybridMultilevel"/>
    <w:tmpl w:val="7D4C53FE"/>
    <w:lvl w:ilvl="0" w:tplc="B636AC78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B66400">
      <w:start w:val="1"/>
      <w:numFmt w:val="decimal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8446E2">
      <w:start w:val="1"/>
      <w:numFmt w:val="decimal"/>
      <w:lvlText w:val="%3."/>
      <w:lvlJc w:val="left"/>
      <w:pPr>
        <w:ind w:left="17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EA1A8E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E4929A">
      <w:start w:val="1"/>
      <w:numFmt w:val="decimal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C23136">
      <w:start w:val="1"/>
      <w:numFmt w:val="decimal"/>
      <w:lvlText w:val="%6."/>
      <w:lvlJc w:val="left"/>
      <w:pPr>
        <w:ind w:left="39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3EE434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A48C30">
      <w:start w:val="1"/>
      <w:numFmt w:val="decimal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5E809A">
      <w:start w:val="1"/>
      <w:numFmt w:val="decimal"/>
      <w:lvlText w:val="%9."/>
      <w:lvlJc w:val="left"/>
      <w:pPr>
        <w:ind w:left="61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8EB4754"/>
    <w:multiLevelType w:val="hybridMultilevel"/>
    <w:tmpl w:val="3D880E0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926"/>
    <w:rsid w:val="000920DA"/>
    <w:rsid w:val="000B3A60"/>
    <w:rsid w:val="000B3A74"/>
    <w:rsid w:val="000D2F55"/>
    <w:rsid w:val="00112926"/>
    <w:rsid w:val="001154CF"/>
    <w:rsid w:val="00323D77"/>
    <w:rsid w:val="003D7A1A"/>
    <w:rsid w:val="003E605A"/>
    <w:rsid w:val="00417AE4"/>
    <w:rsid w:val="00423960"/>
    <w:rsid w:val="00500B23"/>
    <w:rsid w:val="005B4490"/>
    <w:rsid w:val="005C0F95"/>
    <w:rsid w:val="005E5058"/>
    <w:rsid w:val="0071222B"/>
    <w:rsid w:val="00764ED5"/>
    <w:rsid w:val="007C67FD"/>
    <w:rsid w:val="00811E05"/>
    <w:rsid w:val="00974840"/>
    <w:rsid w:val="00AA4118"/>
    <w:rsid w:val="00B541F3"/>
    <w:rsid w:val="00BF1237"/>
    <w:rsid w:val="00C25493"/>
    <w:rsid w:val="00CF1A28"/>
    <w:rsid w:val="00D747FD"/>
    <w:rsid w:val="00DB4677"/>
    <w:rsid w:val="00DC6B7C"/>
    <w:rsid w:val="00DE1B85"/>
    <w:rsid w:val="00DE2299"/>
    <w:rsid w:val="00E84633"/>
    <w:rsid w:val="00F10652"/>
    <w:rsid w:val="00F2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D63DD"/>
  <w15:docId w15:val="{707C98A1-B018-4D92-9938-AFD0EA1A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IE" w:eastAsia="en-I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line="360" w:lineRule="auto"/>
      <w:ind w:right="278"/>
      <w:jc w:val="both"/>
    </w:pPr>
    <w:rPr>
      <w:rFonts w:ascii="Arial" w:eastAsia="Arial" w:hAnsi="Arial" w:cs="Arial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ListParagraph">
    <w:name w:val="List Paragraph"/>
    <w:basedOn w:val="Normal"/>
    <w:uiPriority w:val="34"/>
    <w:qFormat/>
    <w:rsid w:val="00F236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1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helancet.com/journals/lanonc/article/PIIS1470-2045(15)00041-8/fulltext" TargetMode="External"/><Relationship Id="rId18" Type="http://schemas.openxmlformats.org/officeDocument/2006/relationships/hyperlink" Target="https://www.thelancet.com/journals/lanonc/article/PIIS1470-2045(16)30154-1/fulltext" TargetMode="External"/><Relationship Id="rId26" Type="http://schemas.openxmlformats.org/officeDocument/2006/relationships/hyperlink" Target="https://www.nejm.org/doi/full/10.1056/nejmoa1415369" TargetMode="External"/><Relationship Id="rId39" Type="http://schemas.openxmlformats.org/officeDocument/2006/relationships/hyperlink" Target="https://jamanetwork.com/journals/jama/fullarticle/1877182?resultClick=1" TargetMode="External"/><Relationship Id="rId21" Type="http://schemas.openxmlformats.org/officeDocument/2006/relationships/hyperlink" Target="https://www.thelancet.com/journals/lanonc/article/PIIS1470-2045(15)70137-3/fulltext" TargetMode="External"/><Relationship Id="rId34" Type="http://schemas.openxmlformats.org/officeDocument/2006/relationships/hyperlink" Target="https://cjasn.asnjournals.org/content/14/8/1161" TargetMode="External"/><Relationship Id="rId42" Type="http://schemas.openxmlformats.org/officeDocument/2006/relationships/hyperlink" Target="https://academic.oup.com/ndt/article/29/5/1053/1876199?searchresult=1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hyperlink" Target="https://www.nejm.org/doi/full/10.1056/nejmoa16097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helancet.com/journals/lancet/article/PIIS0140-6736(16)32389-3/references" TargetMode="External"/><Relationship Id="rId29" Type="http://schemas.openxmlformats.org/officeDocument/2006/relationships/hyperlink" Target="https://www.nejm.org/doi/full/10.1056/NEJMoa1310753" TargetMode="External"/><Relationship Id="rId11" Type="http://schemas.openxmlformats.org/officeDocument/2006/relationships/hyperlink" Target="https://www.thelancet.com/journals/lanonc/article/PIIS1470-2045(17)30011-6/fulltext" TargetMode="External"/><Relationship Id="rId24" Type="http://schemas.openxmlformats.org/officeDocument/2006/relationships/hyperlink" Target="https://www.nejm.org/doi/full/10.1056/NEJMoa1814017" TargetMode="External"/><Relationship Id="rId32" Type="http://schemas.openxmlformats.org/officeDocument/2006/relationships/hyperlink" Target="https://www.sciencedirect.com/science/article/pii/S0140673612615669" TargetMode="External"/><Relationship Id="rId37" Type="http://schemas.openxmlformats.org/officeDocument/2006/relationships/hyperlink" Target="https://cjasn.asnjournals.org/content/6/2/430" TargetMode="External"/><Relationship Id="rId40" Type="http://schemas.openxmlformats.org/officeDocument/2006/relationships/hyperlink" Target="https://jamanetwork.com/journals/jamanetworkopen/fullarticle/2709713?resultClick=1" TargetMode="External"/><Relationship Id="rId45" Type="http://schemas.openxmlformats.org/officeDocument/2006/relationships/hyperlink" Target="https://pubmed.ncbi.nlm.nih.gov/24166468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ejm.org/doi/10.1056/NEJMoa1510764?url_ver=Z39.88-2003&amp;rfr_id=ori:rid:crossref.org&amp;rfr_dat=cr_pub%3dwww.ncbi.nlm.nih.gov" TargetMode="External"/><Relationship Id="rId23" Type="http://schemas.openxmlformats.org/officeDocument/2006/relationships/hyperlink" Target="https://www.thelancet.com/journals/lanonc/article/PIIS1470-2045%2814%2971171-4/fulltext" TargetMode="External"/><Relationship Id="rId28" Type="http://schemas.openxmlformats.org/officeDocument/2006/relationships/hyperlink" Target="https://www.nejm.org/doi/full/10.1056/NEJMoa1203166" TargetMode="External"/><Relationship Id="rId36" Type="http://schemas.openxmlformats.org/officeDocument/2006/relationships/hyperlink" Target="https://cjasn.asnjournals.org/content/5/4/63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thelancet.com/journals/lanonc/article/PIIS1470-2045(15)00135-7/fulltext" TargetMode="External"/><Relationship Id="rId19" Type="http://schemas.openxmlformats.org/officeDocument/2006/relationships/hyperlink" Target="https://www.thelancet.com/journals/lanonc/article/PIIS1470-2045(17)30313-3/references" TargetMode="External"/><Relationship Id="rId31" Type="http://schemas.openxmlformats.org/officeDocument/2006/relationships/hyperlink" Target="https://www.sciencedirect.com/science/article/abs/pii/S2352302619300146" TargetMode="External"/><Relationship Id="rId44" Type="http://schemas.openxmlformats.org/officeDocument/2006/relationships/hyperlink" Target="https://academic.oup.com/ndt/article/32/12/2043/3059462?searchresult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lancet.com/journals/lanonc/article/PIIS1470-2045(17)30717-9/fulltext" TargetMode="External"/><Relationship Id="rId14" Type="http://schemas.openxmlformats.org/officeDocument/2006/relationships/hyperlink" Target="https://www.thelancet.com/journals/lancet/article/PIIS0140-6736(14)62048-1/fulltext" TargetMode="External"/><Relationship Id="rId22" Type="http://schemas.openxmlformats.org/officeDocument/2006/relationships/hyperlink" Target="https://www.thelancet.com/journals/lanonc/article/PIIS1470-2045(17)30376-5/fulltext" TargetMode="External"/><Relationship Id="rId27" Type="http://schemas.openxmlformats.org/officeDocument/2006/relationships/hyperlink" Target="https://nejm.org/doi/full/10.1056/NEJMoa1306033" TargetMode="External"/><Relationship Id="rId30" Type="http://schemas.openxmlformats.org/officeDocument/2006/relationships/hyperlink" Target="https://www.thelancet.com/journals/lancet/article/PIIS0140-6736(19)32135-X/fulltext)" TargetMode="External"/><Relationship Id="rId35" Type="http://schemas.openxmlformats.org/officeDocument/2006/relationships/hyperlink" Target="https://cjasn.asnjournals.org/content/14/3/354" TargetMode="External"/><Relationship Id="rId43" Type="http://schemas.openxmlformats.org/officeDocument/2006/relationships/hyperlink" Target="https://academic.oup.com/ndt/article/30/12/2019/2460012?searchresult=1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nejm.org/doi/10.1056/NEJMoa160225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thelancet.com/journals/lancet/article/PIIS0140-6736(15)01169-1/fulltext" TargetMode="External"/><Relationship Id="rId17" Type="http://schemas.openxmlformats.org/officeDocument/2006/relationships/hyperlink" Target="https://www.thelancet.com/journals/lancet/article/PIIS0140-6736(15)01129-0/fulltext" TargetMode="External"/><Relationship Id="rId25" Type="http://schemas.openxmlformats.org/officeDocument/2006/relationships/hyperlink" Target="https://www.nejm.org/doi/full/10.1056/NEJMoa1607303" TargetMode="External"/><Relationship Id="rId33" Type="http://schemas.openxmlformats.org/officeDocument/2006/relationships/hyperlink" Target="https://cjasn.asnjournals.org/content/9/2/271" TargetMode="External"/><Relationship Id="rId38" Type="http://schemas.openxmlformats.org/officeDocument/2006/relationships/hyperlink" Target="https://jamanetwork.com/journals/jama/fullarticle/2665000?resultClick=1" TargetMode="External"/><Relationship Id="rId46" Type="http://schemas.openxmlformats.org/officeDocument/2006/relationships/hyperlink" Target="https://academic.oup.com/ndt/article/26/5/1599/1892199?searchresult=1" TargetMode="External"/><Relationship Id="rId20" Type="http://schemas.openxmlformats.org/officeDocument/2006/relationships/hyperlink" Target="https://www.thelancet.com/journals/lanonc/article/PIIS1470-2045(17)30319-4/fulltext" TargetMode="External"/><Relationship Id="rId41" Type="http://schemas.openxmlformats.org/officeDocument/2006/relationships/hyperlink" Target="https://academic.oup.com/ndt/article/33/11/1950/4903016?searchresult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2900</Words>
  <Characters>16533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Shiely, Frances</dc:creator>
  <cp:lastModifiedBy>Treweek, Shaun Patrick</cp:lastModifiedBy>
  <cp:revision>3</cp:revision>
  <dcterms:created xsi:type="dcterms:W3CDTF">2022-05-09T08:03:00Z</dcterms:created>
  <dcterms:modified xsi:type="dcterms:W3CDTF">2022-05-09T08:03:00Z</dcterms:modified>
</cp:coreProperties>
</file>