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F211FE" w14:textId="4AB70DEF" w:rsidR="00C11968" w:rsidRPr="00A20CCB" w:rsidRDefault="001C7854" w:rsidP="00A20CCB">
      <w:pPr>
        <w:pStyle w:val="List"/>
        <w:numPr>
          <w:ilvl w:val="0"/>
          <w:numId w:val="0"/>
        </w:numPr>
        <w:spacing w:before="0" w:beforeAutospacing="0" w:after="120" w:afterAutospacing="0"/>
      </w:pPr>
      <w:r w:rsidRPr="0016289C">
        <w:rPr>
          <w:b/>
        </w:rPr>
        <w:t>PROTOCOL TITLE:</w:t>
      </w:r>
      <w:bookmarkStart w:id="0" w:name="_heading=h.gjdgxs" w:colFirst="0" w:colLast="0"/>
      <w:bookmarkEnd w:id="0"/>
    </w:p>
    <w:p w14:paraId="6C1320CF" w14:textId="77777777" w:rsidR="00C11968" w:rsidRPr="0016289C" w:rsidRDefault="00C11968" w:rsidP="00C11968">
      <w:pPr>
        <w:rPr>
          <w:rFonts w:ascii="Times New Roman" w:hAnsi="Times New Roman"/>
          <w:b/>
        </w:rPr>
      </w:pPr>
    </w:p>
    <w:p w14:paraId="364AA2E9" w14:textId="63A92C3E" w:rsidR="00C11968" w:rsidRPr="0016289C" w:rsidRDefault="00C11968" w:rsidP="00C11968">
      <w:pPr>
        <w:rPr>
          <w:rFonts w:ascii="Times New Roman" w:hAnsi="Times New Roman"/>
          <w:b/>
        </w:rPr>
      </w:pPr>
      <w:r w:rsidRPr="0016289C">
        <w:rPr>
          <w:rFonts w:ascii="Times New Roman" w:hAnsi="Times New Roman"/>
        </w:rPr>
        <w:t xml:space="preserve">The </w:t>
      </w:r>
      <w:r w:rsidRPr="0016289C">
        <w:rPr>
          <w:rFonts w:ascii="Times New Roman" w:hAnsi="Times New Roman"/>
          <w:u w:val="single"/>
        </w:rPr>
        <w:t>N</w:t>
      </w:r>
      <w:r w:rsidRPr="0016289C">
        <w:rPr>
          <w:rFonts w:ascii="Times New Roman" w:hAnsi="Times New Roman"/>
        </w:rPr>
        <w:t xml:space="preserve">ICU </w:t>
      </w:r>
      <w:r w:rsidRPr="0016289C">
        <w:rPr>
          <w:rFonts w:ascii="Times New Roman" w:hAnsi="Times New Roman"/>
          <w:u w:val="single"/>
        </w:rPr>
        <w:t>An</w:t>
      </w:r>
      <w:r w:rsidRPr="0016289C">
        <w:rPr>
          <w:rFonts w:ascii="Times New Roman" w:hAnsi="Times New Roman"/>
        </w:rPr>
        <w:t xml:space="preserve">tibiotics and </w:t>
      </w:r>
      <w:r w:rsidRPr="0016289C">
        <w:rPr>
          <w:rFonts w:ascii="Times New Roman" w:hAnsi="Times New Roman"/>
          <w:u w:val="single"/>
        </w:rPr>
        <w:t>O</w:t>
      </w:r>
      <w:r w:rsidRPr="0016289C">
        <w:rPr>
          <w:rFonts w:ascii="Times New Roman" w:hAnsi="Times New Roman"/>
        </w:rPr>
        <w:t>utcomes Trial (NANO)</w:t>
      </w:r>
    </w:p>
    <w:p w14:paraId="5BC71A3C" w14:textId="77777777" w:rsidR="00C11968" w:rsidRPr="0016289C" w:rsidRDefault="00C11968" w:rsidP="001C7854">
      <w:pPr>
        <w:pStyle w:val="Default"/>
        <w:rPr>
          <w:b/>
        </w:rPr>
      </w:pPr>
    </w:p>
    <w:p w14:paraId="7DFBD2EE" w14:textId="34DEA0AF" w:rsidR="001C7854" w:rsidRPr="0016289C" w:rsidRDefault="001C7854" w:rsidP="001C7854">
      <w:pPr>
        <w:pStyle w:val="Default"/>
        <w:rPr>
          <w:b/>
        </w:rPr>
      </w:pPr>
      <w:r w:rsidRPr="0016289C">
        <w:rPr>
          <w:b/>
        </w:rPr>
        <w:t>PRINCIPAL INVESTIGATOR:</w:t>
      </w:r>
    </w:p>
    <w:p w14:paraId="13F00568" w14:textId="77777777" w:rsidR="001A4DE4" w:rsidRDefault="001A4DE4" w:rsidP="001A4DE4">
      <w:pPr>
        <w:autoSpaceDE/>
        <w:autoSpaceDN/>
        <w:adjustRightInd/>
        <w:rPr>
          <w:rFonts w:ascii="Arial" w:eastAsia="Arial" w:hAnsi="Arial" w:cs="Arial"/>
          <w:b/>
        </w:rPr>
      </w:pPr>
    </w:p>
    <w:p w14:paraId="4632FA2E" w14:textId="606EC107" w:rsidR="001A4DE4" w:rsidRPr="001A4DE4" w:rsidRDefault="001A4DE4" w:rsidP="001A4DE4">
      <w:pPr>
        <w:autoSpaceDE/>
        <w:autoSpaceDN/>
        <w:adjustRightInd/>
        <w:rPr>
          <w:rFonts w:ascii="Times New Roman" w:eastAsia="Arial" w:hAnsi="Times New Roman"/>
          <w:b/>
        </w:rPr>
      </w:pPr>
      <w:r w:rsidRPr="001A4DE4">
        <w:rPr>
          <w:rFonts w:ascii="Times New Roman" w:eastAsia="Arial" w:hAnsi="Times New Roman"/>
          <w:b/>
        </w:rPr>
        <w:t>Michael J. Morowitz, MD, FACS</w:t>
      </w:r>
    </w:p>
    <w:p w14:paraId="2CB48E87" w14:textId="77777777" w:rsidR="001A4DE4" w:rsidRPr="001A4DE4" w:rsidRDefault="001A4DE4" w:rsidP="001A4DE4">
      <w:pPr>
        <w:autoSpaceDE/>
        <w:autoSpaceDN/>
        <w:adjustRightInd/>
        <w:rPr>
          <w:rFonts w:ascii="Times New Roman" w:eastAsia="Arial" w:hAnsi="Times New Roman"/>
        </w:rPr>
      </w:pPr>
      <w:r w:rsidRPr="001A4DE4">
        <w:rPr>
          <w:rFonts w:ascii="Times New Roman" w:eastAsia="Arial" w:hAnsi="Times New Roman"/>
        </w:rPr>
        <w:t>Associate Professor of Surgery</w:t>
      </w:r>
    </w:p>
    <w:p w14:paraId="25CCA663" w14:textId="77777777" w:rsidR="001A4DE4" w:rsidRPr="001A4DE4" w:rsidRDefault="001A4DE4" w:rsidP="001A4DE4">
      <w:pPr>
        <w:autoSpaceDE/>
        <w:autoSpaceDN/>
        <w:adjustRightInd/>
        <w:rPr>
          <w:rFonts w:ascii="Times New Roman" w:eastAsia="Arial" w:hAnsi="Times New Roman"/>
        </w:rPr>
      </w:pPr>
      <w:r w:rsidRPr="001A4DE4">
        <w:rPr>
          <w:rFonts w:ascii="Times New Roman" w:eastAsia="Arial" w:hAnsi="Times New Roman"/>
        </w:rPr>
        <w:t>University of Pittsburgh School of Medicine</w:t>
      </w:r>
    </w:p>
    <w:p w14:paraId="3717F989" w14:textId="77777777" w:rsidR="001A4DE4" w:rsidRPr="001A4DE4" w:rsidRDefault="001A4DE4" w:rsidP="001A4DE4">
      <w:pPr>
        <w:autoSpaceDE/>
        <w:autoSpaceDN/>
        <w:adjustRightInd/>
        <w:rPr>
          <w:rFonts w:ascii="Times New Roman" w:eastAsia="Arial" w:hAnsi="Times New Roman"/>
        </w:rPr>
      </w:pPr>
      <w:r w:rsidRPr="001A4DE4">
        <w:rPr>
          <w:rFonts w:ascii="Times New Roman" w:eastAsia="Arial" w:hAnsi="Times New Roman"/>
        </w:rPr>
        <w:t>Attending Pediatric Surgeon, Division of Pediatric General and Thoracic Surgery</w:t>
      </w:r>
    </w:p>
    <w:p w14:paraId="2DCCC0E1" w14:textId="77777777" w:rsidR="001A4DE4" w:rsidRPr="001A4DE4" w:rsidRDefault="001A4DE4" w:rsidP="001A4DE4">
      <w:pPr>
        <w:autoSpaceDE/>
        <w:autoSpaceDN/>
        <w:adjustRightInd/>
        <w:rPr>
          <w:rFonts w:ascii="Times New Roman" w:eastAsia="Arial" w:hAnsi="Times New Roman"/>
        </w:rPr>
      </w:pPr>
      <w:r w:rsidRPr="001A4DE4">
        <w:rPr>
          <w:rFonts w:ascii="Times New Roman" w:eastAsia="Arial" w:hAnsi="Times New Roman"/>
        </w:rPr>
        <w:t>Children’s Hospital of Pittsburgh of UPMC</w:t>
      </w:r>
    </w:p>
    <w:p w14:paraId="231055DA" w14:textId="77777777" w:rsidR="001A4DE4" w:rsidRPr="001A4DE4" w:rsidRDefault="001A4DE4" w:rsidP="001A4DE4">
      <w:pPr>
        <w:autoSpaceDE/>
        <w:autoSpaceDN/>
        <w:adjustRightInd/>
        <w:rPr>
          <w:rFonts w:ascii="Times New Roman" w:eastAsia="Arial" w:hAnsi="Times New Roman"/>
        </w:rPr>
      </w:pPr>
      <w:proofErr w:type="spellStart"/>
      <w:r w:rsidRPr="001A4DE4">
        <w:rPr>
          <w:rFonts w:ascii="Times New Roman" w:eastAsia="Arial" w:hAnsi="Times New Roman"/>
        </w:rPr>
        <w:t>Rangos</w:t>
      </w:r>
      <w:proofErr w:type="spellEnd"/>
      <w:r w:rsidRPr="001A4DE4">
        <w:rPr>
          <w:rFonts w:ascii="Times New Roman" w:eastAsia="Arial" w:hAnsi="Times New Roman"/>
        </w:rPr>
        <w:t xml:space="preserve"> Research Center 6</w:t>
      </w:r>
      <w:r w:rsidRPr="001A4DE4">
        <w:rPr>
          <w:rFonts w:ascii="Times New Roman" w:eastAsia="Arial" w:hAnsi="Times New Roman"/>
          <w:vertAlign w:val="superscript"/>
        </w:rPr>
        <w:t>th</w:t>
      </w:r>
      <w:r w:rsidRPr="001A4DE4">
        <w:rPr>
          <w:rFonts w:ascii="Times New Roman" w:eastAsia="Arial" w:hAnsi="Times New Roman"/>
        </w:rPr>
        <w:t xml:space="preserve"> Floor</w:t>
      </w:r>
    </w:p>
    <w:p w14:paraId="44BA4511" w14:textId="77777777" w:rsidR="001A4DE4" w:rsidRPr="001A4DE4" w:rsidRDefault="001A4DE4" w:rsidP="001A4DE4">
      <w:pPr>
        <w:autoSpaceDE/>
        <w:autoSpaceDN/>
        <w:adjustRightInd/>
        <w:rPr>
          <w:rFonts w:ascii="Times New Roman" w:eastAsia="Arial" w:hAnsi="Times New Roman"/>
        </w:rPr>
      </w:pPr>
      <w:r w:rsidRPr="001A4DE4">
        <w:rPr>
          <w:rFonts w:ascii="Times New Roman" w:eastAsia="Arial" w:hAnsi="Times New Roman"/>
        </w:rPr>
        <w:t>4401 Penn Avenue</w:t>
      </w:r>
    </w:p>
    <w:p w14:paraId="38F871D8" w14:textId="77777777" w:rsidR="001A4DE4" w:rsidRPr="001A4DE4" w:rsidRDefault="001A4DE4" w:rsidP="001A4DE4">
      <w:pPr>
        <w:autoSpaceDE/>
        <w:autoSpaceDN/>
        <w:adjustRightInd/>
        <w:rPr>
          <w:rFonts w:ascii="Times New Roman" w:eastAsia="Arial" w:hAnsi="Times New Roman"/>
        </w:rPr>
      </w:pPr>
      <w:r w:rsidRPr="001A4DE4">
        <w:rPr>
          <w:rFonts w:ascii="Times New Roman" w:eastAsia="Arial" w:hAnsi="Times New Roman"/>
        </w:rPr>
        <w:t>Pittsburgh, PA 15224</w:t>
      </w:r>
    </w:p>
    <w:p w14:paraId="2E344F0D" w14:textId="77777777" w:rsidR="001A4DE4" w:rsidRPr="001A4DE4" w:rsidRDefault="001A4DE4" w:rsidP="001A4DE4">
      <w:pPr>
        <w:autoSpaceDE/>
        <w:autoSpaceDN/>
        <w:adjustRightInd/>
        <w:rPr>
          <w:rFonts w:ascii="Times New Roman" w:eastAsia="Arial" w:hAnsi="Times New Roman"/>
        </w:rPr>
      </w:pPr>
      <w:r w:rsidRPr="001A4DE4">
        <w:rPr>
          <w:rFonts w:ascii="Times New Roman" w:eastAsia="Arial" w:hAnsi="Times New Roman"/>
        </w:rPr>
        <w:t>(412) 692-5976</w:t>
      </w:r>
    </w:p>
    <w:p w14:paraId="27C9688F" w14:textId="77777777" w:rsidR="001A4DE4" w:rsidRPr="001A4DE4" w:rsidRDefault="00820558" w:rsidP="001A4DE4">
      <w:pPr>
        <w:autoSpaceDE/>
        <w:autoSpaceDN/>
        <w:adjustRightInd/>
        <w:rPr>
          <w:rFonts w:ascii="Times New Roman" w:eastAsia="Arial" w:hAnsi="Times New Roman"/>
        </w:rPr>
      </w:pPr>
      <w:hyperlink r:id="rId12" w:history="1">
        <w:r w:rsidR="001A4DE4" w:rsidRPr="001A4DE4">
          <w:rPr>
            <w:rFonts w:ascii="Times New Roman" w:eastAsia="Arial" w:hAnsi="Times New Roman"/>
            <w:color w:val="0000FF"/>
            <w:u w:val="single"/>
          </w:rPr>
          <w:t>Michael.morowitz@chp.edu</w:t>
        </w:r>
      </w:hyperlink>
    </w:p>
    <w:p w14:paraId="7E7A08E1" w14:textId="77777777" w:rsidR="001A4DE4" w:rsidRDefault="001A4DE4" w:rsidP="001C7854">
      <w:pPr>
        <w:pStyle w:val="Default"/>
        <w:rPr>
          <w:i/>
        </w:rPr>
      </w:pPr>
    </w:p>
    <w:p w14:paraId="48760D70" w14:textId="77777777" w:rsidR="001A4DE4" w:rsidRDefault="001A4DE4" w:rsidP="001C7854">
      <w:pPr>
        <w:pStyle w:val="Default"/>
        <w:rPr>
          <w:i/>
        </w:rPr>
      </w:pPr>
    </w:p>
    <w:p w14:paraId="7DFBD2F3" w14:textId="2AB3A2B7" w:rsidR="001C7854" w:rsidRPr="0016289C" w:rsidRDefault="001C7854" w:rsidP="001C7854">
      <w:pPr>
        <w:pStyle w:val="Default"/>
        <w:rPr>
          <w:b/>
        </w:rPr>
      </w:pPr>
      <w:r w:rsidRPr="0016289C">
        <w:rPr>
          <w:b/>
        </w:rPr>
        <w:t>VERSION NUMBER</w:t>
      </w:r>
      <w:r w:rsidR="00297491" w:rsidRPr="0016289C">
        <w:rPr>
          <w:b/>
        </w:rPr>
        <w:t>/DATE</w:t>
      </w:r>
      <w:r w:rsidRPr="0016289C">
        <w:rPr>
          <w:b/>
        </w:rPr>
        <w:t>:</w:t>
      </w:r>
    </w:p>
    <w:p w14:paraId="7DFBD2F6" w14:textId="12D7C660" w:rsidR="00297491" w:rsidRPr="00F937CC" w:rsidRDefault="00F937CC" w:rsidP="00F937CC">
      <w:pPr>
        <w:pStyle w:val="Default"/>
        <w:spacing w:before="120" w:after="120"/>
      </w:pPr>
      <w:r>
        <w:t xml:space="preserve">Version </w:t>
      </w:r>
      <w:r w:rsidR="00F058DA">
        <w:t>5</w:t>
      </w:r>
      <w:r>
        <w:t>/</w:t>
      </w:r>
      <w:r w:rsidR="00E70F0B">
        <w:t>September</w:t>
      </w:r>
      <w:r w:rsidR="008D5C8C">
        <w:t xml:space="preserve"> </w:t>
      </w:r>
      <w:r w:rsidR="00150A06">
        <w:t>2020</w:t>
      </w:r>
    </w:p>
    <w:p w14:paraId="1BF3AE09" w14:textId="77777777" w:rsidR="00F937CC" w:rsidRDefault="00F937CC" w:rsidP="008217D1">
      <w:pPr>
        <w:pStyle w:val="Default"/>
        <w:rPr>
          <w:b/>
        </w:rPr>
      </w:pPr>
    </w:p>
    <w:p w14:paraId="4E5DF8A7" w14:textId="026FF416" w:rsidR="00297491" w:rsidRPr="0016289C" w:rsidRDefault="00297491" w:rsidP="008217D1">
      <w:pPr>
        <w:pStyle w:val="Default"/>
      </w:pPr>
      <w:r w:rsidRPr="0016289C">
        <w:rPr>
          <w:b/>
        </w:rPr>
        <w:t>R</w:t>
      </w:r>
      <w:r w:rsidR="008217D1" w:rsidRPr="0016289C">
        <w:rPr>
          <w:b/>
        </w:rPr>
        <w:t>EVISION HISTORY</w:t>
      </w:r>
    </w:p>
    <w:p w14:paraId="06190E04" w14:textId="77777777" w:rsidR="00297491" w:rsidRPr="0016289C" w:rsidRDefault="00297491" w:rsidP="00297491">
      <w:pPr>
        <w:rPr>
          <w:rFonts w:ascii="Times New Roman" w:hAnsi="Times New Roman"/>
        </w:rPr>
      </w:pPr>
    </w:p>
    <w:tbl>
      <w:tblPr>
        <w:tblW w:w="88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3"/>
        <w:gridCol w:w="1663"/>
        <w:gridCol w:w="4802"/>
        <w:gridCol w:w="1288"/>
      </w:tblGrid>
      <w:tr w:rsidR="00297491" w:rsidRPr="0016289C" w14:paraId="6DFA7F81" w14:textId="77777777" w:rsidTr="00DF71A6">
        <w:tc>
          <w:tcPr>
            <w:tcW w:w="1103" w:type="dxa"/>
          </w:tcPr>
          <w:p w14:paraId="0A3B5FC9" w14:textId="77777777" w:rsidR="00297491" w:rsidRPr="0016289C" w:rsidRDefault="00297491" w:rsidP="00DF71A6">
            <w:pPr>
              <w:rPr>
                <w:rFonts w:ascii="Times New Roman" w:hAnsi="Times New Roman"/>
              </w:rPr>
            </w:pPr>
            <w:r w:rsidRPr="0016289C">
              <w:rPr>
                <w:rFonts w:ascii="Times New Roman" w:hAnsi="Times New Roman"/>
                <w:b/>
              </w:rPr>
              <w:t>Revision #</w:t>
            </w:r>
          </w:p>
        </w:tc>
        <w:tc>
          <w:tcPr>
            <w:tcW w:w="1663" w:type="dxa"/>
          </w:tcPr>
          <w:p w14:paraId="22D65B91" w14:textId="77777777" w:rsidR="00297491" w:rsidRPr="0016289C" w:rsidRDefault="00297491" w:rsidP="00DF71A6">
            <w:pPr>
              <w:rPr>
                <w:rFonts w:ascii="Times New Roman" w:hAnsi="Times New Roman"/>
              </w:rPr>
            </w:pPr>
            <w:r w:rsidRPr="0016289C">
              <w:rPr>
                <w:rFonts w:ascii="Times New Roman" w:hAnsi="Times New Roman"/>
                <w:b/>
              </w:rPr>
              <w:t>Version Date</w:t>
            </w:r>
          </w:p>
        </w:tc>
        <w:tc>
          <w:tcPr>
            <w:tcW w:w="4802" w:type="dxa"/>
          </w:tcPr>
          <w:p w14:paraId="14839056" w14:textId="77777777" w:rsidR="00297491" w:rsidRPr="0016289C" w:rsidRDefault="00297491" w:rsidP="00DF71A6">
            <w:pPr>
              <w:rPr>
                <w:rFonts w:ascii="Times New Roman" w:hAnsi="Times New Roman"/>
              </w:rPr>
            </w:pPr>
            <w:r w:rsidRPr="0016289C">
              <w:rPr>
                <w:rFonts w:ascii="Times New Roman" w:hAnsi="Times New Roman"/>
                <w:b/>
              </w:rPr>
              <w:t>Summary of Changes</w:t>
            </w:r>
          </w:p>
        </w:tc>
        <w:tc>
          <w:tcPr>
            <w:tcW w:w="1288" w:type="dxa"/>
          </w:tcPr>
          <w:p w14:paraId="1644F1BC" w14:textId="77777777" w:rsidR="00297491" w:rsidRPr="0016289C" w:rsidRDefault="00297491" w:rsidP="00DF71A6">
            <w:pPr>
              <w:rPr>
                <w:rFonts w:ascii="Times New Roman" w:hAnsi="Times New Roman"/>
              </w:rPr>
            </w:pPr>
            <w:r w:rsidRPr="0016289C">
              <w:rPr>
                <w:rFonts w:ascii="Times New Roman" w:hAnsi="Times New Roman"/>
                <w:b/>
              </w:rPr>
              <w:t>Consent Change?</w:t>
            </w:r>
          </w:p>
        </w:tc>
      </w:tr>
      <w:tr w:rsidR="00297491" w:rsidRPr="0016289C" w14:paraId="7E8566EA" w14:textId="77777777" w:rsidTr="00DF71A6">
        <w:tc>
          <w:tcPr>
            <w:tcW w:w="1103" w:type="dxa"/>
          </w:tcPr>
          <w:p w14:paraId="3DFA5945" w14:textId="727F2642" w:rsidR="00297491" w:rsidRPr="0016289C" w:rsidRDefault="0032057E" w:rsidP="00DF71A6">
            <w:pPr>
              <w:rPr>
                <w:rFonts w:ascii="Times New Roman" w:hAnsi="Times New Roman"/>
              </w:rPr>
            </w:pPr>
            <w:r>
              <w:rPr>
                <w:rFonts w:ascii="Times New Roman" w:hAnsi="Times New Roman"/>
              </w:rPr>
              <w:t>1</w:t>
            </w:r>
          </w:p>
        </w:tc>
        <w:tc>
          <w:tcPr>
            <w:tcW w:w="1663" w:type="dxa"/>
          </w:tcPr>
          <w:p w14:paraId="483F8B00" w14:textId="42936B6D" w:rsidR="00297491" w:rsidRPr="0016289C" w:rsidRDefault="0082345C" w:rsidP="00DF71A6">
            <w:pPr>
              <w:rPr>
                <w:rFonts w:ascii="Times New Roman" w:hAnsi="Times New Roman"/>
              </w:rPr>
            </w:pPr>
            <w:r>
              <w:rPr>
                <w:rFonts w:ascii="Times New Roman" w:hAnsi="Times New Roman"/>
              </w:rPr>
              <w:t>1/30/2020</w:t>
            </w:r>
          </w:p>
        </w:tc>
        <w:tc>
          <w:tcPr>
            <w:tcW w:w="4802" w:type="dxa"/>
          </w:tcPr>
          <w:p w14:paraId="48C45E29" w14:textId="3B0249C4" w:rsidR="00297491" w:rsidRPr="0016289C" w:rsidRDefault="00362566" w:rsidP="00DF71A6">
            <w:pPr>
              <w:rPr>
                <w:rFonts w:ascii="Times New Roman" w:hAnsi="Times New Roman"/>
              </w:rPr>
            </w:pPr>
            <w:r>
              <w:rPr>
                <w:rFonts w:ascii="Times New Roman" w:hAnsi="Times New Roman"/>
              </w:rPr>
              <w:t>Updated statistical analysis,</w:t>
            </w:r>
            <w:r w:rsidR="006A7746">
              <w:rPr>
                <w:rFonts w:ascii="Times New Roman" w:hAnsi="Times New Roman"/>
              </w:rPr>
              <w:t xml:space="preserve"> specified</w:t>
            </w:r>
            <w:r>
              <w:rPr>
                <w:rFonts w:ascii="Times New Roman" w:hAnsi="Times New Roman"/>
              </w:rPr>
              <w:t xml:space="preserve"> </w:t>
            </w:r>
            <w:r w:rsidR="00CC421F">
              <w:rPr>
                <w:rFonts w:ascii="Times New Roman" w:hAnsi="Times New Roman"/>
              </w:rPr>
              <w:t xml:space="preserve">infant </w:t>
            </w:r>
            <w:r w:rsidR="001C43F8">
              <w:rPr>
                <w:rFonts w:ascii="Times New Roman" w:hAnsi="Times New Roman"/>
              </w:rPr>
              <w:t>blood draw</w:t>
            </w:r>
            <w:r w:rsidR="006A7746">
              <w:rPr>
                <w:rFonts w:ascii="Times New Roman" w:hAnsi="Times New Roman"/>
              </w:rPr>
              <w:t xml:space="preserve"> collected for genetic analysis</w:t>
            </w:r>
            <w:r w:rsidR="0086173A">
              <w:rPr>
                <w:rFonts w:ascii="Times New Roman" w:hAnsi="Times New Roman"/>
              </w:rPr>
              <w:t xml:space="preserve">, </w:t>
            </w:r>
            <w:r w:rsidR="00B566CD">
              <w:rPr>
                <w:rFonts w:ascii="Times New Roman" w:hAnsi="Times New Roman"/>
              </w:rPr>
              <w:t>changed study drug dosing and duration</w:t>
            </w:r>
            <w:r w:rsidR="00B96CBE">
              <w:rPr>
                <w:rFonts w:ascii="Times New Roman" w:hAnsi="Times New Roman"/>
              </w:rPr>
              <w:t xml:space="preserve">, </w:t>
            </w:r>
            <w:r w:rsidR="0082345C">
              <w:rPr>
                <w:rFonts w:ascii="Times New Roman" w:hAnsi="Times New Roman"/>
              </w:rPr>
              <w:t>specified how patients with suspected infection will be treated</w:t>
            </w:r>
          </w:p>
        </w:tc>
        <w:tc>
          <w:tcPr>
            <w:tcW w:w="1288" w:type="dxa"/>
          </w:tcPr>
          <w:p w14:paraId="305D1899" w14:textId="7DF04676" w:rsidR="00297491" w:rsidRPr="0016289C" w:rsidRDefault="00362566" w:rsidP="00DF71A6">
            <w:pPr>
              <w:rPr>
                <w:rFonts w:ascii="Times New Roman" w:hAnsi="Times New Roman"/>
              </w:rPr>
            </w:pPr>
            <w:r>
              <w:rPr>
                <w:rFonts w:ascii="Times New Roman" w:hAnsi="Times New Roman"/>
              </w:rPr>
              <w:t>Yes</w:t>
            </w:r>
          </w:p>
        </w:tc>
      </w:tr>
      <w:tr w:rsidR="00297491" w:rsidRPr="0016289C" w14:paraId="189B15DD" w14:textId="77777777" w:rsidTr="00DF71A6">
        <w:tc>
          <w:tcPr>
            <w:tcW w:w="1103" w:type="dxa"/>
          </w:tcPr>
          <w:p w14:paraId="5ECA2E32" w14:textId="43A35EF5" w:rsidR="00297491" w:rsidRPr="0016289C" w:rsidRDefault="00A93D16" w:rsidP="00DF71A6">
            <w:pPr>
              <w:rPr>
                <w:rFonts w:ascii="Times New Roman" w:hAnsi="Times New Roman"/>
              </w:rPr>
            </w:pPr>
            <w:r>
              <w:rPr>
                <w:rFonts w:ascii="Times New Roman" w:hAnsi="Times New Roman"/>
              </w:rPr>
              <w:t>2</w:t>
            </w:r>
          </w:p>
        </w:tc>
        <w:tc>
          <w:tcPr>
            <w:tcW w:w="1663" w:type="dxa"/>
          </w:tcPr>
          <w:p w14:paraId="0D5B1281" w14:textId="2239471C" w:rsidR="00297491" w:rsidRPr="0016289C" w:rsidRDefault="00A93D16" w:rsidP="00DF71A6">
            <w:pPr>
              <w:rPr>
                <w:rFonts w:ascii="Times New Roman" w:hAnsi="Times New Roman"/>
              </w:rPr>
            </w:pPr>
            <w:r>
              <w:rPr>
                <w:rFonts w:ascii="Times New Roman" w:hAnsi="Times New Roman"/>
              </w:rPr>
              <w:t>3/</w:t>
            </w:r>
            <w:r w:rsidR="008F2604">
              <w:rPr>
                <w:rFonts w:ascii="Times New Roman" w:hAnsi="Times New Roman"/>
              </w:rPr>
              <w:t>20/2020</w:t>
            </w:r>
          </w:p>
        </w:tc>
        <w:tc>
          <w:tcPr>
            <w:tcW w:w="4802" w:type="dxa"/>
          </w:tcPr>
          <w:p w14:paraId="79E18646" w14:textId="78EBE868" w:rsidR="00297491" w:rsidRPr="0016289C" w:rsidRDefault="008F2604" w:rsidP="00DF71A6">
            <w:pPr>
              <w:rPr>
                <w:rFonts w:ascii="Times New Roman" w:hAnsi="Times New Roman"/>
              </w:rPr>
            </w:pPr>
            <w:r>
              <w:rPr>
                <w:rFonts w:ascii="Times New Roman" w:hAnsi="Times New Roman"/>
              </w:rPr>
              <w:t>Updated rescue antibiotic language</w:t>
            </w:r>
            <w:r w:rsidR="00FC0586">
              <w:rPr>
                <w:rFonts w:ascii="Times New Roman" w:hAnsi="Times New Roman"/>
              </w:rPr>
              <w:t xml:space="preserve"> and statistical analysis plan</w:t>
            </w:r>
          </w:p>
        </w:tc>
        <w:tc>
          <w:tcPr>
            <w:tcW w:w="1288" w:type="dxa"/>
          </w:tcPr>
          <w:p w14:paraId="5BE91A19" w14:textId="42CB72F8" w:rsidR="00297491" w:rsidRPr="0016289C" w:rsidRDefault="008F2604" w:rsidP="00DF71A6">
            <w:pPr>
              <w:rPr>
                <w:rFonts w:ascii="Times New Roman" w:hAnsi="Times New Roman"/>
              </w:rPr>
            </w:pPr>
            <w:r>
              <w:rPr>
                <w:rFonts w:ascii="Times New Roman" w:hAnsi="Times New Roman"/>
              </w:rPr>
              <w:t>No</w:t>
            </w:r>
          </w:p>
        </w:tc>
      </w:tr>
      <w:tr w:rsidR="00297491" w:rsidRPr="0016289C" w14:paraId="23A489D5" w14:textId="77777777" w:rsidTr="00DF71A6">
        <w:tc>
          <w:tcPr>
            <w:tcW w:w="1103" w:type="dxa"/>
          </w:tcPr>
          <w:p w14:paraId="10A27E87" w14:textId="3DC40AE2" w:rsidR="00297491" w:rsidRPr="0016289C" w:rsidRDefault="00274EDA" w:rsidP="00DF71A6">
            <w:pPr>
              <w:rPr>
                <w:rFonts w:ascii="Times New Roman" w:hAnsi="Times New Roman"/>
              </w:rPr>
            </w:pPr>
            <w:r>
              <w:rPr>
                <w:rFonts w:ascii="Times New Roman" w:hAnsi="Times New Roman"/>
              </w:rPr>
              <w:t>3</w:t>
            </w:r>
          </w:p>
        </w:tc>
        <w:tc>
          <w:tcPr>
            <w:tcW w:w="1663" w:type="dxa"/>
          </w:tcPr>
          <w:p w14:paraId="44DCC035" w14:textId="45D788DC" w:rsidR="00297491" w:rsidRPr="0016289C" w:rsidRDefault="00274EDA" w:rsidP="00DF71A6">
            <w:pPr>
              <w:rPr>
                <w:rFonts w:ascii="Times New Roman" w:hAnsi="Times New Roman"/>
              </w:rPr>
            </w:pPr>
            <w:r>
              <w:rPr>
                <w:rFonts w:ascii="Times New Roman" w:hAnsi="Times New Roman"/>
              </w:rPr>
              <w:t>4/21/2020</w:t>
            </w:r>
          </w:p>
        </w:tc>
        <w:tc>
          <w:tcPr>
            <w:tcW w:w="4802" w:type="dxa"/>
          </w:tcPr>
          <w:p w14:paraId="63C68FD0" w14:textId="1E5D3079" w:rsidR="00297491" w:rsidRPr="0016289C" w:rsidRDefault="00274EDA" w:rsidP="00DF71A6">
            <w:pPr>
              <w:rPr>
                <w:rFonts w:ascii="Times New Roman" w:hAnsi="Times New Roman"/>
              </w:rPr>
            </w:pPr>
            <w:r>
              <w:rPr>
                <w:rFonts w:ascii="Times New Roman" w:hAnsi="Times New Roman"/>
              </w:rPr>
              <w:t xml:space="preserve">Updated </w:t>
            </w:r>
            <w:r w:rsidR="00282126">
              <w:rPr>
                <w:rFonts w:ascii="Times New Roman" w:hAnsi="Times New Roman"/>
              </w:rPr>
              <w:t>S</w:t>
            </w:r>
            <w:r>
              <w:rPr>
                <w:rFonts w:ascii="Times New Roman" w:hAnsi="Times New Roman"/>
              </w:rPr>
              <w:t>ection 8.0</w:t>
            </w:r>
            <w:r w:rsidR="007B40A1">
              <w:rPr>
                <w:rFonts w:ascii="Times New Roman" w:hAnsi="Times New Roman"/>
              </w:rPr>
              <w:t xml:space="preserve"> and updated languages that recruitment and consent documents will be available in</w:t>
            </w:r>
          </w:p>
        </w:tc>
        <w:tc>
          <w:tcPr>
            <w:tcW w:w="1288" w:type="dxa"/>
          </w:tcPr>
          <w:p w14:paraId="5388013E" w14:textId="7148944A" w:rsidR="00297491" w:rsidRPr="0016289C" w:rsidRDefault="00274EDA" w:rsidP="00DF71A6">
            <w:pPr>
              <w:rPr>
                <w:rFonts w:ascii="Times New Roman" w:hAnsi="Times New Roman"/>
              </w:rPr>
            </w:pPr>
            <w:r>
              <w:rPr>
                <w:rFonts w:ascii="Times New Roman" w:hAnsi="Times New Roman"/>
              </w:rPr>
              <w:t>No</w:t>
            </w:r>
          </w:p>
        </w:tc>
      </w:tr>
      <w:tr w:rsidR="00297491" w:rsidRPr="0016289C" w14:paraId="078E6077" w14:textId="77777777" w:rsidTr="00DF71A6">
        <w:tc>
          <w:tcPr>
            <w:tcW w:w="1103" w:type="dxa"/>
          </w:tcPr>
          <w:p w14:paraId="7A486FD7" w14:textId="31DC3542" w:rsidR="00297491" w:rsidRPr="0016289C" w:rsidRDefault="00F058DA" w:rsidP="00DF71A6">
            <w:pPr>
              <w:rPr>
                <w:rFonts w:ascii="Times New Roman" w:hAnsi="Times New Roman"/>
              </w:rPr>
            </w:pPr>
            <w:r>
              <w:rPr>
                <w:rFonts w:ascii="Times New Roman" w:hAnsi="Times New Roman"/>
              </w:rPr>
              <w:t>4</w:t>
            </w:r>
          </w:p>
        </w:tc>
        <w:tc>
          <w:tcPr>
            <w:tcW w:w="1663" w:type="dxa"/>
          </w:tcPr>
          <w:p w14:paraId="47F7858A" w14:textId="29791305" w:rsidR="00297491" w:rsidRPr="0016289C" w:rsidRDefault="000647DA" w:rsidP="00DF71A6">
            <w:pPr>
              <w:rPr>
                <w:rFonts w:ascii="Times New Roman" w:hAnsi="Times New Roman"/>
              </w:rPr>
            </w:pPr>
            <w:r>
              <w:rPr>
                <w:rFonts w:ascii="Times New Roman" w:hAnsi="Times New Roman"/>
              </w:rPr>
              <w:t>6/23/2020</w:t>
            </w:r>
          </w:p>
        </w:tc>
        <w:tc>
          <w:tcPr>
            <w:tcW w:w="4802" w:type="dxa"/>
          </w:tcPr>
          <w:p w14:paraId="7DCAD17A" w14:textId="26261751" w:rsidR="00297491" w:rsidRPr="0016289C" w:rsidRDefault="00F058DA" w:rsidP="00DF71A6">
            <w:pPr>
              <w:rPr>
                <w:rFonts w:ascii="Times New Roman" w:hAnsi="Times New Roman"/>
              </w:rPr>
            </w:pPr>
            <w:r>
              <w:rPr>
                <w:rFonts w:ascii="Times New Roman" w:hAnsi="Times New Roman"/>
              </w:rPr>
              <w:t xml:space="preserve">Updated </w:t>
            </w:r>
            <w:r w:rsidR="0023327E">
              <w:rPr>
                <w:rFonts w:ascii="Times New Roman" w:hAnsi="Times New Roman"/>
              </w:rPr>
              <w:t>screening log information</w:t>
            </w:r>
            <w:r w:rsidR="004172AE">
              <w:rPr>
                <w:rFonts w:ascii="Times New Roman" w:hAnsi="Times New Roman"/>
              </w:rPr>
              <w:t xml:space="preserve"> and added an example in rescue antibiotic scenario</w:t>
            </w:r>
            <w:r w:rsidR="00691C6E">
              <w:rPr>
                <w:rFonts w:ascii="Times New Roman" w:hAnsi="Times New Roman"/>
              </w:rPr>
              <w:t>, updated DCF table</w:t>
            </w:r>
            <w:r w:rsidR="007771D7">
              <w:rPr>
                <w:rFonts w:ascii="Times New Roman" w:hAnsi="Times New Roman"/>
              </w:rPr>
              <w:t>, updated timeline for maternal stool collection</w:t>
            </w:r>
          </w:p>
        </w:tc>
        <w:tc>
          <w:tcPr>
            <w:tcW w:w="1288" w:type="dxa"/>
          </w:tcPr>
          <w:p w14:paraId="68D3270F" w14:textId="1C768898" w:rsidR="00297491" w:rsidRPr="0016289C" w:rsidRDefault="00C47578" w:rsidP="00DF71A6">
            <w:pPr>
              <w:rPr>
                <w:rFonts w:ascii="Times New Roman" w:hAnsi="Times New Roman"/>
              </w:rPr>
            </w:pPr>
            <w:r>
              <w:rPr>
                <w:rFonts w:ascii="Times New Roman" w:hAnsi="Times New Roman"/>
              </w:rPr>
              <w:t>No</w:t>
            </w:r>
          </w:p>
        </w:tc>
      </w:tr>
      <w:tr w:rsidR="00297491" w:rsidRPr="0016289C" w14:paraId="4EFC3439" w14:textId="77777777" w:rsidTr="00DF71A6">
        <w:tc>
          <w:tcPr>
            <w:tcW w:w="1103" w:type="dxa"/>
          </w:tcPr>
          <w:p w14:paraId="7C176BED" w14:textId="77777777" w:rsidR="00297491" w:rsidRPr="0016289C" w:rsidRDefault="00297491" w:rsidP="00DF71A6">
            <w:pPr>
              <w:rPr>
                <w:rFonts w:ascii="Times New Roman" w:hAnsi="Times New Roman"/>
              </w:rPr>
            </w:pPr>
          </w:p>
        </w:tc>
        <w:tc>
          <w:tcPr>
            <w:tcW w:w="1663" w:type="dxa"/>
          </w:tcPr>
          <w:p w14:paraId="299453DE" w14:textId="77777777" w:rsidR="00297491" w:rsidRPr="0016289C" w:rsidRDefault="00297491" w:rsidP="00DF71A6">
            <w:pPr>
              <w:rPr>
                <w:rFonts w:ascii="Times New Roman" w:hAnsi="Times New Roman"/>
              </w:rPr>
            </w:pPr>
          </w:p>
        </w:tc>
        <w:tc>
          <w:tcPr>
            <w:tcW w:w="4802" w:type="dxa"/>
          </w:tcPr>
          <w:p w14:paraId="3A622D5C" w14:textId="77777777" w:rsidR="00297491" w:rsidRPr="0016289C" w:rsidRDefault="00297491" w:rsidP="00DF71A6">
            <w:pPr>
              <w:rPr>
                <w:rFonts w:ascii="Times New Roman" w:hAnsi="Times New Roman"/>
              </w:rPr>
            </w:pPr>
          </w:p>
        </w:tc>
        <w:tc>
          <w:tcPr>
            <w:tcW w:w="1288" w:type="dxa"/>
          </w:tcPr>
          <w:p w14:paraId="637307B9" w14:textId="77777777" w:rsidR="00297491" w:rsidRPr="0016289C" w:rsidRDefault="00297491" w:rsidP="00DF71A6">
            <w:pPr>
              <w:rPr>
                <w:rFonts w:ascii="Times New Roman" w:hAnsi="Times New Roman"/>
              </w:rPr>
            </w:pPr>
          </w:p>
        </w:tc>
      </w:tr>
    </w:tbl>
    <w:p w14:paraId="3C6C5DC0" w14:textId="77777777" w:rsidR="00297491" w:rsidRPr="0016289C" w:rsidRDefault="00297491" w:rsidP="00297491">
      <w:pPr>
        <w:rPr>
          <w:rFonts w:ascii="Times New Roman" w:hAnsi="Times New Roman"/>
        </w:rPr>
      </w:pPr>
    </w:p>
    <w:p w14:paraId="1761ABA0" w14:textId="0A159D03" w:rsidR="00DF71A6" w:rsidRPr="0016289C" w:rsidRDefault="00DF71A6">
      <w:pPr>
        <w:autoSpaceDE/>
        <w:autoSpaceDN/>
        <w:adjustRightInd/>
        <w:rPr>
          <w:rFonts w:ascii="Times New Roman" w:eastAsia="MS Gothic" w:hAnsi="Times New Roman"/>
          <w:b/>
          <w:bCs/>
          <w:i/>
          <w:color w:val="365F91"/>
          <w:lang w:eastAsia="ja-JP"/>
        </w:rPr>
      </w:pPr>
      <w:r w:rsidRPr="0016289C">
        <w:rPr>
          <w:rFonts w:ascii="Times New Roman" w:hAnsi="Times New Roman"/>
          <w:i/>
        </w:rPr>
        <w:br w:type="page"/>
      </w:r>
    </w:p>
    <w:p w14:paraId="7DFBD2F8" w14:textId="0498BE2C" w:rsidR="001C7854" w:rsidRPr="0016289C" w:rsidRDefault="001C7854" w:rsidP="001C7854">
      <w:pPr>
        <w:pStyle w:val="TOCHeading"/>
        <w:spacing w:before="0" w:line="240" w:lineRule="auto"/>
        <w:rPr>
          <w:rFonts w:ascii="Times New Roman" w:hAnsi="Times New Roman"/>
          <w:color w:val="000000"/>
          <w:sz w:val="24"/>
          <w:szCs w:val="24"/>
        </w:rPr>
      </w:pPr>
      <w:r w:rsidRPr="00CF29FA">
        <w:rPr>
          <w:rFonts w:ascii="Times New Roman" w:hAnsi="Times New Roman"/>
          <w:color w:val="000000"/>
          <w:sz w:val="24"/>
          <w:szCs w:val="24"/>
        </w:rPr>
        <w:lastRenderedPageBreak/>
        <w:t>Table of Contents</w:t>
      </w:r>
    </w:p>
    <w:p w14:paraId="535515DA" w14:textId="7DA8EAA0" w:rsidR="00757153" w:rsidRPr="0016289C" w:rsidRDefault="001C7854">
      <w:pPr>
        <w:pStyle w:val="TOC1"/>
        <w:tabs>
          <w:tab w:val="left" w:pos="660"/>
          <w:tab w:val="right" w:leader="dot" w:pos="8630"/>
        </w:tabs>
        <w:rPr>
          <w:rFonts w:ascii="Times New Roman" w:eastAsiaTheme="minorEastAsia" w:hAnsi="Times New Roman"/>
          <w:noProof/>
        </w:rPr>
      </w:pPr>
      <w:r w:rsidRPr="0016289C">
        <w:rPr>
          <w:rFonts w:ascii="Times New Roman" w:hAnsi="Times New Roman"/>
        </w:rPr>
        <w:fldChar w:fldCharType="begin"/>
      </w:r>
      <w:r w:rsidRPr="0016289C">
        <w:rPr>
          <w:rFonts w:ascii="Times New Roman" w:hAnsi="Times New Roman"/>
        </w:rPr>
        <w:instrText xml:space="preserve"> TOC \o "1-3" \h \z \u </w:instrText>
      </w:r>
      <w:r w:rsidRPr="0016289C">
        <w:rPr>
          <w:rFonts w:ascii="Times New Roman" w:hAnsi="Times New Roman"/>
        </w:rPr>
        <w:fldChar w:fldCharType="separate"/>
      </w:r>
      <w:hyperlink w:anchor="_Toc496162129" w:history="1">
        <w:r w:rsidR="00757153" w:rsidRPr="0016289C">
          <w:rPr>
            <w:rStyle w:val="Hyperlink"/>
            <w:rFonts w:ascii="Times New Roman" w:hAnsi="Times New Roman"/>
            <w:noProof/>
          </w:rPr>
          <w:t>1.0</w:t>
        </w:r>
        <w:r w:rsidR="00757153" w:rsidRPr="0016289C">
          <w:rPr>
            <w:rFonts w:ascii="Times New Roman" w:eastAsiaTheme="minorEastAsia" w:hAnsi="Times New Roman"/>
            <w:noProof/>
          </w:rPr>
          <w:tab/>
        </w:r>
        <w:r w:rsidR="00757153" w:rsidRPr="0016289C">
          <w:rPr>
            <w:rStyle w:val="Hyperlink"/>
            <w:rFonts w:ascii="Times New Roman" w:hAnsi="Times New Roman"/>
            <w:noProof/>
          </w:rPr>
          <w:t>Study Summary</w:t>
        </w:r>
        <w:r w:rsidR="00757153" w:rsidRPr="0016289C">
          <w:rPr>
            <w:rFonts w:ascii="Times New Roman" w:hAnsi="Times New Roman"/>
            <w:noProof/>
            <w:webHidden/>
          </w:rPr>
          <w:tab/>
        </w:r>
        <w:r w:rsidR="00757153" w:rsidRPr="0016289C">
          <w:rPr>
            <w:rFonts w:ascii="Times New Roman" w:hAnsi="Times New Roman"/>
            <w:noProof/>
            <w:webHidden/>
          </w:rPr>
          <w:fldChar w:fldCharType="begin"/>
        </w:r>
        <w:r w:rsidR="00757153" w:rsidRPr="0016289C">
          <w:rPr>
            <w:rFonts w:ascii="Times New Roman" w:hAnsi="Times New Roman"/>
            <w:noProof/>
            <w:webHidden/>
          </w:rPr>
          <w:instrText xml:space="preserve"> PAGEREF _Toc496162129 \h </w:instrText>
        </w:r>
        <w:r w:rsidR="00757153" w:rsidRPr="0016289C">
          <w:rPr>
            <w:rFonts w:ascii="Times New Roman" w:hAnsi="Times New Roman"/>
            <w:noProof/>
            <w:webHidden/>
          </w:rPr>
        </w:r>
        <w:r w:rsidR="00757153" w:rsidRPr="0016289C">
          <w:rPr>
            <w:rFonts w:ascii="Times New Roman" w:hAnsi="Times New Roman"/>
            <w:noProof/>
            <w:webHidden/>
          </w:rPr>
          <w:fldChar w:fldCharType="separate"/>
        </w:r>
        <w:r w:rsidR="008D359C">
          <w:rPr>
            <w:rFonts w:ascii="Times New Roman" w:hAnsi="Times New Roman"/>
            <w:noProof/>
            <w:webHidden/>
          </w:rPr>
          <w:t>3</w:t>
        </w:r>
        <w:r w:rsidR="00757153" w:rsidRPr="0016289C">
          <w:rPr>
            <w:rFonts w:ascii="Times New Roman" w:hAnsi="Times New Roman"/>
            <w:noProof/>
            <w:webHidden/>
          </w:rPr>
          <w:fldChar w:fldCharType="end"/>
        </w:r>
      </w:hyperlink>
    </w:p>
    <w:p w14:paraId="02341C73" w14:textId="23418C4B" w:rsidR="00757153" w:rsidRPr="0016289C" w:rsidRDefault="00820558">
      <w:pPr>
        <w:pStyle w:val="TOC1"/>
        <w:tabs>
          <w:tab w:val="left" w:pos="660"/>
          <w:tab w:val="right" w:leader="dot" w:pos="8630"/>
        </w:tabs>
        <w:rPr>
          <w:rFonts w:ascii="Times New Roman" w:eastAsiaTheme="minorEastAsia" w:hAnsi="Times New Roman"/>
          <w:noProof/>
        </w:rPr>
      </w:pPr>
      <w:hyperlink w:anchor="_Toc496162130" w:history="1">
        <w:r w:rsidR="00757153" w:rsidRPr="0016289C">
          <w:rPr>
            <w:rStyle w:val="Hyperlink"/>
            <w:rFonts w:ascii="Times New Roman" w:hAnsi="Times New Roman"/>
            <w:noProof/>
          </w:rPr>
          <w:t>2.0</w:t>
        </w:r>
        <w:r w:rsidR="00757153" w:rsidRPr="0016289C">
          <w:rPr>
            <w:rFonts w:ascii="Times New Roman" w:eastAsiaTheme="minorEastAsia" w:hAnsi="Times New Roman"/>
            <w:noProof/>
          </w:rPr>
          <w:tab/>
        </w:r>
        <w:r w:rsidR="00757153" w:rsidRPr="0016289C">
          <w:rPr>
            <w:rStyle w:val="Hyperlink"/>
            <w:rFonts w:ascii="Times New Roman" w:hAnsi="Times New Roman"/>
            <w:noProof/>
          </w:rPr>
          <w:t>Objectives</w:t>
        </w:r>
        <w:r w:rsidR="00757153" w:rsidRPr="0016289C">
          <w:rPr>
            <w:rFonts w:ascii="Times New Roman" w:hAnsi="Times New Roman"/>
            <w:noProof/>
            <w:webHidden/>
          </w:rPr>
          <w:tab/>
        </w:r>
        <w:r w:rsidR="00757153" w:rsidRPr="0016289C">
          <w:rPr>
            <w:rFonts w:ascii="Times New Roman" w:hAnsi="Times New Roman"/>
            <w:noProof/>
            <w:webHidden/>
          </w:rPr>
          <w:fldChar w:fldCharType="begin"/>
        </w:r>
        <w:r w:rsidR="00757153" w:rsidRPr="0016289C">
          <w:rPr>
            <w:rFonts w:ascii="Times New Roman" w:hAnsi="Times New Roman"/>
            <w:noProof/>
            <w:webHidden/>
          </w:rPr>
          <w:instrText xml:space="preserve"> PAGEREF _Toc496162130 \h </w:instrText>
        </w:r>
        <w:r w:rsidR="00757153" w:rsidRPr="0016289C">
          <w:rPr>
            <w:rFonts w:ascii="Times New Roman" w:hAnsi="Times New Roman"/>
            <w:noProof/>
            <w:webHidden/>
          </w:rPr>
        </w:r>
        <w:r w:rsidR="00757153" w:rsidRPr="0016289C">
          <w:rPr>
            <w:rFonts w:ascii="Times New Roman" w:hAnsi="Times New Roman"/>
            <w:noProof/>
            <w:webHidden/>
          </w:rPr>
          <w:fldChar w:fldCharType="separate"/>
        </w:r>
        <w:r w:rsidR="008D359C">
          <w:rPr>
            <w:rFonts w:ascii="Times New Roman" w:hAnsi="Times New Roman"/>
            <w:noProof/>
            <w:webHidden/>
          </w:rPr>
          <w:t>4</w:t>
        </w:r>
        <w:r w:rsidR="00757153" w:rsidRPr="0016289C">
          <w:rPr>
            <w:rFonts w:ascii="Times New Roman" w:hAnsi="Times New Roman"/>
            <w:noProof/>
            <w:webHidden/>
          </w:rPr>
          <w:fldChar w:fldCharType="end"/>
        </w:r>
      </w:hyperlink>
    </w:p>
    <w:p w14:paraId="2434097F" w14:textId="094D4FDD" w:rsidR="00757153" w:rsidRPr="0016289C" w:rsidRDefault="00820558">
      <w:pPr>
        <w:pStyle w:val="TOC1"/>
        <w:tabs>
          <w:tab w:val="left" w:pos="660"/>
          <w:tab w:val="right" w:leader="dot" w:pos="8630"/>
        </w:tabs>
        <w:rPr>
          <w:rFonts w:ascii="Times New Roman" w:eastAsiaTheme="minorEastAsia" w:hAnsi="Times New Roman"/>
          <w:noProof/>
        </w:rPr>
      </w:pPr>
      <w:hyperlink w:anchor="_Toc496162131" w:history="1">
        <w:r w:rsidR="00757153" w:rsidRPr="0016289C">
          <w:rPr>
            <w:rStyle w:val="Hyperlink"/>
            <w:rFonts w:ascii="Times New Roman" w:hAnsi="Times New Roman"/>
            <w:noProof/>
          </w:rPr>
          <w:t>3.0</w:t>
        </w:r>
        <w:r w:rsidR="00757153" w:rsidRPr="0016289C">
          <w:rPr>
            <w:rFonts w:ascii="Times New Roman" w:eastAsiaTheme="minorEastAsia" w:hAnsi="Times New Roman"/>
            <w:noProof/>
          </w:rPr>
          <w:tab/>
        </w:r>
        <w:r w:rsidR="00757153" w:rsidRPr="0016289C">
          <w:rPr>
            <w:rStyle w:val="Hyperlink"/>
            <w:rFonts w:ascii="Times New Roman" w:hAnsi="Times New Roman"/>
            <w:noProof/>
          </w:rPr>
          <w:t>Background</w:t>
        </w:r>
        <w:r w:rsidR="00757153" w:rsidRPr="0016289C">
          <w:rPr>
            <w:rFonts w:ascii="Times New Roman" w:hAnsi="Times New Roman"/>
            <w:noProof/>
            <w:webHidden/>
          </w:rPr>
          <w:tab/>
        </w:r>
        <w:r w:rsidR="00757153" w:rsidRPr="0016289C">
          <w:rPr>
            <w:rFonts w:ascii="Times New Roman" w:hAnsi="Times New Roman"/>
            <w:noProof/>
            <w:webHidden/>
          </w:rPr>
          <w:fldChar w:fldCharType="begin"/>
        </w:r>
        <w:r w:rsidR="00757153" w:rsidRPr="0016289C">
          <w:rPr>
            <w:rFonts w:ascii="Times New Roman" w:hAnsi="Times New Roman"/>
            <w:noProof/>
            <w:webHidden/>
          </w:rPr>
          <w:instrText xml:space="preserve"> PAGEREF _Toc496162131 \h </w:instrText>
        </w:r>
        <w:r w:rsidR="00757153" w:rsidRPr="0016289C">
          <w:rPr>
            <w:rFonts w:ascii="Times New Roman" w:hAnsi="Times New Roman"/>
            <w:noProof/>
            <w:webHidden/>
          </w:rPr>
        </w:r>
        <w:r w:rsidR="00757153" w:rsidRPr="0016289C">
          <w:rPr>
            <w:rFonts w:ascii="Times New Roman" w:hAnsi="Times New Roman"/>
            <w:noProof/>
            <w:webHidden/>
          </w:rPr>
          <w:fldChar w:fldCharType="separate"/>
        </w:r>
        <w:r w:rsidR="008D359C">
          <w:rPr>
            <w:rFonts w:ascii="Times New Roman" w:hAnsi="Times New Roman"/>
            <w:noProof/>
            <w:webHidden/>
          </w:rPr>
          <w:t>4</w:t>
        </w:r>
        <w:r w:rsidR="00757153" w:rsidRPr="0016289C">
          <w:rPr>
            <w:rFonts w:ascii="Times New Roman" w:hAnsi="Times New Roman"/>
            <w:noProof/>
            <w:webHidden/>
          </w:rPr>
          <w:fldChar w:fldCharType="end"/>
        </w:r>
      </w:hyperlink>
    </w:p>
    <w:p w14:paraId="7B5D1CEF" w14:textId="54DEEDC9" w:rsidR="00757153" w:rsidRPr="0016289C" w:rsidRDefault="00820558">
      <w:pPr>
        <w:pStyle w:val="TOC1"/>
        <w:tabs>
          <w:tab w:val="left" w:pos="660"/>
          <w:tab w:val="right" w:leader="dot" w:pos="8630"/>
        </w:tabs>
        <w:rPr>
          <w:rFonts w:ascii="Times New Roman" w:eastAsiaTheme="minorEastAsia" w:hAnsi="Times New Roman"/>
          <w:noProof/>
        </w:rPr>
      </w:pPr>
      <w:hyperlink w:anchor="_Toc496162132" w:history="1">
        <w:r w:rsidR="00757153" w:rsidRPr="0016289C">
          <w:rPr>
            <w:rStyle w:val="Hyperlink"/>
            <w:rFonts w:ascii="Times New Roman" w:hAnsi="Times New Roman"/>
            <w:noProof/>
          </w:rPr>
          <w:t>4.0</w:t>
        </w:r>
        <w:r w:rsidR="00757153" w:rsidRPr="0016289C">
          <w:rPr>
            <w:rFonts w:ascii="Times New Roman" w:eastAsiaTheme="minorEastAsia" w:hAnsi="Times New Roman"/>
            <w:noProof/>
          </w:rPr>
          <w:tab/>
        </w:r>
        <w:r w:rsidR="00757153" w:rsidRPr="0016289C">
          <w:rPr>
            <w:rStyle w:val="Hyperlink"/>
            <w:rFonts w:ascii="Times New Roman" w:hAnsi="Times New Roman"/>
            <w:noProof/>
          </w:rPr>
          <w:t>Study Endpoints</w:t>
        </w:r>
        <w:r w:rsidR="00757153" w:rsidRPr="0016289C">
          <w:rPr>
            <w:rFonts w:ascii="Times New Roman" w:hAnsi="Times New Roman"/>
            <w:noProof/>
            <w:webHidden/>
          </w:rPr>
          <w:tab/>
        </w:r>
        <w:r w:rsidR="001F435C">
          <w:rPr>
            <w:rFonts w:ascii="Times New Roman" w:hAnsi="Times New Roman"/>
            <w:noProof/>
            <w:webHidden/>
          </w:rPr>
          <w:t>5</w:t>
        </w:r>
      </w:hyperlink>
    </w:p>
    <w:p w14:paraId="3E2BFED3" w14:textId="179C754E" w:rsidR="00757153" w:rsidRPr="0016289C" w:rsidRDefault="00820558">
      <w:pPr>
        <w:pStyle w:val="TOC1"/>
        <w:tabs>
          <w:tab w:val="left" w:pos="660"/>
          <w:tab w:val="right" w:leader="dot" w:pos="8630"/>
        </w:tabs>
        <w:rPr>
          <w:rFonts w:ascii="Times New Roman" w:eastAsiaTheme="minorEastAsia" w:hAnsi="Times New Roman"/>
          <w:noProof/>
        </w:rPr>
      </w:pPr>
      <w:hyperlink w:anchor="_Toc496162133" w:history="1">
        <w:r w:rsidR="00757153" w:rsidRPr="0016289C">
          <w:rPr>
            <w:rStyle w:val="Hyperlink"/>
            <w:rFonts w:ascii="Times New Roman" w:hAnsi="Times New Roman"/>
            <w:noProof/>
          </w:rPr>
          <w:t>5.0</w:t>
        </w:r>
        <w:r w:rsidR="00757153" w:rsidRPr="0016289C">
          <w:rPr>
            <w:rFonts w:ascii="Times New Roman" w:eastAsiaTheme="minorEastAsia" w:hAnsi="Times New Roman"/>
            <w:noProof/>
          </w:rPr>
          <w:tab/>
        </w:r>
        <w:r w:rsidR="00757153" w:rsidRPr="0016289C">
          <w:rPr>
            <w:rStyle w:val="Hyperlink"/>
            <w:rFonts w:ascii="Times New Roman" w:hAnsi="Times New Roman"/>
            <w:noProof/>
          </w:rPr>
          <w:t>Study Intervention/Investigational Agent</w:t>
        </w:r>
        <w:r w:rsidR="00757153" w:rsidRPr="0016289C">
          <w:rPr>
            <w:rFonts w:ascii="Times New Roman" w:hAnsi="Times New Roman"/>
            <w:noProof/>
            <w:webHidden/>
          </w:rPr>
          <w:tab/>
        </w:r>
        <w:r w:rsidR="001F435C">
          <w:rPr>
            <w:rFonts w:ascii="Times New Roman" w:hAnsi="Times New Roman"/>
            <w:noProof/>
            <w:webHidden/>
          </w:rPr>
          <w:t>5</w:t>
        </w:r>
      </w:hyperlink>
    </w:p>
    <w:p w14:paraId="20DB9A5D" w14:textId="07550A4B" w:rsidR="00A55B27" w:rsidRPr="00A55B27" w:rsidRDefault="00820558" w:rsidP="00A55B27">
      <w:pPr>
        <w:pStyle w:val="TOC1"/>
        <w:tabs>
          <w:tab w:val="left" w:pos="660"/>
          <w:tab w:val="right" w:leader="dot" w:pos="8630"/>
        </w:tabs>
        <w:rPr>
          <w:rFonts w:ascii="Times New Roman" w:hAnsi="Times New Roman"/>
          <w:noProof/>
        </w:rPr>
      </w:pPr>
      <w:hyperlink w:anchor="_Toc496162134" w:history="1">
        <w:r w:rsidR="00757153" w:rsidRPr="0016289C">
          <w:rPr>
            <w:rStyle w:val="Hyperlink"/>
            <w:rFonts w:ascii="Times New Roman" w:hAnsi="Times New Roman"/>
            <w:noProof/>
          </w:rPr>
          <w:t>6.0</w:t>
        </w:r>
        <w:r w:rsidR="00757153" w:rsidRPr="0016289C">
          <w:rPr>
            <w:rFonts w:ascii="Times New Roman" w:eastAsiaTheme="minorEastAsia" w:hAnsi="Times New Roman"/>
            <w:noProof/>
          </w:rPr>
          <w:tab/>
        </w:r>
        <w:r w:rsidR="00757153" w:rsidRPr="0016289C">
          <w:rPr>
            <w:rStyle w:val="Hyperlink"/>
            <w:rFonts w:ascii="Times New Roman" w:hAnsi="Times New Roman"/>
            <w:noProof/>
          </w:rPr>
          <w:t>Procedures Involved</w:t>
        </w:r>
        <w:r w:rsidR="00757153" w:rsidRPr="0016289C">
          <w:rPr>
            <w:rFonts w:ascii="Times New Roman" w:hAnsi="Times New Roman"/>
            <w:noProof/>
            <w:webHidden/>
          </w:rPr>
          <w:tab/>
        </w:r>
        <w:r w:rsidR="001F435C">
          <w:rPr>
            <w:rFonts w:ascii="Times New Roman" w:hAnsi="Times New Roman"/>
            <w:noProof/>
            <w:webHidden/>
          </w:rPr>
          <w:t>6</w:t>
        </w:r>
      </w:hyperlink>
    </w:p>
    <w:p w14:paraId="62022F9D" w14:textId="61D4AB3C" w:rsidR="00757153" w:rsidRPr="0016289C" w:rsidRDefault="00820558">
      <w:pPr>
        <w:pStyle w:val="TOC1"/>
        <w:tabs>
          <w:tab w:val="left" w:pos="660"/>
          <w:tab w:val="right" w:leader="dot" w:pos="8630"/>
        </w:tabs>
        <w:rPr>
          <w:rFonts w:ascii="Times New Roman" w:eastAsiaTheme="minorEastAsia" w:hAnsi="Times New Roman"/>
          <w:noProof/>
        </w:rPr>
      </w:pPr>
      <w:hyperlink w:anchor="_Toc496162135" w:history="1">
        <w:r w:rsidR="00B433C7" w:rsidRPr="0016289C">
          <w:rPr>
            <w:rStyle w:val="Hyperlink"/>
            <w:rFonts w:ascii="Times New Roman" w:hAnsi="Times New Roman"/>
            <w:noProof/>
          </w:rPr>
          <w:t>7.0</w:t>
        </w:r>
        <w:r w:rsidR="00B433C7" w:rsidRPr="0016289C">
          <w:rPr>
            <w:rFonts w:ascii="Times New Roman" w:eastAsiaTheme="minorEastAsia" w:hAnsi="Times New Roman"/>
            <w:noProof/>
          </w:rPr>
          <w:tab/>
        </w:r>
        <w:r w:rsidR="00B433C7" w:rsidRPr="0016289C">
          <w:rPr>
            <w:rStyle w:val="Hyperlink"/>
            <w:rFonts w:ascii="Times New Roman" w:hAnsi="Times New Roman"/>
            <w:noProof/>
          </w:rPr>
          <w:t>Data and Specimen Banking</w:t>
        </w:r>
        <w:r w:rsidR="00B433C7" w:rsidRPr="0016289C">
          <w:rPr>
            <w:rFonts w:ascii="Times New Roman" w:hAnsi="Times New Roman"/>
            <w:noProof/>
            <w:webHidden/>
          </w:rPr>
          <w:tab/>
        </w:r>
        <w:r w:rsidR="0041600B">
          <w:rPr>
            <w:rFonts w:ascii="Times New Roman" w:hAnsi="Times New Roman"/>
            <w:noProof/>
            <w:webHidden/>
          </w:rPr>
          <w:t>11</w:t>
        </w:r>
      </w:hyperlink>
    </w:p>
    <w:p w14:paraId="08E9937F" w14:textId="36B9FE21" w:rsidR="00757153" w:rsidRPr="0016289C" w:rsidRDefault="00820558">
      <w:pPr>
        <w:pStyle w:val="TOC1"/>
        <w:tabs>
          <w:tab w:val="left" w:pos="660"/>
          <w:tab w:val="right" w:leader="dot" w:pos="8630"/>
        </w:tabs>
        <w:rPr>
          <w:rFonts w:ascii="Times New Roman" w:eastAsiaTheme="minorEastAsia" w:hAnsi="Times New Roman"/>
          <w:noProof/>
        </w:rPr>
      </w:pPr>
      <w:hyperlink w:anchor="_Toc496162136" w:history="1">
        <w:r w:rsidR="00B433C7" w:rsidRPr="0016289C">
          <w:rPr>
            <w:rStyle w:val="Hyperlink"/>
            <w:rFonts w:ascii="Times New Roman" w:hAnsi="Times New Roman"/>
            <w:noProof/>
          </w:rPr>
          <w:t>8.0</w:t>
        </w:r>
        <w:r w:rsidR="00B433C7" w:rsidRPr="0016289C">
          <w:rPr>
            <w:rFonts w:ascii="Times New Roman" w:eastAsiaTheme="minorEastAsia" w:hAnsi="Times New Roman"/>
            <w:noProof/>
          </w:rPr>
          <w:tab/>
        </w:r>
        <w:r w:rsidR="00B433C7" w:rsidRPr="0016289C">
          <w:rPr>
            <w:rStyle w:val="Hyperlink"/>
            <w:rFonts w:ascii="Times New Roman" w:hAnsi="Times New Roman"/>
            <w:noProof/>
          </w:rPr>
          <w:t>Sharing of Results with Subjects</w:t>
        </w:r>
        <w:r w:rsidR="00B433C7" w:rsidRPr="0016289C">
          <w:rPr>
            <w:rFonts w:ascii="Times New Roman" w:hAnsi="Times New Roman"/>
            <w:noProof/>
            <w:webHidden/>
          </w:rPr>
          <w:tab/>
        </w:r>
        <w:r w:rsidR="00D21D1C">
          <w:rPr>
            <w:rFonts w:ascii="Times New Roman" w:hAnsi="Times New Roman"/>
            <w:noProof/>
            <w:webHidden/>
          </w:rPr>
          <w:t>12</w:t>
        </w:r>
      </w:hyperlink>
    </w:p>
    <w:p w14:paraId="03CC337A" w14:textId="18570FF5" w:rsidR="00757153" w:rsidRPr="0016289C" w:rsidRDefault="00820558">
      <w:pPr>
        <w:pStyle w:val="TOC1"/>
        <w:tabs>
          <w:tab w:val="left" w:pos="660"/>
          <w:tab w:val="right" w:leader="dot" w:pos="8630"/>
        </w:tabs>
        <w:rPr>
          <w:rFonts w:ascii="Times New Roman" w:eastAsiaTheme="minorEastAsia" w:hAnsi="Times New Roman"/>
          <w:noProof/>
        </w:rPr>
      </w:pPr>
      <w:hyperlink w:anchor="_Toc496162137" w:history="1">
        <w:r w:rsidR="00B433C7" w:rsidRPr="0016289C">
          <w:rPr>
            <w:rStyle w:val="Hyperlink"/>
            <w:rFonts w:ascii="Times New Roman" w:hAnsi="Times New Roman"/>
            <w:noProof/>
          </w:rPr>
          <w:t>9.0</w:t>
        </w:r>
        <w:r w:rsidR="00B433C7" w:rsidRPr="0016289C">
          <w:rPr>
            <w:rFonts w:ascii="Times New Roman" w:eastAsiaTheme="minorEastAsia" w:hAnsi="Times New Roman"/>
            <w:noProof/>
          </w:rPr>
          <w:tab/>
        </w:r>
        <w:r w:rsidR="00B433C7" w:rsidRPr="0016289C">
          <w:rPr>
            <w:rStyle w:val="Hyperlink"/>
            <w:rFonts w:ascii="Times New Roman" w:hAnsi="Times New Roman"/>
            <w:noProof/>
          </w:rPr>
          <w:t>Study Timelines</w:t>
        </w:r>
        <w:r w:rsidR="00B433C7" w:rsidRPr="0016289C">
          <w:rPr>
            <w:rFonts w:ascii="Times New Roman" w:hAnsi="Times New Roman"/>
            <w:noProof/>
            <w:webHidden/>
          </w:rPr>
          <w:tab/>
        </w:r>
        <w:r w:rsidR="002371CD">
          <w:rPr>
            <w:rFonts w:ascii="Times New Roman" w:hAnsi="Times New Roman"/>
            <w:noProof/>
            <w:webHidden/>
          </w:rPr>
          <w:t>1</w:t>
        </w:r>
        <w:r w:rsidR="00D21D1C">
          <w:rPr>
            <w:rFonts w:ascii="Times New Roman" w:hAnsi="Times New Roman"/>
            <w:noProof/>
            <w:webHidden/>
          </w:rPr>
          <w:t>2</w:t>
        </w:r>
      </w:hyperlink>
    </w:p>
    <w:p w14:paraId="56AFB48B" w14:textId="5F0BE6EB" w:rsidR="00757153" w:rsidRPr="0016289C" w:rsidRDefault="00820558" w:rsidP="006F3B19">
      <w:pPr>
        <w:pStyle w:val="TOC1"/>
        <w:tabs>
          <w:tab w:val="left" w:pos="660"/>
          <w:tab w:val="right" w:leader="dot" w:pos="8630"/>
        </w:tabs>
        <w:rPr>
          <w:rFonts w:ascii="Times New Roman" w:eastAsiaTheme="minorEastAsia" w:hAnsi="Times New Roman"/>
          <w:noProof/>
        </w:rPr>
      </w:pPr>
      <w:hyperlink w:anchor="_Toc496162138" w:history="1">
        <w:r w:rsidR="00757153" w:rsidRPr="0016289C">
          <w:rPr>
            <w:rStyle w:val="Hyperlink"/>
            <w:rFonts w:ascii="Times New Roman" w:hAnsi="Times New Roman"/>
            <w:bCs/>
            <w:noProof/>
          </w:rPr>
          <w:t>10.0</w:t>
        </w:r>
        <w:r w:rsidR="00757153" w:rsidRPr="0016289C">
          <w:rPr>
            <w:rFonts w:ascii="Times New Roman" w:eastAsiaTheme="minorEastAsia" w:hAnsi="Times New Roman"/>
            <w:noProof/>
          </w:rPr>
          <w:tab/>
        </w:r>
        <w:r w:rsidR="00757153" w:rsidRPr="0016289C">
          <w:rPr>
            <w:rStyle w:val="Hyperlink"/>
            <w:rFonts w:ascii="Times New Roman" w:hAnsi="Times New Roman"/>
            <w:noProof/>
          </w:rPr>
          <w:t>Inclusion and Exclusion Criteria</w:t>
        </w:r>
        <w:r w:rsidR="00757153" w:rsidRPr="0016289C">
          <w:rPr>
            <w:rFonts w:ascii="Times New Roman" w:hAnsi="Times New Roman"/>
            <w:noProof/>
            <w:webHidden/>
          </w:rPr>
          <w:tab/>
        </w:r>
        <w:r w:rsidR="00ED6329">
          <w:rPr>
            <w:rFonts w:ascii="Times New Roman" w:hAnsi="Times New Roman"/>
            <w:noProof/>
            <w:webHidden/>
          </w:rPr>
          <w:t>1</w:t>
        </w:r>
        <w:r w:rsidR="00D21D1C">
          <w:rPr>
            <w:rFonts w:ascii="Times New Roman" w:hAnsi="Times New Roman"/>
            <w:noProof/>
            <w:webHidden/>
          </w:rPr>
          <w:t>2</w:t>
        </w:r>
      </w:hyperlink>
    </w:p>
    <w:p w14:paraId="2DAE0E4A" w14:textId="66A6B90F"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0" w:history="1">
        <w:r w:rsidR="00B433C7" w:rsidRPr="0016289C">
          <w:rPr>
            <w:rStyle w:val="Hyperlink"/>
            <w:rFonts w:ascii="Times New Roman" w:hAnsi="Times New Roman"/>
            <w:bCs/>
            <w:noProof/>
          </w:rPr>
          <w:t>1</w:t>
        </w:r>
        <w:r w:rsidR="00B433C7">
          <w:rPr>
            <w:rStyle w:val="Hyperlink"/>
            <w:rFonts w:ascii="Times New Roman" w:hAnsi="Times New Roman"/>
            <w:bCs/>
            <w:noProof/>
          </w:rPr>
          <w:t>1</w:t>
        </w:r>
        <w:r w:rsidR="00B433C7" w:rsidRPr="0016289C">
          <w:rPr>
            <w:rStyle w:val="Hyperlink"/>
            <w:rFonts w:ascii="Times New Roman" w:hAnsi="Times New Roman"/>
            <w:bCs/>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Local Number of Subjects</w:t>
        </w:r>
        <w:r w:rsidR="00B433C7" w:rsidRPr="0016289C">
          <w:rPr>
            <w:rFonts w:ascii="Times New Roman" w:hAnsi="Times New Roman"/>
            <w:noProof/>
            <w:webHidden/>
          </w:rPr>
          <w:tab/>
        </w:r>
        <w:r w:rsidR="00B433C7">
          <w:rPr>
            <w:rFonts w:ascii="Times New Roman" w:hAnsi="Times New Roman"/>
            <w:noProof/>
            <w:webHidden/>
          </w:rPr>
          <w:t>1</w:t>
        </w:r>
        <w:r w:rsidR="00D7488E">
          <w:rPr>
            <w:rFonts w:ascii="Times New Roman" w:hAnsi="Times New Roman"/>
            <w:noProof/>
            <w:webHidden/>
          </w:rPr>
          <w:t>4</w:t>
        </w:r>
      </w:hyperlink>
    </w:p>
    <w:p w14:paraId="096705E7" w14:textId="25165FAC"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1" w:history="1">
        <w:r w:rsidR="00B433C7" w:rsidRPr="0016289C">
          <w:rPr>
            <w:rStyle w:val="Hyperlink"/>
            <w:rFonts w:ascii="Times New Roman" w:hAnsi="Times New Roman"/>
            <w:bCs/>
            <w:noProof/>
          </w:rPr>
          <w:t>1</w:t>
        </w:r>
        <w:r w:rsidR="00B433C7">
          <w:rPr>
            <w:rStyle w:val="Hyperlink"/>
            <w:rFonts w:ascii="Times New Roman" w:hAnsi="Times New Roman"/>
            <w:bCs/>
            <w:noProof/>
          </w:rPr>
          <w:t>2</w:t>
        </w:r>
        <w:r w:rsidR="00B433C7" w:rsidRPr="0016289C">
          <w:rPr>
            <w:rStyle w:val="Hyperlink"/>
            <w:rFonts w:ascii="Times New Roman" w:hAnsi="Times New Roman"/>
            <w:bCs/>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Recruitment Methods</w:t>
        </w:r>
        <w:r w:rsidR="00B433C7" w:rsidRPr="0016289C">
          <w:rPr>
            <w:rFonts w:ascii="Times New Roman" w:hAnsi="Times New Roman"/>
            <w:noProof/>
            <w:webHidden/>
          </w:rPr>
          <w:tab/>
        </w:r>
        <w:r w:rsidR="00B433C7">
          <w:rPr>
            <w:rFonts w:ascii="Times New Roman" w:hAnsi="Times New Roman"/>
            <w:noProof/>
            <w:webHidden/>
          </w:rPr>
          <w:t>1</w:t>
        </w:r>
        <w:r w:rsidR="00D7488E">
          <w:rPr>
            <w:rFonts w:ascii="Times New Roman" w:hAnsi="Times New Roman"/>
            <w:noProof/>
            <w:webHidden/>
          </w:rPr>
          <w:t>4</w:t>
        </w:r>
      </w:hyperlink>
    </w:p>
    <w:p w14:paraId="505A1A4D" w14:textId="6661208D"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2" w:history="1">
        <w:r w:rsidR="00B433C7" w:rsidRPr="0016289C">
          <w:rPr>
            <w:rStyle w:val="Hyperlink"/>
            <w:rFonts w:ascii="Times New Roman" w:hAnsi="Times New Roman"/>
            <w:noProof/>
          </w:rPr>
          <w:t>1</w:t>
        </w:r>
        <w:r w:rsidR="00B433C7">
          <w:rPr>
            <w:rStyle w:val="Hyperlink"/>
            <w:rFonts w:ascii="Times New Roman" w:hAnsi="Times New Roman"/>
            <w:noProof/>
          </w:rPr>
          <w:t>3</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Withdrawal of Subjects</w:t>
        </w:r>
        <w:r w:rsidR="00B433C7" w:rsidRPr="0016289C">
          <w:rPr>
            <w:rFonts w:ascii="Times New Roman" w:hAnsi="Times New Roman"/>
            <w:noProof/>
            <w:webHidden/>
          </w:rPr>
          <w:tab/>
        </w:r>
        <w:r w:rsidR="00B433C7">
          <w:rPr>
            <w:rFonts w:ascii="Times New Roman" w:hAnsi="Times New Roman"/>
            <w:noProof/>
            <w:webHidden/>
          </w:rPr>
          <w:t>1</w:t>
        </w:r>
        <w:r w:rsidR="00D7488E">
          <w:rPr>
            <w:rFonts w:ascii="Times New Roman" w:hAnsi="Times New Roman"/>
            <w:noProof/>
            <w:webHidden/>
          </w:rPr>
          <w:t>4</w:t>
        </w:r>
      </w:hyperlink>
    </w:p>
    <w:p w14:paraId="2BAFDC55" w14:textId="372A9D9C"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3" w:history="1">
        <w:r w:rsidR="00B433C7" w:rsidRPr="0016289C">
          <w:rPr>
            <w:rStyle w:val="Hyperlink"/>
            <w:rFonts w:ascii="Times New Roman" w:hAnsi="Times New Roman"/>
            <w:noProof/>
          </w:rPr>
          <w:t>1</w:t>
        </w:r>
        <w:r w:rsidR="00B433C7">
          <w:rPr>
            <w:rStyle w:val="Hyperlink"/>
            <w:rFonts w:ascii="Times New Roman" w:hAnsi="Times New Roman"/>
            <w:noProof/>
          </w:rPr>
          <w:t>4</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Risks to Subjects</w:t>
        </w:r>
        <w:r w:rsidR="00B433C7" w:rsidRPr="0016289C">
          <w:rPr>
            <w:rFonts w:ascii="Times New Roman" w:hAnsi="Times New Roman"/>
            <w:noProof/>
            <w:webHidden/>
          </w:rPr>
          <w:tab/>
        </w:r>
        <w:r w:rsidR="00B433C7">
          <w:rPr>
            <w:rFonts w:ascii="Times New Roman" w:hAnsi="Times New Roman"/>
            <w:noProof/>
            <w:webHidden/>
          </w:rPr>
          <w:t>1</w:t>
        </w:r>
        <w:r w:rsidR="00D7488E">
          <w:rPr>
            <w:rFonts w:ascii="Times New Roman" w:hAnsi="Times New Roman"/>
            <w:noProof/>
            <w:webHidden/>
          </w:rPr>
          <w:t>5</w:t>
        </w:r>
      </w:hyperlink>
    </w:p>
    <w:p w14:paraId="14A472FC" w14:textId="78ED4216"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4" w:history="1">
        <w:r w:rsidR="00B433C7" w:rsidRPr="0016289C">
          <w:rPr>
            <w:rStyle w:val="Hyperlink"/>
            <w:rFonts w:ascii="Times New Roman" w:hAnsi="Times New Roman"/>
            <w:noProof/>
          </w:rPr>
          <w:t>1</w:t>
        </w:r>
        <w:r w:rsidR="00B433C7">
          <w:rPr>
            <w:rStyle w:val="Hyperlink"/>
            <w:rFonts w:ascii="Times New Roman" w:hAnsi="Times New Roman"/>
            <w:noProof/>
          </w:rPr>
          <w:t>5</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Potential Benefits to Subjects</w:t>
        </w:r>
        <w:r w:rsidR="00B433C7" w:rsidRPr="0016289C">
          <w:rPr>
            <w:rFonts w:ascii="Times New Roman" w:hAnsi="Times New Roman"/>
            <w:noProof/>
            <w:webHidden/>
          </w:rPr>
          <w:tab/>
        </w:r>
        <w:r w:rsidR="00B433C7">
          <w:rPr>
            <w:rFonts w:ascii="Times New Roman" w:hAnsi="Times New Roman"/>
            <w:noProof/>
            <w:webHidden/>
          </w:rPr>
          <w:t>1</w:t>
        </w:r>
        <w:r w:rsidR="00D7488E">
          <w:rPr>
            <w:rFonts w:ascii="Times New Roman" w:hAnsi="Times New Roman"/>
            <w:noProof/>
            <w:webHidden/>
          </w:rPr>
          <w:t>6</w:t>
        </w:r>
      </w:hyperlink>
    </w:p>
    <w:p w14:paraId="03DBF9AE" w14:textId="317969E2"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5" w:history="1">
        <w:r w:rsidR="00B433C7" w:rsidRPr="0016289C">
          <w:rPr>
            <w:rStyle w:val="Hyperlink"/>
            <w:rFonts w:ascii="Times New Roman" w:hAnsi="Times New Roman"/>
            <w:noProof/>
          </w:rPr>
          <w:t>1</w:t>
        </w:r>
        <w:r w:rsidR="00B433C7">
          <w:rPr>
            <w:rStyle w:val="Hyperlink"/>
            <w:rFonts w:ascii="Times New Roman" w:hAnsi="Times New Roman"/>
            <w:noProof/>
          </w:rPr>
          <w:t>6</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Data Management and Confidentiality</w:t>
        </w:r>
        <w:r w:rsidR="00B433C7" w:rsidRPr="0016289C">
          <w:rPr>
            <w:rFonts w:ascii="Times New Roman" w:hAnsi="Times New Roman"/>
            <w:noProof/>
            <w:webHidden/>
          </w:rPr>
          <w:tab/>
        </w:r>
        <w:r w:rsidR="00B433C7">
          <w:rPr>
            <w:rFonts w:ascii="Times New Roman" w:hAnsi="Times New Roman"/>
            <w:noProof/>
            <w:webHidden/>
          </w:rPr>
          <w:t>1</w:t>
        </w:r>
        <w:r w:rsidR="007B45FB">
          <w:rPr>
            <w:rFonts w:ascii="Times New Roman" w:hAnsi="Times New Roman"/>
            <w:noProof/>
            <w:webHidden/>
          </w:rPr>
          <w:t>6</w:t>
        </w:r>
      </w:hyperlink>
    </w:p>
    <w:p w14:paraId="29062A4E" w14:textId="3A688F87"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6" w:history="1">
        <w:r w:rsidR="00B433C7" w:rsidRPr="0016289C">
          <w:rPr>
            <w:rStyle w:val="Hyperlink"/>
            <w:rFonts w:ascii="Times New Roman" w:hAnsi="Times New Roman"/>
            <w:noProof/>
          </w:rPr>
          <w:t>1</w:t>
        </w:r>
        <w:r w:rsidR="00B433C7">
          <w:rPr>
            <w:rStyle w:val="Hyperlink"/>
            <w:rFonts w:ascii="Times New Roman" w:hAnsi="Times New Roman"/>
            <w:noProof/>
          </w:rPr>
          <w:t>7</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Provisions to Monitor the Data to Ensure the Safety of Subjects</w:t>
        </w:r>
        <w:r w:rsidR="00B433C7" w:rsidRPr="0016289C">
          <w:rPr>
            <w:rFonts w:ascii="Times New Roman" w:hAnsi="Times New Roman"/>
            <w:noProof/>
            <w:webHidden/>
          </w:rPr>
          <w:tab/>
        </w:r>
        <w:r w:rsidR="007B45FB">
          <w:rPr>
            <w:rFonts w:ascii="Times New Roman" w:hAnsi="Times New Roman"/>
            <w:noProof/>
            <w:webHidden/>
          </w:rPr>
          <w:t>22</w:t>
        </w:r>
      </w:hyperlink>
    </w:p>
    <w:p w14:paraId="6C91BE9C" w14:textId="58570243"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7" w:history="1">
        <w:r w:rsidR="00B433C7" w:rsidRPr="0016289C">
          <w:rPr>
            <w:rStyle w:val="Hyperlink"/>
            <w:rFonts w:ascii="Times New Roman" w:hAnsi="Times New Roman"/>
            <w:noProof/>
          </w:rPr>
          <w:t>1</w:t>
        </w:r>
        <w:r w:rsidR="00B433C7">
          <w:rPr>
            <w:rStyle w:val="Hyperlink"/>
            <w:rFonts w:ascii="Times New Roman" w:hAnsi="Times New Roman"/>
            <w:noProof/>
          </w:rPr>
          <w:t>8</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Provisions to Protect the Privacy Interests of Subjects</w:t>
        </w:r>
        <w:r w:rsidR="00B433C7" w:rsidRPr="0016289C">
          <w:rPr>
            <w:rFonts w:ascii="Times New Roman" w:hAnsi="Times New Roman"/>
            <w:noProof/>
            <w:webHidden/>
          </w:rPr>
          <w:tab/>
        </w:r>
        <w:r w:rsidR="00B433C7">
          <w:rPr>
            <w:rFonts w:ascii="Times New Roman" w:hAnsi="Times New Roman"/>
            <w:noProof/>
            <w:webHidden/>
          </w:rPr>
          <w:t>2</w:t>
        </w:r>
        <w:r w:rsidR="007B45FB">
          <w:rPr>
            <w:rFonts w:ascii="Times New Roman" w:hAnsi="Times New Roman"/>
            <w:noProof/>
            <w:webHidden/>
          </w:rPr>
          <w:t>5</w:t>
        </w:r>
      </w:hyperlink>
    </w:p>
    <w:p w14:paraId="2E4A636E" w14:textId="1CFEA47A" w:rsidR="00757153" w:rsidRPr="0016289C" w:rsidRDefault="00820558">
      <w:pPr>
        <w:pStyle w:val="TOC1"/>
        <w:tabs>
          <w:tab w:val="left" w:pos="660"/>
          <w:tab w:val="right" w:leader="dot" w:pos="8630"/>
        </w:tabs>
        <w:rPr>
          <w:rFonts w:ascii="Times New Roman" w:eastAsiaTheme="minorEastAsia" w:hAnsi="Times New Roman"/>
          <w:noProof/>
        </w:rPr>
      </w:pPr>
      <w:hyperlink w:anchor="_Toc496162148" w:history="1">
        <w:r w:rsidR="00B433C7">
          <w:rPr>
            <w:rStyle w:val="Hyperlink"/>
            <w:rFonts w:ascii="Times New Roman" w:hAnsi="Times New Roman"/>
            <w:noProof/>
          </w:rPr>
          <w:t>19</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Compensation for Research-Related Injury</w:t>
        </w:r>
        <w:r w:rsidR="00B433C7" w:rsidRPr="0016289C">
          <w:rPr>
            <w:rFonts w:ascii="Times New Roman" w:hAnsi="Times New Roman"/>
            <w:noProof/>
            <w:webHidden/>
          </w:rPr>
          <w:tab/>
        </w:r>
        <w:r w:rsidR="00B433C7">
          <w:rPr>
            <w:rFonts w:ascii="Times New Roman" w:hAnsi="Times New Roman"/>
            <w:noProof/>
            <w:webHidden/>
          </w:rPr>
          <w:t>2</w:t>
        </w:r>
        <w:r w:rsidR="007B45FB">
          <w:rPr>
            <w:rFonts w:ascii="Times New Roman" w:hAnsi="Times New Roman"/>
            <w:noProof/>
            <w:webHidden/>
          </w:rPr>
          <w:t>5</w:t>
        </w:r>
      </w:hyperlink>
    </w:p>
    <w:p w14:paraId="6CAE8BA6" w14:textId="6FF89184" w:rsidR="00757153" w:rsidRPr="0016289C" w:rsidRDefault="00820558">
      <w:pPr>
        <w:pStyle w:val="TOC1"/>
        <w:tabs>
          <w:tab w:val="left" w:pos="660"/>
          <w:tab w:val="right" w:leader="dot" w:pos="8630"/>
        </w:tabs>
        <w:rPr>
          <w:rFonts w:ascii="Times New Roman" w:eastAsiaTheme="minorEastAsia" w:hAnsi="Times New Roman"/>
          <w:noProof/>
        </w:rPr>
      </w:pPr>
      <w:hyperlink w:anchor="_Toc496162150" w:history="1">
        <w:r w:rsidR="00757153" w:rsidRPr="0016289C">
          <w:rPr>
            <w:rStyle w:val="Hyperlink"/>
            <w:rFonts w:ascii="Times New Roman" w:hAnsi="Times New Roman"/>
            <w:noProof/>
          </w:rPr>
          <w:t>2</w:t>
        </w:r>
        <w:r w:rsidR="003E76F1">
          <w:rPr>
            <w:rStyle w:val="Hyperlink"/>
            <w:rFonts w:ascii="Times New Roman" w:hAnsi="Times New Roman"/>
            <w:noProof/>
          </w:rPr>
          <w:t>0</w:t>
        </w:r>
        <w:r w:rsidR="00757153" w:rsidRPr="0016289C">
          <w:rPr>
            <w:rStyle w:val="Hyperlink"/>
            <w:rFonts w:ascii="Times New Roman" w:hAnsi="Times New Roman"/>
            <w:noProof/>
          </w:rPr>
          <w:t>.0</w:t>
        </w:r>
        <w:r w:rsidR="00757153" w:rsidRPr="0016289C">
          <w:rPr>
            <w:rFonts w:ascii="Times New Roman" w:eastAsiaTheme="minorEastAsia" w:hAnsi="Times New Roman"/>
            <w:noProof/>
          </w:rPr>
          <w:tab/>
        </w:r>
        <w:r w:rsidR="00757153" w:rsidRPr="0016289C">
          <w:rPr>
            <w:rStyle w:val="Hyperlink"/>
            <w:rFonts w:ascii="Times New Roman" w:hAnsi="Times New Roman"/>
            <w:noProof/>
          </w:rPr>
          <w:t>Consent Process</w:t>
        </w:r>
        <w:r w:rsidR="00757153" w:rsidRPr="0016289C">
          <w:rPr>
            <w:rFonts w:ascii="Times New Roman" w:hAnsi="Times New Roman"/>
            <w:noProof/>
            <w:webHidden/>
          </w:rPr>
          <w:tab/>
        </w:r>
        <w:r w:rsidR="003E76F1">
          <w:rPr>
            <w:rFonts w:ascii="Times New Roman" w:hAnsi="Times New Roman"/>
            <w:noProof/>
            <w:webHidden/>
          </w:rPr>
          <w:t>2</w:t>
        </w:r>
        <w:r w:rsidR="007B45FB">
          <w:rPr>
            <w:rFonts w:ascii="Times New Roman" w:hAnsi="Times New Roman"/>
            <w:noProof/>
            <w:webHidden/>
          </w:rPr>
          <w:t>6</w:t>
        </w:r>
      </w:hyperlink>
    </w:p>
    <w:p w14:paraId="7F303E89" w14:textId="2DF373CF" w:rsidR="00757153" w:rsidRPr="0016289C" w:rsidRDefault="00820558">
      <w:pPr>
        <w:pStyle w:val="TOC1"/>
        <w:tabs>
          <w:tab w:val="left" w:pos="660"/>
          <w:tab w:val="right" w:leader="dot" w:pos="8630"/>
        </w:tabs>
        <w:rPr>
          <w:rFonts w:ascii="Times New Roman" w:eastAsiaTheme="minorEastAsia" w:hAnsi="Times New Roman"/>
          <w:noProof/>
        </w:rPr>
      </w:pPr>
      <w:hyperlink w:anchor="_Toc496162151" w:history="1">
        <w:r w:rsidR="00757153" w:rsidRPr="0016289C">
          <w:rPr>
            <w:rStyle w:val="Hyperlink"/>
            <w:rFonts w:ascii="Times New Roman" w:hAnsi="Times New Roman"/>
            <w:noProof/>
          </w:rPr>
          <w:t>2</w:t>
        </w:r>
        <w:r w:rsidR="003E76F1">
          <w:rPr>
            <w:rStyle w:val="Hyperlink"/>
            <w:rFonts w:ascii="Times New Roman" w:hAnsi="Times New Roman"/>
            <w:noProof/>
          </w:rPr>
          <w:t>1</w:t>
        </w:r>
        <w:r w:rsidR="00757153" w:rsidRPr="0016289C">
          <w:rPr>
            <w:rStyle w:val="Hyperlink"/>
            <w:rFonts w:ascii="Times New Roman" w:hAnsi="Times New Roman"/>
            <w:noProof/>
          </w:rPr>
          <w:t>.0</w:t>
        </w:r>
        <w:r w:rsidR="00757153" w:rsidRPr="0016289C">
          <w:rPr>
            <w:rFonts w:ascii="Times New Roman" w:eastAsiaTheme="minorEastAsia" w:hAnsi="Times New Roman"/>
            <w:noProof/>
          </w:rPr>
          <w:tab/>
        </w:r>
        <w:r w:rsidR="00757153" w:rsidRPr="0016289C">
          <w:rPr>
            <w:rStyle w:val="Hyperlink"/>
            <w:rFonts w:ascii="Times New Roman" w:hAnsi="Times New Roman"/>
            <w:noProof/>
          </w:rPr>
          <w:t>Process to Document Consent in Writing</w:t>
        </w:r>
        <w:r w:rsidR="00757153" w:rsidRPr="0016289C">
          <w:rPr>
            <w:rFonts w:ascii="Times New Roman" w:hAnsi="Times New Roman"/>
            <w:noProof/>
            <w:webHidden/>
          </w:rPr>
          <w:tab/>
        </w:r>
        <w:r w:rsidR="003E76F1">
          <w:rPr>
            <w:rFonts w:ascii="Times New Roman" w:hAnsi="Times New Roman"/>
            <w:noProof/>
            <w:webHidden/>
          </w:rPr>
          <w:t>2</w:t>
        </w:r>
        <w:r w:rsidR="00CF23ED">
          <w:rPr>
            <w:rFonts w:ascii="Times New Roman" w:hAnsi="Times New Roman"/>
            <w:noProof/>
            <w:webHidden/>
          </w:rPr>
          <w:t>6</w:t>
        </w:r>
      </w:hyperlink>
    </w:p>
    <w:p w14:paraId="78DC08E0" w14:textId="6FAE939A" w:rsidR="00757153" w:rsidRPr="0016289C" w:rsidRDefault="00820558">
      <w:pPr>
        <w:pStyle w:val="TOC1"/>
        <w:tabs>
          <w:tab w:val="left" w:pos="660"/>
          <w:tab w:val="right" w:leader="dot" w:pos="8630"/>
        </w:tabs>
        <w:rPr>
          <w:rFonts w:ascii="Times New Roman" w:eastAsiaTheme="minorEastAsia" w:hAnsi="Times New Roman"/>
          <w:noProof/>
        </w:rPr>
      </w:pPr>
      <w:hyperlink w:anchor="_Toc496162152" w:history="1">
        <w:r w:rsidR="00B433C7" w:rsidRPr="0016289C">
          <w:rPr>
            <w:rStyle w:val="Hyperlink"/>
            <w:rFonts w:ascii="Times New Roman" w:hAnsi="Times New Roman"/>
            <w:noProof/>
          </w:rPr>
          <w:t>2</w:t>
        </w:r>
        <w:r w:rsidR="00B433C7">
          <w:rPr>
            <w:rStyle w:val="Hyperlink"/>
            <w:rFonts w:ascii="Times New Roman" w:hAnsi="Times New Roman"/>
            <w:noProof/>
          </w:rPr>
          <w:t>2</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Setting</w:t>
        </w:r>
        <w:r w:rsidR="00B433C7" w:rsidRPr="0016289C">
          <w:rPr>
            <w:rFonts w:ascii="Times New Roman" w:hAnsi="Times New Roman"/>
            <w:noProof/>
            <w:webHidden/>
          </w:rPr>
          <w:tab/>
        </w:r>
        <w:r w:rsidR="00B433C7">
          <w:rPr>
            <w:rFonts w:ascii="Times New Roman" w:hAnsi="Times New Roman"/>
            <w:noProof/>
            <w:webHidden/>
          </w:rPr>
          <w:t>2</w:t>
        </w:r>
        <w:r w:rsidR="00CF23ED">
          <w:rPr>
            <w:rFonts w:ascii="Times New Roman" w:hAnsi="Times New Roman"/>
            <w:noProof/>
            <w:webHidden/>
          </w:rPr>
          <w:t>6</w:t>
        </w:r>
      </w:hyperlink>
    </w:p>
    <w:p w14:paraId="2C4D6400" w14:textId="17617F1F" w:rsidR="00757153" w:rsidRPr="0016289C" w:rsidRDefault="00820558">
      <w:pPr>
        <w:pStyle w:val="TOC1"/>
        <w:tabs>
          <w:tab w:val="left" w:pos="660"/>
          <w:tab w:val="right" w:leader="dot" w:pos="8630"/>
        </w:tabs>
        <w:rPr>
          <w:rFonts w:ascii="Times New Roman" w:eastAsiaTheme="minorEastAsia" w:hAnsi="Times New Roman"/>
          <w:noProof/>
        </w:rPr>
      </w:pPr>
      <w:hyperlink w:anchor="_Toc496162153" w:history="1">
        <w:r w:rsidR="00757153" w:rsidRPr="0016289C">
          <w:rPr>
            <w:rStyle w:val="Hyperlink"/>
            <w:rFonts w:ascii="Times New Roman" w:hAnsi="Times New Roman"/>
            <w:noProof/>
          </w:rPr>
          <w:t>2</w:t>
        </w:r>
        <w:r w:rsidR="003E76F1">
          <w:rPr>
            <w:rStyle w:val="Hyperlink"/>
            <w:rFonts w:ascii="Times New Roman" w:hAnsi="Times New Roman"/>
            <w:noProof/>
          </w:rPr>
          <w:t>3</w:t>
        </w:r>
        <w:r w:rsidR="00757153" w:rsidRPr="0016289C">
          <w:rPr>
            <w:rStyle w:val="Hyperlink"/>
            <w:rFonts w:ascii="Times New Roman" w:hAnsi="Times New Roman"/>
            <w:noProof/>
          </w:rPr>
          <w:t>.0</w:t>
        </w:r>
        <w:r w:rsidR="00757153" w:rsidRPr="0016289C">
          <w:rPr>
            <w:rFonts w:ascii="Times New Roman" w:eastAsiaTheme="minorEastAsia" w:hAnsi="Times New Roman"/>
            <w:noProof/>
          </w:rPr>
          <w:tab/>
        </w:r>
        <w:r w:rsidR="00757153" w:rsidRPr="0016289C">
          <w:rPr>
            <w:rStyle w:val="Hyperlink"/>
            <w:rFonts w:ascii="Times New Roman" w:hAnsi="Times New Roman"/>
            <w:noProof/>
          </w:rPr>
          <w:t>Resources Available</w:t>
        </w:r>
        <w:r w:rsidR="00757153" w:rsidRPr="0016289C">
          <w:rPr>
            <w:rFonts w:ascii="Times New Roman" w:hAnsi="Times New Roman"/>
            <w:noProof/>
            <w:webHidden/>
          </w:rPr>
          <w:tab/>
        </w:r>
        <w:r w:rsidR="00757153" w:rsidRPr="0016289C">
          <w:rPr>
            <w:rFonts w:ascii="Times New Roman" w:hAnsi="Times New Roman"/>
            <w:noProof/>
            <w:webHidden/>
          </w:rPr>
          <w:fldChar w:fldCharType="begin"/>
        </w:r>
        <w:r w:rsidR="00757153" w:rsidRPr="0016289C">
          <w:rPr>
            <w:rFonts w:ascii="Times New Roman" w:hAnsi="Times New Roman"/>
            <w:noProof/>
            <w:webHidden/>
          </w:rPr>
          <w:instrText xml:space="preserve"> PAGEREF _Toc496162153 \h </w:instrText>
        </w:r>
        <w:r w:rsidR="00757153" w:rsidRPr="0016289C">
          <w:rPr>
            <w:rFonts w:ascii="Times New Roman" w:hAnsi="Times New Roman"/>
            <w:noProof/>
            <w:webHidden/>
          </w:rPr>
        </w:r>
        <w:r w:rsidR="00757153" w:rsidRPr="0016289C">
          <w:rPr>
            <w:rFonts w:ascii="Times New Roman" w:hAnsi="Times New Roman"/>
            <w:noProof/>
            <w:webHidden/>
          </w:rPr>
          <w:fldChar w:fldCharType="separate"/>
        </w:r>
        <w:r w:rsidR="008D359C">
          <w:rPr>
            <w:rFonts w:ascii="Times New Roman" w:hAnsi="Times New Roman"/>
            <w:noProof/>
            <w:webHidden/>
          </w:rPr>
          <w:t>2</w:t>
        </w:r>
        <w:r w:rsidR="00CF23ED">
          <w:rPr>
            <w:rFonts w:ascii="Times New Roman" w:hAnsi="Times New Roman"/>
            <w:noProof/>
            <w:webHidden/>
          </w:rPr>
          <w:t>7</w:t>
        </w:r>
        <w:r w:rsidR="00757153" w:rsidRPr="0016289C">
          <w:rPr>
            <w:rFonts w:ascii="Times New Roman" w:hAnsi="Times New Roman"/>
            <w:noProof/>
            <w:webHidden/>
          </w:rPr>
          <w:fldChar w:fldCharType="end"/>
        </w:r>
      </w:hyperlink>
    </w:p>
    <w:p w14:paraId="300219C2" w14:textId="12568BA0" w:rsidR="00757153" w:rsidRPr="0016289C" w:rsidRDefault="00820558">
      <w:pPr>
        <w:pStyle w:val="TOC1"/>
        <w:tabs>
          <w:tab w:val="left" w:pos="660"/>
          <w:tab w:val="right" w:leader="dot" w:pos="8630"/>
        </w:tabs>
        <w:rPr>
          <w:rFonts w:ascii="Times New Roman" w:eastAsiaTheme="minorEastAsia" w:hAnsi="Times New Roman"/>
          <w:noProof/>
        </w:rPr>
      </w:pPr>
      <w:hyperlink w:anchor="_Toc496162154" w:history="1">
        <w:r w:rsidR="00B433C7" w:rsidRPr="0016289C">
          <w:rPr>
            <w:rStyle w:val="Hyperlink"/>
            <w:rFonts w:ascii="Times New Roman" w:hAnsi="Times New Roman"/>
            <w:noProof/>
          </w:rPr>
          <w:t>2</w:t>
        </w:r>
        <w:r w:rsidR="00B433C7">
          <w:rPr>
            <w:rStyle w:val="Hyperlink"/>
            <w:rFonts w:ascii="Times New Roman" w:hAnsi="Times New Roman"/>
            <w:noProof/>
          </w:rPr>
          <w:t>4</w:t>
        </w:r>
        <w:r w:rsidR="00B433C7" w:rsidRPr="0016289C">
          <w:rPr>
            <w:rStyle w:val="Hyperlink"/>
            <w:rFonts w:ascii="Times New Roman" w:hAnsi="Times New Roman"/>
            <w:noProof/>
          </w:rPr>
          <w:t>.0</w:t>
        </w:r>
        <w:r w:rsidR="00B433C7" w:rsidRPr="0016289C">
          <w:rPr>
            <w:rFonts w:ascii="Times New Roman" w:eastAsiaTheme="minorEastAsia" w:hAnsi="Times New Roman"/>
            <w:noProof/>
          </w:rPr>
          <w:tab/>
        </w:r>
        <w:r w:rsidR="00B433C7" w:rsidRPr="0016289C">
          <w:rPr>
            <w:rStyle w:val="Hyperlink"/>
            <w:rFonts w:ascii="Times New Roman" w:hAnsi="Times New Roman"/>
            <w:noProof/>
          </w:rPr>
          <w:t>Multi-Site Research</w:t>
        </w:r>
        <w:r w:rsidR="00B433C7" w:rsidRPr="0016289C">
          <w:rPr>
            <w:rFonts w:ascii="Times New Roman" w:hAnsi="Times New Roman"/>
            <w:noProof/>
            <w:webHidden/>
          </w:rPr>
          <w:tab/>
        </w:r>
        <w:r w:rsidR="00B433C7">
          <w:rPr>
            <w:rFonts w:ascii="Times New Roman" w:hAnsi="Times New Roman"/>
            <w:noProof/>
            <w:webHidden/>
          </w:rPr>
          <w:t>2</w:t>
        </w:r>
        <w:r w:rsidR="00CF23ED">
          <w:rPr>
            <w:rFonts w:ascii="Times New Roman" w:hAnsi="Times New Roman"/>
            <w:noProof/>
            <w:webHidden/>
          </w:rPr>
          <w:t>7</w:t>
        </w:r>
      </w:hyperlink>
    </w:p>
    <w:p w14:paraId="7DFBD317" w14:textId="54762422" w:rsidR="001C7854" w:rsidRPr="0016289C" w:rsidRDefault="001C7854">
      <w:pPr>
        <w:rPr>
          <w:rFonts w:ascii="Times New Roman" w:hAnsi="Times New Roman"/>
        </w:rPr>
      </w:pPr>
      <w:r w:rsidRPr="0016289C">
        <w:rPr>
          <w:rFonts w:ascii="Times New Roman" w:hAnsi="Times New Roman"/>
          <w:b/>
          <w:bCs/>
          <w:noProof/>
        </w:rPr>
        <w:fldChar w:fldCharType="end"/>
      </w:r>
    </w:p>
    <w:p w14:paraId="07EFD236" w14:textId="77777777" w:rsidR="00F6236C" w:rsidRPr="0016289C" w:rsidRDefault="00F6236C">
      <w:pPr>
        <w:autoSpaceDE/>
        <w:autoSpaceDN/>
        <w:adjustRightInd/>
        <w:rPr>
          <w:rFonts w:ascii="Times New Roman" w:hAnsi="Times New Roman"/>
          <w:b/>
        </w:rPr>
      </w:pPr>
      <w:r w:rsidRPr="0016289C">
        <w:rPr>
          <w:rFonts w:ascii="Times New Roman" w:hAnsi="Times New Roman"/>
        </w:rPr>
        <w:br w:type="page"/>
      </w:r>
    </w:p>
    <w:p w14:paraId="0489847E" w14:textId="77777777" w:rsidR="00F6236C" w:rsidRPr="0016289C" w:rsidRDefault="00F6236C" w:rsidP="008217D1">
      <w:pPr>
        <w:pStyle w:val="Heading1"/>
        <w:rPr>
          <w:sz w:val="24"/>
          <w:szCs w:val="24"/>
        </w:rPr>
      </w:pPr>
      <w:bookmarkStart w:id="1" w:name="_Toc496162129"/>
      <w:r w:rsidRPr="0016289C">
        <w:rPr>
          <w:sz w:val="24"/>
          <w:szCs w:val="24"/>
        </w:rPr>
        <w:lastRenderedPageBreak/>
        <w:t>Study Summary</w:t>
      </w:r>
      <w:bookmarkEnd w:id="1"/>
    </w:p>
    <w:p w14:paraId="2AAC7B17" w14:textId="77777777" w:rsidR="00F6236C" w:rsidRPr="0016289C" w:rsidRDefault="00F6236C" w:rsidP="00F6236C">
      <w:pPr>
        <w:rPr>
          <w:rFonts w:ascii="Times New Roman" w:hAnsi="Times New Roman"/>
        </w:rPr>
      </w:pPr>
    </w:p>
    <w:tbl>
      <w:tblPr>
        <w:tblW w:w="86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6115"/>
      </w:tblGrid>
      <w:tr w:rsidR="00F6236C" w:rsidRPr="0016289C" w14:paraId="272EB387" w14:textId="77777777" w:rsidTr="00DF71A6">
        <w:tc>
          <w:tcPr>
            <w:tcW w:w="2515" w:type="dxa"/>
          </w:tcPr>
          <w:p w14:paraId="35FAE65E" w14:textId="77777777" w:rsidR="00F6236C" w:rsidRPr="0016289C" w:rsidRDefault="00F6236C" w:rsidP="00DF71A6">
            <w:pPr>
              <w:rPr>
                <w:rFonts w:ascii="Times New Roman" w:hAnsi="Times New Roman"/>
              </w:rPr>
            </w:pPr>
            <w:r w:rsidRPr="0016289C">
              <w:rPr>
                <w:rFonts w:ascii="Times New Roman" w:hAnsi="Times New Roman"/>
                <w:b/>
              </w:rPr>
              <w:t>Study Title</w:t>
            </w:r>
          </w:p>
        </w:tc>
        <w:tc>
          <w:tcPr>
            <w:tcW w:w="6115" w:type="dxa"/>
          </w:tcPr>
          <w:p w14:paraId="756462C9" w14:textId="4570C88B" w:rsidR="00F6236C" w:rsidRPr="0016289C" w:rsidRDefault="00C11968" w:rsidP="00DF71A6">
            <w:pPr>
              <w:rPr>
                <w:rFonts w:ascii="Times New Roman" w:hAnsi="Times New Roman"/>
                <w:b/>
              </w:rPr>
            </w:pPr>
            <w:r w:rsidRPr="0016289C">
              <w:rPr>
                <w:rFonts w:ascii="Times New Roman" w:hAnsi="Times New Roman"/>
              </w:rPr>
              <w:t>The NICU Antibiotics and Outcomes Trial (NANO)</w:t>
            </w:r>
          </w:p>
        </w:tc>
      </w:tr>
      <w:tr w:rsidR="00F6236C" w:rsidRPr="0016289C" w14:paraId="6464FC31" w14:textId="77777777" w:rsidTr="00DF71A6">
        <w:tc>
          <w:tcPr>
            <w:tcW w:w="2515" w:type="dxa"/>
          </w:tcPr>
          <w:p w14:paraId="45AA1B48" w14:textId="77777777" w:rsidR="00F6236C" w:rsidRPr="0016289C" w:rsidRDefault="00F6236C" w:rsidP="00DF71A6">
            <w:pPr>
              <w:rPr>
                <w:rFonts w:ascii="Times New Roman" w:hAnsi="Times New Roman"/>
              </w:rPr>
            </w:pPr>
            <w:r w:rsidRPr="0016289C">
              <w:rPr>
                <w:rFonts w:ascii="Times New Roman" w:hAnsi="Times New Roman"/>
                <w:b/>
              </w:rPr>
              <w:t>Study Design</w:t>
            </w:r>
          </w:p>
        </w:tc>
        <w:tc>
          <w:tcPr>
            <w:tcW w:w="6115" w:type="dxa"/>
          </w:tcPr>
          <w:p w14:paraId="29E57FCF" w14:textId="652A1377" w:rsidR="00F6236C" w:rsidRPr="0016289C" w:rsidRDefault="00C11968" w:rsidP="00DF71A6">
            <w:pPr>
              <w:rPr>
                <w:rFonts w:ascii="Times New Roman" w:hAnsi="Times New Roman"/>
              </w:rPr>
            </w:pPr>
            <w:r w:rsidRPr="0016289C">
              <w:rPr>
                <w:rFonts w:ascii="Times New Roman" w:hAnsi="Times New Roman"/>
                <w:color w:val="000000"/>
              </w:rPr>
              <w:t>Randomized, placebo controlled, double blinded multicenter trial</w:t>
            </w:r>
          </w:p>
        </w:tc>
      </w:tr>
      <w:tr w:rsidR="00F6236C" w:rsidRPr="0016289C" w14:paraId="5ABBA5FA" w14:textId="77777777" w:rsidTr="00DF71A6">
        <w:tc>
          <w:tcPr>
            <w:tcW w:w="2515" w:type="dxa"/>
          </w:tcPr>
          <w:p w14:paraId="112BD565" w14:textId="77777777" w:rsidR="00F6236C" w:rsidRPr="0016289C" w:rsidRDefault="00F6236C" w:rsidP="00DF71A6">
            <w:pPr>
              <w:rPr>
                <w:rFonts w:ascii="Times New Roman" w:hAnsi="Times New Roman"/>
              </w:rPr>
            </w:pPr>
            <w:r w:rsidRPr="0016289C">
              <w:rPr>
                <w:rFonts w:ascii="Times New Roman" w:hAnsi="Times New Roman"/>
                <w:b/>
              </w:rPr>
              <w:t>Primary Objective</w:t>
            </w:r>
          </w:p>
        </w:tc>
        <w:tc>
          <w:tcPr>
            <w:tcW w:w="6115" w:type="dxa"/>
          </w:tcPr>
          <w:p w14:paraId="59A64541" w14:textId="0930E4BC" w:rsidR="00F6236C" w:rsidRPr="0016289C" w:rsidRDefault="00C11968" w:rsidP="00DF71A6">
            <w:pPr>
              <w:rPr>
                <w:rFonts w:ascii="Times New Roman" w:hAnsi="Times New Roman"/>
              </w:rPr>
            </w:pPr>
            <w:r w:rsidRPr="0016289C">
              <w:rPr>
                <w:rFonts w:ascii="Times New Roman" w:hAnsi="Times New Roman"/>
                <w:color w:val="000000"/>
              </w:rPr>
              <w:t>To compare the incidence of late onset sepsis</w:t>
            </w:r>
            <w:r w:rsidR="00582231">
              <w:rPr>
                <w:rFonts w:ascii="Times New Roman" w:hAnsi="Times New Roman"/>
                <w:color w:val="000000"/>
              </w:rPr>
              <w:t xml:space="preserve"> (LOS)</w:t>
            </w:r>
            <w:r w:rsidRPr="0016289C">
              <w:rPr>
                <w:rFonts w:ascii="Times New Roman" w:hAnsi="Times New Roman"/>
                <w:color w:val="000000"/>
              </w:rPr>
              <w:t>, necrotizing enterocolitis</w:t>
            </w:r>
            <w:r w:rsidR="00582231">
              <w:rPr>
                <w:rFonts w:ascii="Times New Roman" w:hAnsi="Times New Roman"/>
                <w:color w:val="000000"/>
              </w:rPr>
              <w:t xml:space="preserve"> (NEC)</w:t>
            </w:r>
            <w:r w:rsidRPr="0016289C">
              <w:rPr>
                <w:rFonts w:ascii="Times New Roman" w:hAnsi="Times New Roman"/>
                <w:color w:val="000000"/>
              </w:rPr>
              <w:t xml:space="preserve">, and death in premature infants </w:t>
            </w:r>
            <w:r w:rsidRPr="0016289C">
              <w:rPr>
                <w:rFonts w:ascii="Times New Roman" w:hAnsi="Times New Roman"/>
                <w:color w:val="000000"/>
              </w:rPr>
              <w:sym w:font="Symbol" w:char="F0A3"/>
            </w:r>
            <w:r w:rsidRPr="0016289C">
              <w:rPr>
                <w:rFonts w:ascii="Times New Roman" w:hAnsi="Times New Roman"/>
                <w:color w:val="000000"/>
              </w:rPr>
              <w:t>28 weeks gestation randomized to receive empiric antibiotics (EA) or placebo at birth.</w:t>
            </w:r>
          </w:p>
        </w:tc>
      </w:tr>
      <w:tr w:rsidR="00F6236C" w:rsidRPr="0016289C" w14:paraId="1237CF2D" w14:textId="77777777" w:rsidTr="00DF71A6">
        <w:tc>
          <w:tcPr>
            <w:tcW w:w="2515" w:type="dxa"/>
          </w:tcPr>
          <w:p w14:paraId="6BDB6014" w14:textId="77777777" w:rsidR="00F6236C" w:rsidRPr="0016289C" w:rsidRDefault="00F6236C" w:rsidP="00DF71A6">
            <w:pPr>
              <w:rPr>
                <w:rFonts w:ascii="Times New Roman" w:hAnsi="Times New Roman"/>
              </w:rPr>
            </w:pPr>
            <w:r w:rsidRPr="0016289C">
              <w:rPr>
                <w:rFonts w:ascii="Times New Roman" w:hAnsi="Times New Roman"/>
                <w:b/>
              </w:rPr>
              <w:t>Secondary Objective(s)</w:t>
            </w:r>
          </w:p>
        </w:tc>
        <w:tc>
          <w:tcPr>
            <w:tcW w:w="6115" w:type="dxa"/>
          </w:tcPr>
          <w:p w14:paraId="5A01CD8F" w14:textId="37DF9746" w:rsidR="00F6236C" w:rsidRPr="0016289C" w:rsidRDefault="00C11968" w:rsidP="00DF71A6">
            <w:pPr>
              <w:rPr>
                <w:rFonts w:ascii="Times New Roman" w:hAnsi="Times New Roman"/>
              </w:rPr>
            </w:pPr>
            <w:r w:rsidRPr="0016289C">
              <w:rPr>
                <w:rFonts w:ascii="Times New Roman" w:hAnsi="Times New Roman"/>
                <w:color w:val="000000"/>
              </w:rPr>
              <w:t xml:space="preserve">To compare early patterns of gut microbial colonization in premature infants </w:t>
            </w:r>
            <w:r w:rsidRPr="0016289C">
              <w:rPr>
                <w:rFonts w:ascii="Times New Roman" w:hAnsi="Times New Roman"/>
                <w:color w:val="000000"/>
              </w:rPr>
              <w:sym w:font="Symbol" w:char="F0A3"/>
            </w:r>
            <w:r w:rsidRPr="0016289C">
              <w:rPr>
                <w:rFonts w:ascii="Times New Roman" w:hAnsi="Times New Roman"/>
                <w:color w:val="000000"/>
              </w:rPr>
              <w:t>28 weeks gestation randomized to receive empiric antibiotics (EA) or placebo at birth.</w:t>
            </w:r>
          </w:p>
        </w:tc>
      </w:tr>
      <w:tr w:rsidR="00F6236C" w:rsidRPr="0016289C" w14:paraId="179BF67B" w14:textId="77777777" w:rsidTr="00DF71A6">
        <w:tc>
          <w:tcPr>
            <w:tcW w:w="2515" w:type="dxa"/>
          </w:tcPr>
          <w:p w14:paraId="0213BE3A" w14:textId="77777777" w:rsidR="00F6236C" w:rsidRPr="0016289C" w:rsidRDefault="00F6236C" w:rsidP="00DF71A6">
            <w:pPr>
              <w:rPr>
                <w:rFonts w:ascii="Times New Roman" w:hAnsi="Times New Roman"/>
              </w:rPr>
            </w:pPr>
            <w:r w:rsidRPr="0016289C">
              <w:rPr>
                <w:rFonts w:ascii="Times New Roman" w:hAnsi="Times New Roman"/>
                <w:b/>
              </w:rPr>
              <w:t xml:space="preserve">Research Intervention(s)/ Investigational Agent(s) </w:t>
            </w:r>
          </w:p>
        </w:tc>
        <w:tc>
          <w:tcPr>
            <w:tcW w:w="6115" w:type="dxa"/>
          </w:tcPr>
          <w:p w14:paraId="4A75787B" w14:textId="2D50131F" w:rsidR="00F6236C" w:rsidRPr="0016289C" w:rsidRDefault="00E01BAB" w:rsidP="00DF71A6">
            <w:pPr>
              <w:rPr>
                <w:rFonts w:ascii="Times New Roman" w:hAnsi="Times New Roman"/>
              </w:rPr>
            </w:pPr>
            <w:r w:rsidRPr="0016289C">
              <w:rPr>
                <w:rFonts w:ascii="Times New Roman" w:hAnsi="Times New Roman"/>
              </w:rPr>
              <w:t xml:space="preserve">The intervention consists of administering </w:t>
            </w:r>
            <w:r w:rsidR="00AF33D4" w:rsidRPr="0016289C">
              <w:rPr>
                <w:rFonts w:ascii="Times New Roman" w:hAnsi="Times New Roman"/>
              </w:rPr>
              <w:t>ampicillin and</w:t>
            </w:r>
            <w:r w:rsidRPr="0016289C">
              <w:rPr>
                <w:rFonts w:ascii="Times New Roman" w:hAnsi="Times New Roman"/>
              </w:rPr>
              <w:t xml:space="preserve"> gentamicin </w:t>
            </w:r>
            <w:r w:rsidR="0047150C">
              <w:rPr>
                <w:rFonts w:ascii="Times New Roman" w:hAnsi="Times New Roman"/>
              </w:rPr>
              <w:t xml:space="preserve">at site approved dosing guidelines </w:t>
            </w:r>
            <w:r w:rsidRPr="0016289C">
              <w:rPr>
                <w:rFonts w:ascii="Times New Roman" w:hAnsi="Times New Roman"/>
              </w:rPr>
              <w:t>OR a volume matched equivalent of normal saline.</w:t>
            </w:r>
          </w:p>
        </w:tc>
      </w:tr>
      <w:tr w:rsidR="00F6236C" w:rsidRPr="0016289C" w14:paraId="6EDC160F" w14:textId="77777777" w:rsidTr="00DF71A6">
        <w:tc>
          <w:tcPr>
            <w:tcW w:w="2515" w:type="dxa"/>
          </w:tcPr>
          <w:p w14:paraId="554B9776" w14:textId="77777777" w:rsidR="00F6236C" w:rsidRPr="0016289C" w:rsidRDefault="00F6236C" w:rsidP="00DF71A6">
            <w:pPr>
              <w:rPr>
                <w:rFonts w:ascii="Times New Roman" w:hAnsi="Times New Roman"/>
                <w:b/>
              </w:rPr>
            </w:pPr>
            <w:r w:rsidRPr="0016289C">
              <w:rPr>
                <w:rFonts w:ascii="Times New Roman" w:hAnsi="Times New Roman"/>
                <w:b/>
              </w:rPr>
              <w:t xml:space="preserve">IND/IDE # </w:t>
            </w:r>
          </w:p>
        </w:tc>
        <w:tc>
          <w:tcPr>
            <w:tcW w:w="6115" w:type="dxa"/>
          </w:tcPr>
          <w:p w14:paraId="4FFE6E58" w14:textId="663CC2B1" w:rsidR="00F6236C" w:rsidRPr="0016289C" w:rsidRDefault="00192BB7" w:rsidP="00DF71A6">
            <w:pPr>
              <w:rPr>
                <w:rFonts w:ascii="Times New Roman" w:hAnsi="Times New Roman"/>
              </w:rPr>
            </w:pPr>
            <w:r>
              <w:rPr>
                <w:rFonts w:ascii="Times New Roman" w:hAnsi="Times New Roman"/>
              </w:rPr>
              <w:t>IND Exempt (</w:t>
            </w:r>
            <w:r w:rsidR="00AB27B3">
              <w:rPr>
                <w:rFonts w:ascii="Times New Roman" w:hAnsi="Times New Roman"/>
              </w:rPr>
              <w:t xml:space="preserve">PIND </w:t>
            </w:r>
            <w:r w:rsidR="00B54651">
              <w:rPr>
                <w:rFonts w:ascii="Times New Roman" w:hAnsi="Times New Roman"/>
              </w:rPr>
              <w:t>143353)</w:t>
            </w:r>
          </w:p>
        </w:tc>
      </w:tr>
      <w:tr w:rsidR="00F6236C" w:rsidRPr="0016289C" w14:paraId="3F7BDEBC" w14:textId="77777777" w:rsidTr="00DF71A6">
        <w:tc>
          <w:tcPr>
            <w:tcW w:w="2515" w:type="dxa"/>
          </w:tcPr>
          <w:p w14:paraId="0C473377" w14:textId="77777777" w:rsidR="00F6236C" w:rsidRPr="0016289C" w:rsidRDefault="00F6236C" w:rsidP="00DF71A6">
            <w:pPr>
              <w:rPr>
                <w:rFonts w:ascii="Times New Roman" w:hAnsi="Times New Roman"/>
              </w:rPr>
            </w:pPr>
            <w:r w:rsidRPr="0016289C">
              <w:rPr>
                <w:rFonts w:ascii="Times New Roman" w:hAnsi="Times New Roman"/>
                <w:b/>
              </w:rPr>
              <w:t>Study Population</w:t>
            </w:r>
          </w:p>
        </w:tc>
        <w:tc>
          <w:tcPr>
            <w:tcW w:w="6115" w:type="dxa"/>
          </w:tcPr>
          <w:p w14:paraId="228E1301" w14:textId="4E0AE556" w:rsidR="00F6236C" w:rsidRPr="0016289C" w:rsidRDefault="00E01BAB" w:rsidP="00E01BAB">
            <w:pPr>
              <w:pBdr>
                <w:top w:val="nil"/>
                <w:left w:val="nil"/>
                <w:bottom w:val="nil"/>
                <w:right w:val="nil"/>
                <w:between w:val="nil"/>
              </w:pBdr>
              <w:autoSpaceDE/>
              <w:autoSpaceDN/>
              <w:adjustRightInd/>
              <w:rPr>
                <w:rFonts w:ascii="Times New Roman" w:hAnsi="Times New Roman"/>
              </w:rPr>
            </w:pPr>
            <w:r w:rsidRPr="0016289C">
              <w:rPr>
                <w:rFonts w:ascii="Times New Roman" w:hAnsi="Times New Roman"/>
              </w:rPr>
              <w:t>Newborn infants born at participating study sites with gestational age of 23-28 weeks</w:t>
            </w:r>
          </w:p>
        </w:tc>
      </w:tr>
      <w:tr w:rsidR="00F6236C" w:rsidRPr="0016289C" w14:paraId="6B65F8B3" w14:textId="77777777" w:rsidTr="00DF71A6">
        <w:tc>
          <w:tcPr>
            <w:tcW w:w="2515" w:type="dxa"/>
          </w:tcPr>
          <w:p w14:paraId="0E1CB62E" w14:textId="77777777" w:rsidR="00F6236C" w:rsidRPr="0016289C" w:rsidRDefault="00F6236C" w:rsidP="00DF71A6">
            <w:pPr>
              <w:rPr>
                <w:rFonts w:ascii="Times New Roman" w:hAnsi="Times New Roman"/>
              </w:rPr>
            </w:pPr>
            <w:r w:rsidRPr="0016289C">
              <w:rPr>
                <w:rFonts w:ascii="Times New Roman" w:hAnsi="Times New Roman"/>
                <w:b/>
              </w:rPr>
              <w:t>Sample Size</w:t>
            </w:r>
          </w:p>
        </w:tc>
        <w:tc>
          <w:tcPr>
            <w:tcW w:w="6115" w:type="dxa"/>
          </w:tcPr>
          <w:p w14:paraId="7E85BB0E" w14:textId="5F08A3DE" w:rsidR="00F6236C" w:rsidRPr="0016289C" w:rsidRDefault="00E01BAB" w:rsidP="00DF71A6">
            <w:pPr>
              <w:rPr>
                <w:rFonts w:ascii="Times New Roman" w:hAnsi="Times New Roman"/>
              </w:rPr>
            </w:pPr>
            <w:r w:rsidRPr="0016289C">
              <w:rPr>
                <w:rFonts w:ascii="Times New Roman" w:hAnsi="Times New Roman"/>
              </w:rPr>
              <w:t>802</w:t>
            </w:r>
          </w:p>
        </w:tc>
      </w:tr>
      <w:tr w:rsidR="00F6236C" w:rsidRPr="0016289C" w14:paraId="32EB54A2" w14:textId="77777777" w:rsidTr="00DF71A6">
        <w:tc>
          <w:tcPr>
            <w:tcW w:w="2515" w:type="dxa"/>
          </w:tcPr>
          <w:p w14:paraId="4202EB88" w14:textId="77777777" w:rsidR="00F6236C" w:rsidRPr="0016289C" w:rsidRDefault="00F6236C" w:rsidP="00DF71A6">
            <w:pPr>
              <w:rPr>
                <w:rFonts w:ascii="Times New Roman" w:hAnsi="Times New Roman"/>
              </w:rPr>
            </w:pPr>
            <w:r w:rsidRPr="0016289C">
              <w:rPr>
                <w:rFonts w:ascii="Times New Roman" w:hAnsi="Times New Roman"/>
                <w:b/>
              </w:rPr>
              <w:t>Study Duration for individual participants</w:t>
            </w:r>
          </w:p>
        </w:tc>
        <w:tc>
          <w:tcPr>
            <w:tcW w:w="6115" w:type="dxa"/>
          </w:tcPr>
          <w:p w14:paraId="051287AB" w14:textId="2F54EB54" w:rsidR="00F6236C" w:rsidRPr="0016289C" w:rsidRDefault="00E01BAB" w:rsidP="00DF71A6">
            <w:pPr>
              <w:rPr>
                <w:rFonts w:ascii="Times New Roman" w:hAnsi="Times New Roman"/>
              </w:rPr>
            </w:pPr>
            <w:r w:rsidRPr="0016289C">
              <w:rPr>
                <w:rFonts w:ascii="Times New Roman" w:hAnsi="Times New Roman"/>
              </w:rPr>
              <w:t>Duration of index hospitalization</w:t>
            </w:r>
          </w:p>
        </w:tc>
      </w:tr>
      <w:tr w:rsidR="00F6236C" w:rsidRPr="0016289C" w14:paraId="2422F19F" w14:textId="77777777" w:rsidTr="00DF71A6">
        <w:tc>
          <w:tcPr>
            <w:tcW w:w="2515" w:type="dxa"/>
          </w:tcPr>
          <w:p w14:paraId="091A9675" w14:textId="77777777" w:rsidR="00F6236C" w:rsidRPr="0016289C" w:rsidRDefault="00F6236C" w:rsidP="00DF71A6">
            <w:pPr>
              <w:rPr>
                <w:rFonts w:ascii="Times New Roman" w:hAnsi="Times New Roman"/>
                <w:b/>
              </w:rPr>
            </w:pPr>
            <w:r w:rsidRPr="009A4758">
              <w:rPr>
                <w:rFonts w:ascii="Times New Roman" w:hAnsi="Times New Roman"/>
                <w:b/>
              </w:rPr>
              <w:t>Study Specific Abbreviations/ Definitions</w:t>
            </w:r>
            <w:r w:rsidRPr="0016289C">
              <w:rPr>
                <w:rFonts w:ascii="Times New Roman" w:hAnsi="Times New Roman"/>
                <w:b/>
              </w:rPr>
              <w:t xml:space="preserve"> </w:t>
            </w:r>
          </w:p>
        </w:tc>
        <w:tc>
          <w:tcPr>
            <w:tcW w:w="6115" w:type="dxa"/>
          </w:tcPr>
          <w:p w14:paraId="40E2B023" w14:textId="7CB2CBAA" w:rsidR="0095287D" w:rsidRPr="0095287D" w:rsidRDefault="0095287D" w:rsidP="00DF71A6">
            <w:pPr>
              <w:rPr>
                <w:rFonts w:ascii="Times New Roman" w:hAnsi="Times New Roman"/>
              </w:rPr>
            </w:pPr>
            <w:r>
              <w:rPr>
                <w:rFonts w:ascii="Times New Roman" w:hAnsi="Times New Roman"/>
                <w:b/>
              </w:rPr>
              <w:t xml:space="preserve">ELBW- </w:t>
            </w:r>
            <w:r>
              <w:rPr>
                <w:rFonts w:ascii="Times New Roman" w:hAnsi="Times New Roman"/>
              </w:rPr>
              <w:t xml:space="preserve">Extremely </w:t>
            </w:r>
            <w:r w:rsidR="00F620E0">
              <w:rPr>
                <w:rFonts w:ascii="Times New Roman" w:hAnsi="Times New Roman"/>
              </w:rPr>
              <w:t>Low</w:t>
            </w:r>
            <w:r>
              <w:rPr>
                <w:rFonts w:ascii="Times New Roman" w:hAnsi="Times New Roman"/>
              </w:rPr>
              <w:t xml:space="preserve"> </w:t>
            </w:r>
            <w:r w:rsidR="00CD764C">
              <w:rPr>
                <w:rFonts w:ascii="Times New Roman" w:hAnsi="Times New Roman"/>
              </w:rPr>
              <w:t>B</w:t>
            </w:r>
            <w:r>
              <w:rPr>
                <w:rFonts w:ascii="Times New Roman" w:hAnsi="Times New Roman"/>
              </w:rPr>
              <w:t xml:space="preserve">irth </w:t>
            </w:r>
            <w:r w:rsidR="00CD764C">
              <w:rPr>
                <w:rFonts w:ascii="Times New Roman" w:hAnsi="Times New Roman"/>
              </w:rPr>
              <w:t>W</w:t>
            </w:r>
            <w:r>
              <w:rPr>
                <w:rFonts w:ascii="Times New Roman" w:hAnsi="Times New Roman"/>
              </w:rPr>
              <w:t>eight Infants</w:t>
            </w:r>
          </w:p>
          <w:p w14:paraId="6EE52F4E" w14:textId="060675D2" w:rsidR="00F6236C" w:rsidRDefault="00BD4C70" w:rsidP="00DF71A6">
            <w:pPr>
              <w:rPr>
                <w:rFonts w:ascii="Times New Roman" w:hAnsi="Times New Roman"/>
              </w:rPr>
            </w:pPr>
            <w:r w:rsidRPr="00B51DC4">
              <w:rPr>
                <w:rFonts w:ascii="Times New Roman" w:hAnsi="Times New Roman"/>
                <w:b/>
              </w:rPr>
              <w:t>LOS</w:t>
            </w:r>
            <w:r>
              <w:rPr>
                <w:rFonts w:ascii="Times New Roman" w:hAnsi="Times New Roman"/>
              </w:rPr>
              <w:t>- Late Onset Sepsi</w:t>
            </w:r>
            <w:r w:rsidR="001B33DB">
              <w:rPr>
                <w:rFonts w:ascii="Times New Roman" w:hAnsi="Times New Roman"/>
              </w:rPr>
              <w:t>s</w:t>
            </w:r>
          </w:p>
          <w:p w14:paraId="6A1EF60C" w14:textId="77777777" w:rsidR="00BD4C70" w:rsidRDefault="00BD4C70" w:rsidP="00BD4C70">
            <w:pPr>
              <w:pStyle w:val="Default"/>
            </w:pPr>
            <w:r w:rsidRPr="00B51DC4">
              <w:rPr>
                <w:b/>
              </w:rPr>
              <w:t>NEC</w:t>
            </w:r>
            <w:r>
              <w:t xml:space="preserve">- Necrotizing </w:t>
            </w:r>
            <w:r w:rsidR="0036101E">
              <w:t>Enterocolitis</w:t>
            </w:r>
            <w:r w:rsidR="00B51DC4">
              <w:t xml:space="preserve">: A disease that affects mostly the intestine of premature infants. The wall of the intestine is invaded by bacteria, which can cause local infection and inflammation that can destroy the intestinal wall. </w:t>
            </w:r>
          </w:p>
          <w:p w14:paraId="3B4AC090" w14:textId="77777777" w:rsidR="001B33DB" w:rsidRDefault="001B33DB" w:rsidP="00BD4C70">
            <w:pPr>
              <w:pStyle w:val="Default"/>
            </w:pPr>
            <w:r>
              <w:rPr>
                <w:b/>
              </w:rPr>
              <w:t>EA</w:t>
            </w:r>
            <w:r>
              <w:t>- Empiric Antibiotics</w:t>
            </w:r>
          </w:p>
          <w:p w14:paraId="457C2D67" w14:textId="77777777" w:rsidR="0006720A" w:rsidRDefault="0006720A" w:rsidP="00BD4C70">
            <w:pPr>
              <w:pStyle w:val="Default"/>
            </w:pPr>
            <w:r>
              <w:rPr>
                <w:b/>
              </w:rPr>
              <w:t xml:space="preserve">EOS- </w:t>
            </w:r>
            <w:r>
              <w:t>Early Onset Sepsis</w:t>
            </w:r>
          </w:p>
          <w:p w14:paraId="6DE7CCFD" w14:textId="77777777" w:rsidR="0041548F" w:rsidRDefault="0041548F" w:rsidP="00BD4C70">
            <w:pPr>
              <w:pStyle w:val="Default"/>
            </w:pPr>
            <w:r>
              <w:rPr>
                <w:b/>
              </w:rPr>
              <w:t xml:space="preserve">NICU- </w:t>
            </w:r>
            <w:r>
              <w:t>Neonatal Intensive Care Unit</w:t>
            </w:r>
          </w:p>
          <w:p w14:paraId="3394D331" w14:textId="77777777" w:rsidR="004C4EEB" w:rsidRDefault="004C4EEB" w:rsidP="00BD4C70">
            <w:pPr>
              <w:pStyle w:val="Default"/>
            </w:pPr>
            <w:r>
              <w:rPr>
                <w:b/>
              </w:rPr>
              <w:t xml:space="preserve">NIH- </w:t>
            </w:r>
            <w:r>
              <w:t>National Institutes of Health</w:t>
            </w:r>
          </w:p>
          <w:p w14:paraId="5248ACD1" w14:textId="77777777" w:rsidR="00142A6E" w:rsidRDefault="00142A6E" w:rsidP="00BD4C70">
            <w:pPr>
              <w:pStyle w:val="Default"/>
            </w:pPr>
            <w:r>
              <w:rPr>
                <w:b/>
              </w:rPr>
              <w:t xml:space="preserve">AE- </w:t>
            </w:r>
            <w:r>
              <w:t>Adverse Event</w:t>
            </w:r>
          </w:p>
          <w:p w14:paraId="0AC31EF7" w14:textId="17AE4337" w:rsidR="00142A6E" w:rsidRDefault="00142A6E" w:rsidP="00BD4C70">
            <w:pPr>
              <w:pStyle w:val="Default"/>
            </w:pPr>
            <w:r>
              <w:rPr>
                <w:b/>
              </w:rPr>
              <w:t xml:space="preserve">SAE- </w:t>
            </w:r>
            <w:r>
              <w:t>Serious Adverse Event</w:t>
            </w:r>
          </w:p>
          <w:p w14:paraId="135562FC" w14:textId="1D3737EB" w:rsidR="00AA20CA" w:rsidRDefault="00AA20CA" w:rsidP="00BD4C70">
            <w:pPr>
              <w:pStyle w:val="Default"/>
            </w:pPr>
            <w:r>
              <w:rPr>
                <w:b/>
              </w:rPr>
              <w:t>IND</w:t>
            </w:r>
            <w:r>
              <w:t xml:space="preserve">- Investigational </w:t>
            </w:r>
            <w:r w:rsidR="00636B88">
              <w:t>N</w:t>
            </w:r>
            <w:r>
              <w:t>ew drug</w:t>
            </w:r>
          </w:p>
          <w:p w14:paraId="6678A1B3" w14:textId="247E2D09" w:rsidR="004800BC" w:rsidRDefault="004800BC" w:rsidP="00BD4C70">
            <w:pPr>
              <w:pStyle w:val="Default"/>
            </w:pPr>
            <w:r w:rsidRPr="00D74B4D">
              <w:rPr>
                <w:b/>
              </w:rPr>
              <w:t>IDS</w:t>
            </w:r>
            <w:r>
              <w:t xml:space="preserve">- Investigational </w:t>
            </w:r>
            <w:r w:rsidR="00D74B4D">
              <w:t>Drug service</w:t>
            </w:r>
          </w:p>
          <w:p w14:paraId="149A754D" w14:textId="74B4D654" w:rsidR="00442DF0" w:rsidRDefault="00442DF0" w:rsidP="00BD4C70">
            <w:pPr>
              <w:pStyle w:val="Default"/>
            </w:pPr>
            <w:r>
              <w:rPr>
                <w:b/>
              </w:rPr>
              <w:t xml:space="preserve">IRB- </w:t>
            </w:r>
            <w:r>
              <w:t>Institutional Review Board</w:t>
            </w:r>
          </w:p>
          <w:p w14:paraId="588F42BC" w14:textId="3F605366" w:rsidR="000075DA" w:rsidRDefault="000075DA" w:rsidP="00BD4C70">
            <w:pPr>
              <w:pStyle w:val="Default"/>
            </w:pPr>
            <w:r>
              <w:rPr>
                <w:b/>
              </w:rPr>
              <w:t xml:space="preserve">HHS- </w:t>
            </w:r>
            <w:r>
              <w:t>Health and Human Services</w:t>
            </w:r>
          </w:p>
          <w:p w14:paraId="6D6C3390" w14:textId="1E449BF9" w:rsidR="00B06E61" w:rsidRDefault="00B06E61" w:rsidP="00BD4C70">
            <w:pPr>
              <w:pStyle w:val="Default"/>
            </w:pPr>
            <w:r>
              <w:rPr>
                <w:b/>
              </w:rPr>
              <w:t xml:space="preserve">DSMB- </w:t>
            </w:r>
            <w:r>
              <w:t>Data and Safety Monitoring Board</w:t>
            </w:r>
          </w:p>
          <w:p w14:paraId="49204F1D" w14:textId="502C46B1" w:rsidR="00C20074" w:rsidRDefault="00C20074" w:rsidP="00BD4C70">
            <w:pPr>
              <w:pStyle w:val="Default"/>
            </w:pPr>
            <w:r>
              <w:rPr>
                <w:b/>
              </w:rPr>
              <w:t xml:space="preserve">MOP- </w:t>
            </w:r>
            <w:r>
              <w:t>Manual of Procedures</w:t>
            </w:r>
          </w:p>
          <w:p w14:paraId="4DA0D0C3" w14:textId="3B5D753D" w:rsidR="00E0193C" w:rsidRPr="00E0193C" w:rsidRDefault="00E0193C" w:rsidP="00BD4C70">
            <w:pPr>
              <w:pStyle w:val="Default"/>
            </w:pPr>
            <w:r>
              <w:rPr>
                <w:b/>
              </w:rPr>
              <w:t xml:space="preserve">DCC- </w:t>
            </w:r>
            <w:r>
              <w:t>Data Coordinating Center</w:t>
            </w:r>
          </w:p>
          <w:p w14:paraId="5C0AC48B" w14:textId="2F4525AD" w:rsidR="00142A6E" w:rsidRPr="00142A6E" w:rsidDel="008A5103" w:rsidRDefault="00142A6E" w:rsidP="00BD4C70">
            <w:pPr>
              <w:pStyle w:val="Default"/>
            </w:pPr>
          </w:p>
        </w:tc>
      </w:tr>
    </w:tbl>
    <w:p w14:paraId="6B9C3487" w14:textId="77777777" w:rsidR="00F6236C" w:rsidRPr="0016289C" w:rsidRDefault="00F6236C" w:rsidP="00F6236C">
      <w:pPr>
        <w:rPr>
          <w:rFonts w:ascii="Times New Roman" w:hAnsi="Times New Roman"/>
        </w:rPr>
      </w:pPr>
    </w:p>
    <w:p w14:paraId="62982217" w14:textId="77777777" w:rsidR="00F6236C" w:rsidRPr="0016289C" w:rsidRDefault="00F6236C" w:rsidP="00F6236C">
      <w:pPr>
        <w:rPr>
          <w:rFonts w:ascii="Times New Roman" w:hAnsi="Times New Roman"/>
        </w:rPr>
      </w:pPr>
    </w:p>
    <w:p w14:paraId="2ABC2472" w14:textId="77777777" w:rsidR="002B1A43" w:rsidRPr="002B1A43" w:rsidRDefault="001C7854" w:rsidP="002B1A43">
      <w:pPr>
        <w:pStyle w:val="Heading1"/>
        <w:ind w:left="0" w:firstLine="0"/>
        <w:rPr>
          <w:b w:val="0"/>
          <w:color w:val="000000" w:themeColor="text1"/>
          <w:sz w:val="24"/>
          <w:szCs w:val="24"/>
        </w:rPr>
      </w:pPr>
      <w:r w:rsidRPr="0016289C">
        <w:rPr>
          <w:sz w:val="24"/>
          <w:szCs w:val="24"/>
        </w:rPr>
        <w:br w:type="page"/>
      </w:r>
      <w:bookmarkStart w:id="2" w:name="_Toc496162130"/>
      <w:r w:rsidR="00393FAF" w:rsidRPr="0016289C">
        <w:rPr>
          <w:sz w:val="24"/>
          <w:szCs w:val="24"/>
        </w:rPr>
        <w:lastRenderedPageBreak/>
        <w:t>Objective</w:t>
      </w:r>
      <w:bookmarkEnd w:id="2"/>
      <w:r w:rsidR="00627388" w:rsidRPr="0016289C">
        <w:rPr>
          <w:sz w:val="24"/>
          <w:szCs w:val="24"/>
        </w:rPr>
        <w:t>s and Aims</w:t>
      </w:r>
    </w:p>
    <w:p w14:paraId="51B28655" w14:textId="77777777" w:rsidR="002B1A43" w:rsidRDefault="002B1A43" w:rsidP="002B1A43">
      <w:pPr>
        <w:pStyle w:val="Heading1"/>
        <w:numPr>
          <w:ilvl w:val="0"/>
          <w:numId w:val="0"/>
        </w:numPr>
        <w:rPr>
          <w:b w:val="0"/>
          <w:color w:val="000000" w:themeColor="text1"/>
          <w:sz w:val="24"/>
          <w:szCs w:val="24"/>
        </w:rPr>
      </w:pPr>
    </w:p>
    <w:p w14:paraId="3254A114" w14:textId="5682B947" w:rsidR="00627388" w:rsidRPr="002B1A43" w:rsidRDefault="00627388" w:rsidP="002B1A43">
      <w:pPr>
        <w:pStyle w:val="Heading1"/>
        <w:numPr>
          <w:ilvl w:val="0"/>
          <w:numId w:val="0"/>
        </w:numPr>
        <w:rPr>
          <w:b w:val="0"/>
          <w:color w:val="000000" w:themeColor="text1"/>
          <w:sz w:val="24"/>
          <w:szCs w:val="24"/>
        </w:rPr>
      </w:pPr>
      <w:r w:rsidRPr="002B1A43">
        <w:rPr>
          <w:b w:val="0"/>
          <w:bCs/>
          <w:color w:val="000000" w:themeColor="text1"/>
          <w:sz w:val="24"/>
          <w:szCs w:val="24"/>
        </w:rPr>
        <w:t xml:space="preserve">The goal of the NANO Trial is </w:t>
      </w:r>
      <w:r w:rsidR="00E01BAB" w:rsidRPr="002B1A43">
        <w:rPr>
          <w:b w:val="0"/>
          <w:bCs/>
          <w:color w:val="000000" w:themeColor="text1"/>
          <w:sz w:val="24"/>
          <w:szCs w:val="24"/>
        </w:rPr>
        <w:t>to</w:t>
      </w:r>
      <w:r w:rsidR="00E01BAB" w:rsidRPr="002B1A43">
        <w:rPr>
          <w:color w:val="000000" w:themeColor="text1"/>
          <w:sz w:val="24"/>
          <w:szCs w:val="24"/>
        </w:rPr>
        <w:t xml:space="preserve"> </w:t>
      </w:r>
      <w:r w:rsidR="00E01BAB" w:rsidRPr="002B1A43">
        <w:rPr>
          <w:b w:val="0"/>
          <w:color w:val="000000" w:themeColor="text1"/>
          <w:sz w:val="24"/>
          <w:szCs w:val="24"/>
        </w:rPr>
        <w:t>test the hypothesis that the rate of adverse outcomes is higher in ELBW infants receiving EA compared to infants receiving placebo.</w:t>
      </w:r>
      <w:r w:rsidR="00A146FB">
        <w:rPr>
          <w:b w:val="0"/>
          <w:color w:val="000000" w:themeColor="text1"/>
          <w:sz w:val="24"/>
          <w:szCs w:val="24"/>
        </w:rPr>
        <w:t xml:space="preserve"> We have </w:t>
      </w:r>
      <w:r w:rsidR="003265F6">
        <w:rPr>
          <w:b w:val="0"/>
          <w:color w:val="000000" w:themeColor="text1"/>
          <w:sz w:val="24"/>
          <w:szCs w:val="24"/>
        </w:rPr>
        <w:t>three</w:t>
      </w:r>
      <w:r w:rsidR="00A146FB">
        <w:rPr>
          <w:b w:val="0"/>
          <w:color w:val="000000" w:themeColor="text1"/>
          <w:sz w:val="24"/>
          <w:szCs w:val="24"/>
        </w:rPr>
        <w:t xml:space="preserve"> </w:t>
      </w:r>
      <w:r w:rsidR="003265F6">
        <w:rPr>
          <w:b w:val="0"/>
          <w:color w:val="000000" w:themeColor="text1"/>
          <w:sz w:val="24"/>
          <w:szCs w:val="24"/>
        </w:rPr>
        <w:t>a</w:t>
      </w:r>
      <w:r w:rsidR="00A146FB">
        <w:rPr>
          <w:b w:val="0"/>
          <w:color w:val="000000" w:themeColor="text1"/>
          <w:sz w:val="24"/>
          <w:szCs w:val="24"/>
        </w:rPr>
        <w:t>ims:</w:t>
      </w:r>
    </w:p>
    <w:p w14:paraId="48EBD4DA" w14:textId="77777777" w:rsidR="00A5659F" w:rsidRDefault="00A5659F" w:rsidP="00F937CC">
      <w:pPr>
        <w:pStyle w:val="Heading1"/>
        <w:numPr>
          <w:ilvl w:val="0"/>
          <w:numId w:val="0"/>
        </w:numPr>
        <w:rPr>
          <w:sz w:val="24"/>
          <w:szCs w:val="24"/>
        </w:rPr>
      </w:pPr>
    </w:p>
    <w:p w14:paraId="09DDBBDF" w14:textId="3DE658DC" w:rsidR="00E01BAB" w:rsidRPr="0046531B" w:rsidRDefault="00E01BAB" w:rsidP="00F937CC">
      <w:pPr>
        <w:pStyle w:val="Heading1"/>
        <w:numPr>
          <w:ilvl w:val="0"/>
          <w:numId w:val="0"/>
        </w:numPr>
        <w:rPr>
          <w:b w:val="0"/>
          <w:bCs/>
          <w:sz w:val="24"/>
          <w:szCs w:val="24"/>
        </w:rPr>
      </w:pPr>
      <w:r w:rsidRPr="0046531B">
        <w:rPr>
          <w:b w:val="0"/>
          <w:bCs/>
          <w:sz w:val="24"/>
          <w:szCs w:val="24"/>
        </w:rPr>
        <w:t xml:space="preserve">Aim 1. To test the hypothesis that the composite incidence of LOS, NEC, and/or death is significantly different in infants that receive EA and infants that receive placebo. </w:t>
      </w:r>
    </w:p>
    <w:p w14:paraId="403761EB" w14:textId="77777777" w:rsidR="00E01BAB" w:rsidRPr="0046531B" w:rsidRDefault="00E01BAB" w:rsidP="00E01BAB">
      <w:pPr>
        <w:pStyle w:val="Heading1"/>
        <w:numPr>
          <w:ilvl w:val="0"/>
          <w:numId w:val="0"/>
        </w:numPr>
        <w:ind w:left="720" w:hanging="720"/>
        <w:rPr>
          <w:b w:val="0"/>
          <w:bCs/>
          <w:sz w:val="24"/>
          <w:szCs w:val="24"/>
        </w:rPr>
      </w:pPr>
    </w:p>
    <w:p w14:paraId="1A7D19EE" w14:textId="706DE2F7" w:rsidR="00E01BAB" w:rsidRPr="0046531B" w:rsidRDefault="00E01BAB" w:rsidP="006632BA">
      <w:pPr>
        <w:rPr>
          <w:bCs/>
        </w:rPr>
      </w:pPr>
      <w:r w:rsidRPr="0046531B">
        <w:rPr>
          <w:bCs/>
        </w:rPr>
        <w:t>Aim 2. To test the hypothesis that fecal samples in the first month of life from infants</w:t>
      </w:r>
      <w:r w:rsidR="00F937CC" w:rsidRPr="0046531B">
        <w:rPr>
          <w:bCs/>
        </w:rPr>
        <w:t xml:space="preserve"> </w:t>
      </w:r>
      <w:r w:rsidRPr="0046531B">
        <w:rPr>
          <w:bCs/>
        </w:rPr>
        <w:t>receiving EA will contain lower diversity, higher abundance of pathogens, and</w:t>
      </w:r>
      <w:r w:rsidR="00A5659F" w:rsidRPr="0046531B">
        <w:rPr>
          <w:bCs/>
        </w:rPr>
        <w:t xml:space="preserve"> </w:t>
      </w:r>
      <w:r w:rsidRPr="0046531B">
        <w:rPr>
          <w:bCs/>
        </w:rPr>
        <w:t xml:space="preserve">lower abundance of commensal anaerobes than fecal samples from infants receiving placebo. </w:t>
      </w:r>
    </w:p>
    <w:p w14:paraId="4BC7582D" w14:textId="77777777" w:rsidR="00E01BAB" w:rsidRPr="0046531B" w:rsidRDefault="00E01BAB" w:rsidP="006632BA">
      <w:pPr>
        <w:rPr>
          <w:bCs/>
        </w:rPr>
      </w:pPr>
    </w:p>
    <w:p w14:paraId="3E2D3971" w14:textId="77777777" w:rsidR="00280A36" w:rsidRPr="006632BA" w:rsidRDefault="00E01BAB" w:rsidP="006632BA">
      <w:pPr>
        <w:rPr>
          <w:i/>
        </w:rPr>
      </w:pPr>
      <w:r w:rsidRPr="0046531B">
        <w:rPr>
          <w:bCs/>
        </w:rPr>
        <w:t>Aim 3</w:t>
      </w:r>
      <w:r w:rsidRPr="006632BA">
        <w:rPr>
          <w:b/>
        </w:rPr>
        <w:t>.</w:t>
      </w:r>
      <w:r w:rsidRPr="006632BA">
        <w:t xml:space="preserve"> (Exploratory) To identify microbial taxa associated with delayed or accelerated somatic growth (weekly weight and length z-scores) during the first month of life in infants receiving placebo or EA.</w:t>
      </w:r>
      <w:bookmarkStart w:id="3" w:name="_Toc496162131"/>
    </w:p>
    <w:p w14:paraId="19592742" w14:textId="77777777" w:rsidR="00280A36" w:rsidRPr="0016289C" w:rsidRDefault="00280A36" w:rsidP="00280A36">
      <w:pPr>
        <w:pStyle w:val="Heading1"/>
        <w:numPr>
          <w:ilvl w:val="0"/>
          <w:numId w:val="0"/>
        </w:numPr>
        <w:ind w:left="720" w:hanging="720"/>
        <w:rPr>
          <w:b w:val="0"/>
          <w:i/>
          <w:sz w:val="24"/>
          <w:szCs w:val="24"/>
        </w:rPr>
      </w:pPr>
    </w:p>
    <w:bookmarkEnd w:id="3"/>
    <w:p w14:paraId="77D843D0" w14:textId="700AB939" w:rsidR="00DF25D2" w:rsidRPr="00CA0CB1" w:rsidRDefault="00DF25D2" w:rsidP="00DF25D2">
      <w:pPr>
        <w:pStyle w:val="Heading1"/>
      </w:pPr>
      <w:r w:rsidRPr="00A01D71">
        <w:t>Background</w:t>
      </w:r>
    </w:p>
    <w:p w14:paraId="2139EA6E" w14:textId="77777777" w:rsidR="0006720A" w:rsidRDefault="0006720A" w:rsidP="0006720A">
      <w:pPr>
        <w:pStyle w:val="Heading1"/>
        <w:numPr>
          <w:ilvl w:val="0"/>
          <w:numId w:val="0"/>
        </w:numPr>
        <w:ind w:left="720"/>
      </w:pPr>
    </w:p>
    <w:p w14:paraId="5AC8F4EB" w14:textId="344A4B5C" w:rsidR="002B1A43" w:rsidRPr="0006720A" w:rsidRDefault="002B1A43" w:rsidP="00C01888">
      <w:pPr>
        <w:pStyle w:val="Heading1"/>
        <w:numPr>
          <w:ilvl w:val="0"/>
          <w:numId w:val="0"/>
        </w:numPr>
        <w:rPr>
          <w:b w:val="0"/>
          <w:sz w:val="24"/>
          <w:u w:val="single"/>
        </w:rPr>
      </w:pPr>
      <w:r w:rsidRPr="0006720A">
        <w:rPr>
          <w:b w:val="0"/>
          <w:sz w:val="24"/>
        </w:rPr>
        <w:t>Early onset sepsis (EOS) is a rare but morbid bloodstream infection that can occur in newborn infants during the first 3 days of life. Timely diagnosis of EOS is challenging in extremely low birthweight infants since there are no accepted biomarkers for the disease and because the clinical signs of EOS (e.g. respiratory failure) can overlap with common non-infectious physiologic derangements in preterm infants. As a result, the standard of care in many NICUs is to administer empiric antibiotics (EA) to preterm infants during the first 2-7 days of life or until a workup for EOS is complete</w:t>
      </w:r>
      <w:r w:rsidRPr="0006720A">
        <w:rPr>
          <w:b w:val="0"/>
          <w:sz w:val="24"/>
        </w:rPr>
        <w:fldChar w:fldCharType="begin"/>
      </w:r>
      <w:r w:rsidRPr="0006720A">
        <w:rPr>
          <w:b w:val="0"/>
          <w:sz w:val="24"/>
        </w:rPr>
        <w:instrText xml:space="preserve"> ADDIN ZOTERO_ITEM CSL_CITATION {"citationID":"jPZnwlIX","properties":{"formattedCitation":"\\super 9\\uc0\\u8211{}11\\nosupersub{}","plainCitation":"9–11","noteIndex":0},"citationItems":[{"id":4350,"uris":["http://zotero.org/users/1744593/items/WQT6F7HV"],"uri":["http://zotero.org/users/1744593/items/WQT6F7HV"],"itemData":{"id":4350,"type":"article-journal","title":"Patterns of Empiric Antibiotic Administration for Presumed Early-Onset Neonatal Sepsis in Neonatal Intensive Care Units in the United States","container-title":"American Journal of Perinatology","page":"640-647","volume":"34","issue":"07","source":"www-thieme-connect-de.pitt.idm.oclc.org","abstract":"&lt;p&gt; &lt;b&gt;Objective&lt;/b&gt; To evaluate current patterns in empiric antibiotic use for early-onset neonatal sepsis (EONS).&lt;/p&gt; &lt;p&gt; &lt;b&gt;Study Design&lt;/b&gt; Retrospective population-based cohort study of newborns admitted on postnatal day 0 to 1 and discharged from NICUs participating in the Pediatric Health Information System (PHIS 2006–2013). Analyses included frequency of antibiotic initiation within 3 days of birth, duration of first course, and variation among hospitals.&lt;/p&gt; &lt;p&gt; &lt;b&gt;Results&lt;/b&gt; Of 158,907 newborns, 118,624 (74.7%) received antibiotics on or before postnatal day 3. Within 3 days of treatment, 49.4% (&lt;i&gt;n&lt;/i&gt; = 58,610) were discharged home or remained hospitalized without antibiotics. There was marked interhospital variation in the proportion of infants receiving antibiotics (range: 52.3–90.9%, mean 77.9%, SD 11.0%) and in treatment days (range: 3.2–8.6, mean 5.3, SD 1.4). Facilities with higher number of newborns started on antibiotics had longer courses (&lt;i&gt;r&lt;/i&gt; = 0.643, &lt;i&gt;p &lt;/i&gt;&lt; 0.001). The cost of admissions for infants born at ≥35 weeks started on antibiotics and discharged home after no more than 3 days of antibiotics was $76,692,713.&lt;/p&gt; &lt;p&gt; &lt;b&gt;Conclusion&lt;/b&gt; Site variation in antibiotic utilization suggests antibiotic overtreatment of infants with culture unconfirmed EONS is common and costly.&lt;/p&gt;","DOI":"10.1055/s-0036-1596055","ISSN":"0735-1631, 1098-8785","journalAbbreviation":"Amer J Perinatol","language":"en","author":[{"family":"Oliver","given":"Emily A."},{"family":"Reagan","given":"Patricia B."},{"family":"Slaughter","given":"Jonathan L."},{"family":"Buhimschi","given":"Catalin S."},{"family":"Buhimschi","given":"Irina A."}],"issued":{"date-parts":[["2017",6]]}}},{"id":4398,"uris":["http://zotero.org/users/1744593/items/2JQ7GFEF"],"uri":["http://zotero.org/users/1744593/items/2JQ7GFEF"],"itemData":{"id":4398,"type":"article-journal","title":"Identification of Extremely Premature Infants at Low Risk for Early-Onset Sepsis","container-title":"Pediatrics","page":"e20170925","source":"pediatrics.aappublications.org","abstract":"BACKGROUND: Premature infants are at high risk of early-onset sepsis (EOS) relative to term infants, and most are administered empirical antibiotics after birth. We aimed to determine if factors evident at birth could be used to identify premature infants at lower risk of EOS.\nMETHODS: Study infants were born at 22 to 28 weeks’ gestation in Neonatal Research Network centers from 2006 to 2014. EOS was defined by isolation of pathogenic species from blood or cerebrospinal fluid culture at ≤72 hours age. Infants were hypothesized as “low risk” for EOS when delivered via cesarean delivery, with membrane rupture at delivery, and absence of clinical chorioamnionitis. Frequency of prolonged antibiotics (≥5 days) was compared between low-risk infants and all others. Risks of mortality, EOS, and other morbidities were assessed by using regression models adjusted for center, race, antenatal steroid use, multiple birth, sex, gestation, and birth weight.\nRESULTS: Of 15 433 infants, 5759 (37%) met low-risk criteria. EOS incidence among infants surviving &gt;12 hours was 29 out of 5640 (0.5%) in the low-risk group versus 209 out of 8422 (2.5%) in the comparison group (adjusted relative risk = 0.24 [95% confidence interval, 0.16–0.36]). Low-risk infants also had significantly lower combined risk of EOS or death ≤12 hours. Prolonged antibiotics were administered to 34% of low-risk infants versus 47% of comparison infants without EOS.\nCONCLUSIONS: Delivery characteristics of extremely preterm infants can be used to identify those with significantly lower incidence of EOS. Recognition of differential risk may help guide decisions to limit early antibiotic use among approximately one-third of these infants.","DOI":"10.1542/peds.2017-0925","ISSN":"0031-4005, 1098-4275","note":"PMID: 28982710","language":"en","author":[{"family":"Puopolo","given":"Karen M."},{"family":"Mukhopadhyay","given":"Sagori"},{"family":"Hansen","given":"Nellie I."},{"family":"Cotten","given":"C. Michael"},{"family":"Stoll","given":"Barbara J."},{"family":"Sanchez","given":"Pablo J."},{"family":"Bell","given":"Edward F."},{"family":"Das","given":"Abhik"},{"family":"Hensman","given":"Angelita M."},{"family":"Meurs","given":"Krisa P. Van"},{"family":"Wyckoff","given":"Myra H."},{"family":"Network","given":"on behalf of the NICHD Neonatal Research"}],"issued":{"date-parts":[["2017",10,5]]}}},{"id":2884,"uris":["http://zotero.org/users/1744593/items/MB2IP3AU"],"uri":["http://zotero.org/users/1744593/items/MB2IP3AU"],"itemData":{"id":2884,"type":"article-journal","title":"Adverse consequences of neonatal antibiotic exposure","container-title":"Current Opinion in Pediatrics","page":"141-149","volume":"28","issue":"2","source":"PubMed","abstract":"PURPOSE OF REVIEW: Antibiotics have not only saved lives and improved outcomes, but they also influence the evolving microbiome. This review summarizes reports on neonatal infections and variation in antibiotic utilization, discusses the emergence of resistant organisms, and presents data from human neonates and animal models demonstrating the impact of antibiotics on the microbiome, and how microbiome alterations impact health. The importance of antibiotic stewardship is also discussed.\nRECENT FINDINGS: Infections increase neonatal morbidity and mortality. Furthermore, the clinical presentation of infections can be subtle, prompting clinicians to empirically start antibiotics when infection is a possibility. Antibiotic-resistant infections are a growing problem. Cohort studies have identified extensive center variations in antibiotic usage and associations between antibiotic exposures and outcomes. Studies of antibiotic-induced microbiome alterations and downstream effects on the developing immune system have increased our understanding of the mechanisms underlying the associations between antibiotics and adverse outcomes. The emergence of resistant microorganisms and recent evidence linking antibiotic practice variations with health outcomes has led to the initiation of antibiotic stewardship programs.\nSUMMARY: The review encourages practitioners to assess local antibiotic use with regard to local microbiology, and to adopt steps to reduce infections and use antibiotics wisely.","DOI":"10.1097/MOP.0000000000000338","ISSN":"1531-698X","note":"PMID: 26886785\nPMCID: PMC4845665","journalAbbreviation":"Curr. Opin. Pediatr.","language":"eng","author":[{"family":"Cotten","given":"Charles M."}],"issued":{"date-parts":[["2016",4]]}}}],"schema":"https://github.com/citation-style-language/schema/raw/master/csl-citation.json"} </w:instrText>
      </w:r>
      <w:r w:rsidRPr="0006720A">
        <w:rPr>
          <w:b w:val="0"/>
          <w:sz w:val="24"/>
        </w:rPr>
        <w:fldChar w:fldCharType="separate"/>
      </w:r>
      <w:r w:rsidRPr="0006720A">
        <w:rPr>
          <w:b w:val="0"/>
          <w:color w:val="000000"/>
          <w:sz w:val="24"/>
          <w:vertAlign w:val="superscript"/>
        </w:rPr>
        <w:t>9–11</w:t>
      </w:r>
      <w:r w:rsidRPr="0006720A">
        <w:rPr>
          <w:b w:val="0"/>
          <w:sz w:val="24"/>
        </w:rPr>
        <w:fldChar w:fldCharType="end"/>
      </w:r>
      <w:r w:rsidRPr="0006720A">
        <w:rPr>
          <w:b w:val="0"/>
          <w:sz w:val="24"/>
        </w:rPr>
        <w:t>. Population-based studies have consistently shown that 80-90% of extremely low birthweight (ELBW) infants receive EA despite an EOS incidence of 2% or less</w:t>
      </w:r>
      <w:r w:rsidRPr="0006720A">
        <w:rPr>
          <w:b w:val="0"/>
          <w:sz w:val="24"/>
        </w:rPr>
        <w:fldChar w:fldCharType="begin"/>
      </w:r>
      <w:r w:rsidRPr="0006720A">
        <w:rPr>
          <w:b w:val="0"/>
          <w:sz w:val="24"/>
        </w:rPr>
        <w:instrText xml:space="preserve"> ADDIN ZOTERO_ITEM CSL_CITATION {"citationID":"UaQG59G1","properties":{"formattedCitation":"\\super 12\\uc0\\u8211{}14\\nosupersub{}","plainCitation":"12–14","noteIndex":0},"citationItems":[{"id":5940,"uris":["http://zotero.org/users/1744593/items/XB9R9CMT"],"uri":["http://zotero.org/users/1744593/items/XB9R9CMT"],"itemData":{"id":5940,"type":"article-journal","title":"Temporal Trends and Center Variation in Early Antibiotic Use Among Premature Infants","container-title":"JAMA Network Open","page":"e180164-e180164","volume":"1","issue":"1","source":"jamanetwork.com","abstract":"&lt;h3&gt;Importance&lt;/h3&gt;&lt;p&gt;Premature infants are frequently administered empirical antibiotic therapy at birth. Early and prolonged antibiotic exposures among infants without culture-confirmed infection have been associated with increased risk of adverse outcomes.&lt;/p&gt;&lt;h3&gt;Objective&lt;/h3&gt;&lt;p&gt;To examine early antibiotic use among premature infants over time and across hospitals in the United States.&lt;/p&gt;&lt;h3&gt;Design, Setting, and Participants&lt;/h3&gt;&lt;p&gt;This retrospective cohort study used a comprehensive administrative database of inpatient encounters from 297 academic and community hospitals across the United States to examine data concerning very low-birth-weight (VLBW) infants (&amp;lt;1500 g), including extremely low-birth-weight (ELBW) infants (&amp;lt;1000 g), who were admitted to the neonatal intensive care unit and survived for at least 1 day. Data collection took place in November 2015 and analysis took place from February 2016 to November 2016.&lt;/p&gt;&lt;h3&gt;Exposures&lt;/h3&gt;&lt;p&gt;Antibiotic initiation within the first 3 days of age and subsequent antibiotic administration for more than 5 days.&lt;/p&gt;&lt;h3&gt;Main Outcomes and Measures&lt;/h3&gt;&lt;p&gt;Temporal trends in early antibiotic initiation and duration from 2009 to 2015, and center variation in early antibiotic use from 2014 to 2015.&lt;/p&gt;&lt;h3&gt;Results&lt;/h3&gt;&lt;p&gt;We identified 40 364 VLBW infants (20 447 female [50.7%]) who survived for at least 1 day, including 12 947 ELBW infants, from 297 centers. The majority of premature infants had early antibiotic initiation (31 715 VLBW infants [78.6%] and 11 264 ELBW infants [87.0%]), and no differences were observed over time in temporal trend analyses (&lt;i&gt;P&lt;/i&gt; = .12 for VLBW and&lt;i&gt;P&lt;/i&gt; = .52 for ELBW). The annual risk difference in the proportion of VLBW infants administered early antibiotic therapy ranged from −0.75% (95% CI, −1.61% to 0.11%) to −0.87% (95% CI, −2.04% to 0.30%); in ELBW infants the annual risk difference ranged from −0.34% (95% CI, −1.28% to 0.61%) to −0.38% (95% CI, −1.61% to 0.85%). There was a small but significant decrease over time in the rate of prolonged antibiotic duration for VLBW infants (&lt;i&gt;P&lt;/i&gt; = .02), but not for ELBW infants (&lt;i&gt;P&lt;/i&gt; = .22). The annual risk difference in the proportion of VLBW infants with prolonged antibiotic duration ranged from −0.94% (95% CI, −1.65% to −0.23%) to −1.08% (95% CI, −2.00% to −0.16%); in ELBW infants the annual risk difference ranged from −0.72% (95% CI, −1.83% to 0.39%) to −0.75% (95% CI, −1.96% to 0.46%). We also observed variation in early antibiotic exposures across centers. Sixty-nine of 113 centers (61.1%) started antibiotic therapy for more than 75% of VLBW infants, and 56 of 66 centers (84.8%) started antibiotic therapy for more than 75% of ELBW infants. The proportion of VLBW and ELBW infants administered prolonged antibiotics ranged from 0% to 80.4% and 0% to 92.0% across centers, respectively.&lt;/p&gt;&lt;h3&gt;Conclusions and Relevance&lt;/h3&gt;&lt;p&gt;Most premature infants in this study received empirical early antibiotic therapy with little change over a recent 7-year period. The variability in exposure rates across centers, however, suggests that neonatal antimicrobial stewardship efforts are warranted to optimize antibiotic use for VLBW and ELBW infants.&lt;/p&gt;","DOI":"10.1001/jamanetworkopen.2018.0164","journalAbbreviation":"JAMA Network Open","language":"en","author":[{"family":"Flannery","given":"Dustin D."},{"family":"Ross","given":"Rachael K."},{"family":"Mukhopadhyay","given":"Sagori"},{"family":"Tribble","given":"Alison C."},{"family":"Puopolo","given":"Karen M."},{"family":"Gerber","given":"Jeffrey S."}],"issued":{"date-parts":[["2018",5,18]]}}},{"id":299,"uris":["http://zotero.org/users/1744593/items/9GFBAH98"],"uri":["http://zotero.org/users/1744593/items/9GFBAH98"],"itemData":{"id":299,"type":"article-journal","title":"Early Onset Neonatal Sepsis: The Burden of Group B Streptococcal and E. coli Disease Continues","container-title":"Pediatrics","page":"817-826","volume":"127","issue":"5","source":"pediatrics.aappublications.org","abstract":"BACKGROUND: Guidelines for prevention of group B streptococcal (GBS) infection have successfully reduced early onset (EO) GBS disease. Study results suggest that Escherichia coli is an important EO pathogen.\nOBJECTIVE: To determine EO infection rates, pathogens, morbidity, and mortality in a national network of neonatal centers.\nMETHODS: Infants with EO infection were identified by prospective surveillance at Eunice Kennedy Shriver National Institute of Child Health and Human Development Neonatal Network centers. Infection was defined by positive culture results for blood and cerebrospinal fluid obtained from infants aged ≤72 hours plus treatment with antibiotic therapy for ≥5 days. Mother and infant characteristics, treatments, and outcomes were studied. Numbers of cases and total live births (LBs) were used to calculate incidence.\nRESULTS: Among 396 586 LBs (2006–2009), 389 infants developed EO infection (0.98 cases per 1000 LBs). Infection rates increased with decreasing birth weight. GBS (43%, 0.41 per 1000 LBs) and E coli (29%, 0.28 per 1000 LBs) were most frequently isolated. Most infants with GBS were term (73%); 81% with E coli were preterm. Mothers of 67% of infected term and 58% of infected preterm infants were screened for GBS, and results were positive for 25% of those mothers. Only 76% of mothers with GBS colonization received intrapartum chemoprophylaxis. Although 77% of infected infants required intensive care, 20% of term infants were treated in the normal newborn nursery. Sixteen percent of infected infants died, most commonly with E coli infection (33%).\nCONCLUSION: In the era of intrapartum chemoprophylaxis to reduce GBS, rates of EO infection have declined but reflect a continued burden of disease. GBS remains the most frequent pathogen in term infants, and E coli the most significant pathogen in preterm infants. Missed opportunities for GBS prevention continue. Prevention of E coli sepsis, especially among preterm infants, remains a challenge.","DOI":"10.1542/peds.2010-2217","ISSN":"0031-4005, 1098-4275","note":"PMID: 21518717","shortTitle":"Early Onset Neonatal Sepsis","journalAbbreviation":"Pediatrics","language":"en","author":[{"family":"Stoll","given":"Barbara J."},{"family":"Hansen","given":"Nellie I."},{"family":"Sánchez","given":"Pablo J."},{"family":"Faix","given":"Roger G."},{"family":"Poindexter","given":"Brenda B."},{"family":"Meurs","given":"Krisa P. Van"},{"family":"Bizzarro","given":"Matthew J."},{"family":"Goldberg","given":"Ronald N."},{"family":"Frantz","given":"Ivan D."},{"family":"Hale","given":"Ellen C."},{"family":"Shankaran","given":"Seetha"},{"family":"Kennedy","given":"Kathleen"},{"family":"Carlo","given":"Waldemar A."},{"family":"Watterberg","given":"Kristi L."},{"family":"Bell","given":"Edward F."},{"family":"Walsh","given":"Michele C."},{"family":"Schibler","given":"Kurt"},{"family":"Laptook","given":"Abbot R."},{"family":"Shane","given":"Andi L."},{"family":"Schrag","given":"Stephanie J."},{"family":"Das","given":"Abhik"},{"family":"Higgins","given":"Rosemary D."}],"issued":{"date-parts":[["2011",5,1]]}}},{"id":550,"uris":["http://zotero.org/users/1744593/items/G75754CD"],"uri":["http://zotero.org/users/1744593/items/G75754CD"],"itemData":{"id":550,"type":"article-journal","title":"TRends in care practices, morbidity, and mortality of extremely preterm neonates, 1993-2012","container-title":"JAMA","page":"1039-1051","volume":"314","issue":"10","source":"Silverchair","abstract":"Importance \nExtremely preterm infants contribute disproportionately to neonatal morbidity and mortality.Objective\nTo review 20-year trends in maternal/neonatal care, complications, and mortality among extremely preterm infants born at Neonatal Research Network centers.Design, Setting, Participants\nProspective registry of 34 636 infants, 22 to 28 weeks’ gestation, birth weight of 401 to 1500 g, and born at 26 network centers between 1993 and 2012.Exposures\nExtremely preterm birth.Main Outcomes and Measures\nMaternal/neonatal care, morbidities, and survival. Major morbidities, reported for infants who survived more than 12 hours, were severe necrotizing enterocolitis, infection, bronchopulmonary dysplasia, severe intracranial hemorrhage, cystic periventricular leukomalacia, and/or severe retinopathy of prematurity. Regression models assessed yearly changes and were adjusted for study center, race/ethnicity, gestational age, birth weight for gestational age, and sex.Results\nUse of antenatal corticosteroids increased from 1993 to 2012 (24% [348 of 1431 infants]) to 87% (1674 of 1919 infants]; P &lt; .001), as did cesarean delivery (44% [625 of 1431 births] to 64% [1227 of 1921]; P &lt; .001). Delivery room intubation decreased from 80% (1144 of 1433 infants) in 1993 to 65% (1253 of 1922) in 2012 (P &lt; .001). After increasing in the 1990s, postnatal steroid use declined to 8% (141 of 1757 infants) in 2004 (P &lt; .001), with no significant change thereafter. Although most infants were ventilated, continuous positive airway pressure without ventilation increased from 7% (120 of 1666 infants) in 2002 to 11% (190 of 1756 infants) in 2012 (P &lt; .001). Despite no improvement from 1993 to 2004, rates of late-onset sepsis declined between 2005 and 2012 for infants of each gestational age (median, 26 weeks [37% {109 of 296} to 27% {85 of 320}]; adjusted relative risk [RR], 0.93 [95% CI, 0.92-0.94]). Rates of other morbidities declined, but bronchopulmonary dysplasia increased between 2009 and 2012 for infants at 26 to 27 weeks’ gestation (26 weeks, 50% [130 of 258] to 55% [164 of 297]; P &lt; .001). Survival increased between 2009 and 2012 for infants at 23 weeks’ gestation (27% [41 of 152] to 33% [50 of 150]; adjusted RR, 1.09 [95% CI, 1.05-1.14]) and 24 weeks (63% [156 of 248] to 65% [174 of 269]; adjusted RR, 1.05 [95% CI, 1.03-1.07]), with smaller relative increases for infants at 25 and 27 weeks’ gestation, and no change for infants at 22, 26, and 28 weeks’ gestation. Survival without major morbidity increased approximately 2% per year for infants at 25 to 28 weeks’ gestation, with no change for infants at 22 to 24 weeks’ gestation.Conclusions and Relevance\nAmong extremely preterm infants born at US academic centers over the last 20 years, changes in maternal and infant care practices and modest reductions in several morbidities were observed, although bronchopulmonary dysplasia increased. Survival increased most markedly for infants born at 23 and 24 weeks’ gestation and survival without major morbidity increased for infants aged 25 to 28 weeks. These findings may be valuable in counseling families and developing novel interventions.Trial Registration\nclinicaltrials.gov Identifier: NCT00063063.","DOI":"10.1001/jama.2015.10244","ISSN":"0098-7484","journalAbbreviation":"JAMA","author":[{"literal":"Stoll BJ"},{"literal":"Hansen NI"},{"literal":"Bell EF"},{"literal":"et al"}],"issued":{"date-parts":[["2015",9,8]]}}}],"schema":"https://github.com/citation-style-language/schema/raw/master/csl-citation.json"} </w:instrText>
      </w:r>
      <w:r w:rsidRPr="0006720A">
        <w:rPr>
          <w:b w:val="0"/>
          <w:sz w:val="24"/>
        </w:rPr>
        <w:fldChar w:fldCharType="separate"/>
      </w:r>
      <w:r w:rsidRPr="0006720A">
        <w:rPr>
          <w:b w:val="0"/>
          <w:color w:val="000000"/>
          <w:sz w:val="24"/>
          <w:vertAlign w:val="superscript"/>
        </w:rPr>
        <w:t>12–14</w:t>
      </w:r>
      <w:r w:rsidRPr="0006720A">
        <w:rPr>
          <w:b w:val="0"/>
          <w:sz w:val="24"/>
        </w:rPr>
        <w:fldChar w:fldCharType="end"/>
      </w:r>
      <w:r w:rsidRPr="0006720A">
        <w:rPr>
          <w:b w:val="0"/>
          <w:sz w:val="24"/>
        </w:rPr>
        <w:t>.</w:t>
      </w:r>
    </w:p>
    <w:p w14:paraId="26754F9A" w14:textId="77777777" w:rsidR="002B1A43" w:rsidRDefault="002B1A43" w:rsidP="002B1A43">
      <w:pPr>
        <w:pStyle w:val="Heading1"/>
        <w:numPr>
          <w:ilvl w:val="0"/>
          <w:numId w:val="0"/>
        </w:numPr>
        <w:ind w:left="720" w:hanging="720"/>
      </w:pPr>
    </w:p>
    <w:p w14:paraId="6A68B80E" w14:textId="672C3836" w:rsidR="002B1A43" w:rsidRPr="00B55F83" w:rsidRDefault="002B1A43" w:rsidP="004C4EEB">
      <w:pPr>
        <w:pStyle w:val="Heading1"/>
        <w:numPr>
          <w:ilvl w:val="0"/>
          <w:numId w:val="0"/>
        </w:numPr>
        <w:rPr>
          <w:b w:val="0"/>
          <w:sz w:val="24"/>
        </w:rPr>
      </w:pPr>
      <w:r w:rsidRPr="00B55F83">
        <w:rPr>
          <w:b w:val="0"/>
          <w:sz w:val="24"/>
        </w:rPr>
        <w:t>It is increasingly recognized that adverse effects of antibiotics extend beyond the well-recognized problem of antibiotic resistance to include unintended clinical consequences related to eradication of the human microbiota. Several recent studies in preterm infants have identified associations between early antibiotic exposure and adverse events including necrotizing enterocolitis (NEC) and late onset sepsis (LOS)</w:t>
      </w:r>
      <w:r w:rsidRPr="00B55F83">
        <w:rPr>
          <w:b w:val="0"/>
          <w:sz w:val="24"/>
        </w:rPr>
        <w:fldChar w:fldCharType="begin"/>
      </w:r>
      <w:r w:rsidRPr="00B55F83">
        <w:rPr>
          <w:b w:val="0"/>
          <w:sz w:val="24"/>
        </w:rPr>
        <w:instrText xml:space="preserve"> ADDIN ZOTERO_ITEM CSL_CITATION {"citationID":"cIBqm9cn","properties":{"formattedCitation":"\\super 15\\uc0\\u8211{}24\\nosupersub{}","plainCitation":"15–24","noteIndex":0},"citationItems":[{"id":706,"uris":["http://zotero.org/users/1744593/items/KHF7E35U"],"uri":["http://zotero.org/users/1744593/items/KHF7E35U"],"itemData":{"id":706,"type":"article-journal","title":"Prolonged Initial Empirical Antibiotic Treatment is Associated with Adverse Outcomes in Premature Infants","container-title":"The Journal of Pediatrics","page":"720–725","volume":"159","issue":"5","author":[{"family":"Kuppala","given":"Venkata S"},{"family":"Meinzen-Derr","given":"Jareen"},{"family":"Morrow","given":"Ardythe L"},{"family":"Schibler","given":"Kurt R"}],"issued":{"date-parts":[["2011",11]]}}},{"id":823,"uris":["http://zotero.org/users/1744593/items/PHBJQHCG"],"uri":["http://zotero.org/users/1744593/items/PHBJQHCG"],"itemData":{"id":823,"type":"article-journal","title":"Prolonged Duration of Initial Empirical Antibiotic Treatment Is Associated With Increased Rates of Necrotizing Enterocolitis and Death for Extremely Low Birth Weight Infants","container-title":"PEDIATRICS","page":"58–66","volume":"123","issue":"1","author":[{"family":"Cotten","given":"C M"},{"family":"Taylor","given":"S"},{"family":"Stoll","given":"B"},{"family":"Goldberg","given":"R N"},{"family":"Hansen","given":"N I"},{"family":"Sanchez","given":"P J"},{"family":"Ambalavanan","given":"N"},{"family":"Benjamin","given":"D K"},{"family":"Network","given":"for the NICHD Neonatal Research"}],"issued":{"date-parts":[["2009",1]]}}},{"id":3519,"uris":["http://zotero.org/users/1744593/items/9QCJQDT2"],"uri":["http://zotero.org/users/1744593/items/9QCJQDT2"],"itemData":{"id":3519,"type":"article-journal","title":"Association of Red Blood Cell Transfusion, Anemia, and Necrotizing Enterocolitis in Very Low-Birth-Weight Infants","container-title":"JAMA","page":"889-897","volume":"315","issue":"9","source":"jamanetwork.com","abstract":"This cohort study examines the association between red blood cell transfusion, severe neonatal anemia, and necrotizing enterocolitis among very low-birth-weight infants during the first 90 days of life.","DOI":"10.1001/jama.2016.1204","ISSN":"0098-7484","journalAbbreviation":"JAMA","author":[{"family":"Patel","given":"Ravi M."},{"family":"Knezevic","given":"Andrea"},{"family":"Shenvi","given":"Neeta"},{"family":"Hinkes","given":"Michael"},{"family":"Keene","given":"Sarah"},{"family":"Roback","given":"John D."},{"family":"Easley","given":"Kirk A."},{"family":"Josephson","given":"Cassandra D."}],"issued":{"date-parts":[["2016",3,1]]}}},{"id":2963,"uris":["http://zotero.org/users/1744593/items/HHGD2JX4"],"uri":["http://zotero.org/users/1744593/items/HHGD2JX4"],"itemData":{"id":2963,"type":"article-journal","title":"Prolonged exposure to antibiotics and its associations in extremely preterm neonates--the Western Australian experience","container-title":"The Journal of Maternal-Fetal &amp; Neonatal Medicine: The Official Journal of the European Association of Perinatal Medicine, the Federation of Asia and Oceania Perinatal Societies, the International Society of Perinatal Obstetricians","page":"1710-1714","volume":"26","issue":"17","source":"PubMed","abstract":"BACKGROUND: Prolonged exposure to antibiotics (PEA) is associated with increased risk of necrotising enterocolitis (NEC), late onset sepsis (LOS) and death in preterm neonates.\nAIM: To evaluate PEA (≥4 d) for suspected (blood culture negative) sepsis and its association with NEC, LOS and death in extremely preterm (EP: Gestation &lt;28 weeks) neonates.\nMETHODS: Data on demographic characteristics, antibiotic exposure for early onset sepsis (EOS) or LOS and outcomes to discharge/death were collected for 216 EP neonates admitted between 1/1/2009 and 31/12/2010.\nRESULTS: All 216 neonates received antibiotics for suspected EOS; 120/216 (56%) had PEA. 137/216 who survived first 72 h of life, had suspected LOS [range 1-8 episodes], treated with antibiotics for median (IQR) duration of 8 (5-14) days. 89/216 had proven (blood culture positive) LOS [range 1-3 episodes], treated with antibiotics for median (IQR) duration of 10 (7-18) days. The incidence of and death due to ≥Stage II NEC was 17/216 (7.8%) and 5/17 (29.4%) respectively. PEA for suspected EOS was associated with proven LOS (OR: 2.1, 95% CI: 1.2-3.7, p = 0.013) after adjusting for gestation and IUGR, but not with NEC/death.\nCONCLUSION: PEA for ≥4 d for suspected EOS was associated with increased odds for proven LOS.","DOI":"10.3109/14767058.2013.791274","ISSN":"1476-4954","note":"PMID: 23565836","journalAbbreviation":"J. Matern. Fetal. Neonatal. Med.","language":"eng","author":[{"family":"Shah","given":"P."},{"family":"Nathan","given":"E."},{"family":"Doherty","given":"D."},{"family":"Patole","given":"S."}],"issued":{"date-parts":[["2013",11]]}}},{"id":3831,"uris":["http://zotero.org/users/1744593/items/WASB72FD"],"uri":["http://zotero.org/users/1744593/items/WASB72FD"],"itemData":{"id":3831,"type":"article-journal","title":"Antibiotic Exposure in the Newborn Intensive Care Unit and the Risk of Necrotizing Enterocolitis","container-title":"The Journal of pediatrics","page":"392-397","volume":"159","issue":"3","source":"PubMed Central","abstract":"Objective\nTo determine if duration of antibiotic exposure is an independent risk factor for necrotizing enterocolitis (NEC)\n\nStudy design\nA retrospective, 2:1 control-case analysis was conducted comparing neonates with NEC to those without from 2000 through 2008. Controls were matched on gestational age, birth weight, and birth year. In each matched triad, demographic and risk factor data were collected from birth until the diagnosis of NEC in the case subject. Bivariate and multivariate analyses were utilized to assess associations between risk factors and NEC.\n\nResults\n124 cases of NEC were matched with 248 controls. Cases were less likely to have respiratory distress syndrome (p=0.018) and more likely to reach full enteral feeding (p=0.028) than controls. Cases were more likely to have culture-proven sepsis (p&lt;0.0001). Given the association between sepsis and antibiotic use, we tested for and found a significant interaction between the two variables (p=0.001). When neonates with sepsis were removed from the cohort, the risk of NEC increased significantly with duration of antibiotic exposure. Exposure for &gt;10 days resulted in a nearly three-fold increase in the risk of developing NEC\n\nConclusions\nDuration of antibiotic exposure is associated with an increased risk of NEC among neonates without prior sepsis.","DOI":"10.1016/j.jpeds.2011.02.035","ISSN":"0022-3476","note":"PMID: 21489560\nPMCID: PMC3137655","journalAbbreviation":"J Pediatr","author":[{"family":"Alexander","given":"Vanaja N."},{"family":"Northrup","given":"Veronika"},{"family":"Bizzarro","given":"Matthew J."}],"issued":{"date-parts":[["2011",9]]}}},{"id":3217,"uris":["http://zotero.org/users/1744593/items/PKFJFZTQ"],"uri":["http://zotero.org/users/1744593/items/PKFJFZTQ"],"itemData":{"id":3217,"type":"article-journal","title":"Association Between Antibiotic Use and Neonatal Mortality and Morbidities in Very Low-Birth-Weight Infants Without Culture-Proven Sepsis or Necrotizing Enterocolitis","container-title":"JAMA pediatrics","source":"PubMed","abstract":"Importance: Excessive antibiotic use has been associated with altered bacterial colonization and may result in antibiotic resistance, fungemia, necrotizing enterocolitis (NEC), and mortality. Exploring the association between antibiotic exposure and neonatal outcomes other than infection-related morbidities may provide insight on the importance of rational antibiotic use, especially in the setting of culture-negative neonatal sepsis.\nObjective: To evaluate the trend of antibiotic use among all hospitalized very low-birth-weight (VLBW) infants across Canada and the association between antibiotic use rates (AURs) and mortality and morbidity among neonates without culture-proven sepsis or NEC.\nDesign, Setting, and Participants: A retrospective cohort study was conducted among VLBW infants (&lt;1500 g) admitted to level III neonatal intensive care units between January 1, 2010, and December 31, 2014, using data obtained from the Canadian Neonatal Network database.\nExposure: Duration of antibiotic use during the hospitalization period.\nMain Outcomes and Measures: The AUR was defined as the number of days an infant was exposed to 1 or more antimicrobial agents divided by the total length of hospital stay. The composite primary outcome was defined as mortality or major morbidity, including any of the following: persistent periventricular echogenicity or echolucency on neuroimaging, chronic lung disease, and stage 3 or higher retinopathy of prematurity. Multivariable regression analysis was used to calculate adjusted odds ratios (aORs) and 95% CIs for the association between AURs and outcomes.\nResults: Among 13 738 eligible VLBW infants, 11 669 (84.9%) (mean [SD] gestational age, 27.7 [2.5] weeks; 47.4% female) received antibiotics during their hospital course and were included in the study. The annual AUR decreased from 0.29 in 2010 to 0.25 in 2014 (slope for the best-fit line, -0.011; 95% CI, -0.016 to -0.006; P &lt; .01), which occurred in parallel with a reduction in the rate of late-onset sepsis from 19.0% in 2010 to 13.8% in 2014 during the same period. Of the 11 669 infants who were treated with antibiotics of varying duration during their hospital stay, 2845 were diagnosed as having sepsis-related complications. Among the remaining 8824 infants without early-onset sepsis, late-onset sepsis, or NEC, a 10% increase in the AUR was associated with an increased odds of the primary composite outcome (aOR, 1.18; 95% CI, 1.13-1.23), mortality (aOR, 2.04; 95% CI, 1.87-2.21), and stage 3 or higher retinopathy of prematurity (aOR, 1.18; 95% CI, 1.06-1.32).\nConclusions and Relevance: Antibiotic use in VLBW infants decreased between 2010 and 2014 in Canada. However, among infants without culture-proven sepsis or without NEC, higher AURs were associated with adverse neonatal outcomes.","DOI":"10.1001/jamapediatrics.2016.2132","ISSN":"2168-6211","note":"PMID: 27775765","journalAbbreviation":"JAMA Pediatr","language":"ENG","author":[{"family":"Ting","given":"Joseph Y."},{"family":"Synnes","given":"Anne"},{"family":"Roberts","given":"Ashley"},{"family":"Deshpandey","given":"Akhil"},{"family":"Dow","given":"Kimberly"},{"family":"Yoon","given":"Eugene W."},{"family":"Lee","given":"Kyong-Soon"},{"family":"Dobson","given":"Simon"},{"family":"Lee","given":"Shoo K."},{"family":"Shah","given":"Prakesh S."},{"literal":"Canadian Neonatal Network Investigators"}],"issued":{"date-parts":[["2016",10,24]]}}},{"id":6090,"uris":["http://zotero.org/users/1744593/items/2ETHSY2G"],"uri":["http://zotero.org/users/1744593/items/2ETHSY2G"],"itemData":{"id":6090,"type":"article-journal","title":"Prolonged use of antibiotics after birth is associated with increased morbidity in preterm infants with negative cultures","container-title":"The Journal of Maternal-Fetal &amp; Neonatal Medicine: The Official Journal of the European Association of Perinatal Medicine, the Federation of Asia and Oceania Perinatal Societies, the International Society of Perinatal Obstetricians","page":"1-7","source":"PubMed","abstract":"BACKGROUND: Most preterm infants are exposed to a variable duration of antibiotic therapy after birth despite negative cultures. Data is emerging about the risks of prolonged antibiotics. We sought to assess the association between length of initial antibiotic course and neonatal outcomes in a cohort from a single large perinatal center.\nMETHODS: Retrospective cohort study of prospectively collected data on all infants with a birth weight of less than 1250 g hospitalized in our NICU in a 4 year window and who had negative blood and CSF cultures in the first 2 days of life. The primary outcome is a composite of necrotizing enterocolitis (NEC), late onset sepsis (LOS) and death evaluated using multivariable regression analysis.\nRESULTS: A total of 620 infants less than 1250 g with negative cultures were eligible for study over a 4 year period. The 238 infants with more than 5 days initial antibiotic use were significantly smaller and of lower gestational age than the 382 infants who received up to 5 days of antibiotics. Their mothers had more clinical chorioamnionitis, less maternal hypertension and greater perinatal use of antibiotics. On multivariate analysis, infants who received empiric antibiotics for longer than 5 days had higher rates of neonatal morbidities after adjusting for gestational age, SNAP II, small-for-gestational age status, gender, maternal hypertension, prenatal steroid treatment, clinical chorioamnionitis, intrapartum antibiotic treatment, and multiple births. Composite outcome OR: 1.83 (1.15 to 2.92), LOS OR: 2.02 (1.20 to 3.39), bronchopulmonary dysplasia OR: 1.58 (1.04 to 2.29). Mortality and NEC were not significantly different.\nCONCLUSION: More than 5 days of antibiotic treatment in very preterm infants with negative cultures was associated with increased morbidity in our population, and that included BPD. It is of note that patterns of increased morbidity and/or mortality differ between studies. Prospective trials of clinical protocols for starting and stopping antibiotics in the very preterm infants are required.","DOI":"10.1080/14767058.2018.1481042","ISSN":"1476-4954","note":"PMID: 29792103","journalAbbreviation":"J. Matern. Fetal. Neonatal. Med.","language":"eng","author":[{"family":"Fajardo","given":"Carlos"},{"family":"Alshaikh","given":"Belal"},{"family":"Harabor","given":"Andrei"}],"issued":{"date-parts":[["2018",6,12]]}}},{"id":6195,"uris":["http://zotero.org/users/1744593/items/M2YB6IW9"],"uri":["http://zotero.org/users/1744593/items/M2YB6IW9"],"itemData":{"id":6195,"type":"article-journal","title":"Antibiotic exposure and development of necrotizing enterocolitis in very preterm neonates","container-title":"Paediatrics &amp; Child Health","page":"e56-e61","volume":"23","issue":"4","source":"academic.oup.com","abstract":"AbstractObjective.  To examine the association between the duration of antibiotic exposure and development of stage 2 or 3 necrotizing enterocolitis (NEC) in ve","DOI":"10.1093/pch/pxx169","ISSN":"1205-7088","journalAbbreviation":"Paediatr Child Health","language":"en","author":[{"family":"Esmaeilizand","given":"Rana"},{"family":"Shah","given":"Prakesh S."},{"family":"Seshia","given":"Mary"},{"family":"Yee","given":"Wendy"},{"family":"Yoon","given":"Eugene W."},{"family":"Dow","given":"Kimberly"},{"family":"Shah","given":"Prakesh S."},{"family":"Harrison","given":"Adele"},{"family":"Synnes","given":"Anne"},{"family":"Sokoran","given":"Todd"},{"family":"Yee","given":"Wendy"},{"family":"Aziz","given":"Khalid"},{"family":"Kalapesi","given":"Zarin"},{"family":"Sankaran","given":"Koravangattu"},{"family":"Seshia","given":"Mary"},{"family":"Alvaro","given":"Ruben"},{"family":"Shivananda","given":"Sandesh"},{"family":"Da Silva","given":"Orlando"},{"family":"Nwaesei","given":"Chuks"},{"family":"Lee","given":"Kyong-Soon"},{"family":"Dunn","given":"Michael"},{"family":"Rouvinez-Bouali","given":"Nicole"},{"family":"Dow","given":"Kimberly"},{"family":"Pelausa","given":"Ermelinda"},{"family":"Barrington","given":"Keith"},{"family":"Drolet","given":"Christine"},{"family":"Riley","given":"Patricia"},{"family":"Bertelle","given":"Valerie"},{"family":"Canning","given":"Rody"},{"family":"Bulleid","given":"Barbara"},{"family":"Ojah","given":"Cecil"},{"family":"Monterrosa","given":"Luis"},{"family":"Deshpandey","given":"Akhil"},{"family":"Afifi","given":"Jehier"},{"family":"Kajetanowicz","given":"Andrzej"},{"family":"Lee","given":"Shoo K."}],"issued":{"date-parts":[["2018",6,12]]}}},{"id":5641,"uris":["http://zotero.org/users/1744593/items/2WX5L6UN"],"uri":["http://zotero.org/users/1744593/items/2WX5L6UN"],"itemData":{"id":5641,"type":"article-journal","title":"Association of Antibiotic Utilization and Neurodevelopmental Outcomes among Extremely Low Gestational Age Neonates without Proven Sepsis or Necrotizing Enterocolitis","container-title":"American Journal of Perinatology","source":"PubMed","abstract":"OBJECTIVE: The objective is to evaluate the association between antibiotic utilization and neurodevelopmental outcomes at 18 to 21 months' corrected age among extremely low gestational age neonates without culture-proven sepsis or necrotizing enterocolitis (NEC).\nSTUDY DESIGN: We conducted a retrospective cohort study of infants born between April 2009 and September 2011 at &lt;29 weeks' gestation and admitted to the neonatal intensive care units contributing data to the Canadian Neonatal Network. Multivariable analysis was performed to examine the primary composite outcome of death or significant neurodevelopmental impairment (sNDI) in infants with various antibiotic utilization rates (AURs).\nRESULT: There were 1,373 infants who fulfilled our inclusion criteria. Compared with infants in the lowest AUR quartile (Q1), those in the highest quartile (Q4) had higher odds of death or sNDI (adjusted odds ratio [AOR] = 7.44; 95% confidence interval [CI]: 4.55, 12.2) and death (AOR = 39.3; 95% CI: 16.1, 95.9).\nCONCLUSION: Our results indicate an association between high AUR and a composite outcome of death or adverse neurodevelopmental outcomes at 18 to 21 months' corrected age.","DOI":"10.1055/s-0038-1632390","ISSN":"1098-8785","note":"PMID: 29475201","journalAbbreviation":"Am J Perinatol","language":"eng","author":[{"family":"Ting","given":"Joseph Y."},{"family":"Synnes","given":"Anne"},{"family":"Roberts","given":"Ashley"},{"family":"Deshpandey","given":"Akhil C."},{"family":"Dow","given":"Kimberly"},{"family":"Yang","given":"Junmin"},{"family":"Lee","given":"Kyong-Soon"},{"family":"Lee","given":"Shoo K."},{"family":"Shah","given":"Prakesh S."},{"literal":"Canadian Neonatal Network and Canadian Neonatal Follow-Up Network"}],"issued":{"date-parts":[["2018",2,23]]}}},{"id":6220,"uris":["http://zotero.org/users/1744593/items/CKNCAF5Y"],"uri":["http://zotero.org/users/1744593/items/CKNCAF5Y"],"itemData":{"id":6220,"type":"article-journal","title":"Early Antibiotic Exposure and Adverse Outcomes in Preterm, Very Low Birth Weight Infants","container-title":"The Journal of Pediatrics","source":"PubMed","abstract":"OBJECTIVES: To determine whether antibiotic use in the first 14 postnatal days in preterm, very low birth weight (birth weight of ≤1500 g) infants is associated with risk after 14 days of age for late-onset sepsis, necrotizing enterocolitis (NEC), or death after controlling for severity of illness using the Clinical Risk Index in Babies II score, and determine whether duration of antibiotic exposure was associated with risk of adverse outcomes.\nSTUDY DESIGN: This retrospective cohort study included very low birth weight infants born at ≤326/7 weeks of gestation admitted to the neonatal intensive care unit from September 2010 to June 2014. Infants were excluded if they had major congenital anomalies or culture-proven sepsis, NEC, or death during the first 14 days of life. Antibiotic exposure was recorded as days of therapy and length of therapy in days.\nRESULTS: Of 374 infants, 70 (19%) had late-onset sepsis, NEC, or death after 14 days of age. The median number of antibiotic days of therapy and length of therapy were 5.5 and 3.0, respectively. In multivariate analysis after controlling for severity of illness, each antibiotic day of therapy was associated with a 1.24 times increased risk of sepsis, NEC, or death (OR, 1.24; 95% CI, 1.17-1.31). Risk was similar when length of therapy was used (OR, 1.47; 95% CI, 1.32-1.64).\nCONCLUSIONS: After controlling for severity of illness, each day of antibiotic therapy provided to preterm, very low birth weight infants in the first 2 weeks of age is associated with an increased risk of late-onset sepsis, NEC, or death.","DOI":"10.1016/j.jpeds.2018.07.036","ISSN":"1097-6833","note":"PMID: 30172430","journalAbbreviation":"J. Pediatr.","language":"eng","author":[{"family":"Cantey","given":"Joseph B."},{"family":"Pyle","given":"Alaina K."},{"family":"Wozniak","given":"Phillip S."},{"family":"Hynan","given":"Linda S."},{"family":"Sánchez","given":"Pablo J."}],"issued":{"date-parts":[["2018",8,29]]}}}],"schema":"https://github.com/citation-style-language/schema/raw/master/csl-citation.json"} </w:instrText>
      </w:r>
      <w:r w:rsidRPr="00B55F83">
        <w:rPr>
          <w:b w:val="0"/>
          <w:sz w:val="24"/>
        </w:rPr>
        <w:fldChar w:fldCharType="separate"/>
      </w:r>
      <w:r w:rsidRPr="00B55F83">
        <w:rPr>
          <w:b w:val="0"/>
          <w:color w:val="000000"/>
          <w:sz w:val="24"/>
          <w:vertAlign w:val="superscript"/>
        </w:rPr>
        <w:t>15–24</w:t>
      </w:r>
      <w:r w:rsidRPr="00B55F83">
        <w:rPr>
          <w:b w:val="0"/>
          <w:sz w:val="24"/>
        </w:rPr>
        <w:fldChar w:fldCharType="end"/>
      </w:r>
      <w:r w:rsidRPr="00B55F83">
        <w:rPr>
          <w:b w:val="0"/>
          <w:sz w:val="24"/>
        </w:rPr>
        <w:t xml:space="preserve">. For these reasons, antibiotic stewardship initiatives have been widely adopted in NICUs and indeed they have successfully reduced the </w:t>
      </w:r>
      <w:r w:rsidRPr="00B55F83">
        <w:rPr>
          <w:b w:val="0"/>
          <w:sz w:val="24"/>
          <w:u w:val="single"/>
        </w:rPr>
        <w:t>length</w:t>
      </w:r>
      <w:r w:rsidRPr="00B55F83">
        <w:rPr>
          <w:b w:val="0"/>
          <w:sz w:val="24"/>
        </w:rPr>
        <w:t xml:space="preserve"> of EA therapy – however nearly all ELBW infants continue to receive at least a short course of EA at birth.  It is generally accepted that published guidelines on the subject are outdated</w:t>
      </w:r>
      <w:r w:rsidRPr="00B55F83">
        <w:rPr>
          <w:b w:val="0"/>
          <w:sz w:val="24"/>
        </w:rPr>
        <w:fldChar w:fldCharType="begin"/>
      </w:r>
      <w:r w:rsidRPr="00B55F83">
        <w:rPr>
          <w:b w:val="0"/>
          <w:sz w:val="24"/>
        </w:rPr>
        <w:instrText xml:space="preserve"> ADDIN ZOTERO_ITEM CSL_CITATION {"citationID":"2w6edzT3","properties":{"formattedCitation":"\\super 25\\nosupersub{}","plainCitation":"25","noteIndex":0},"citationItems":[{"id":6087,"uris":["http://zotero.org/users/1744593/items/BEA2MPD2"],"uri":["http://zotero.org/users/1744593/items/BEA2MPD2"],"itemData":{"id":6087,"type":"article-journal","title":"What's the harm? Risks and benefits of evolving rule-out sepsis practices","container-title":"Journal of Perinatology: Official Journal of the California Perinatal Association","page":"614-622","volume":"38","issue":"6","source":"PubMed","abstract":"Asymptomatic term and late-preterm newborns with risk factors for early onset sepsis commonly undergo laboratory evaluation and receive empiric antibiotic therapy. Some have challenged the rationale for current \"rule-out sepsis\" practices, arguing that they lead to unnecessary overtreatment and healthcare costs. A series of recent clinical studies has explored scheduled serial observations as an alternative to laboratory testing and empiric antibiotics for asymptomatic newborns with historical risk factors for sepsis. These studies have shared the conclusion that serial observation is safe and cost-effective for well-appearing term and late-preterm babies, but they are also somewhat speculative because culture-proven early onset sepsis is an extremely low prevalence diagnosis. Here, we review the evolving consensus of optimal rule-out sepsis practices. We examine chorioamnionitis as an example of a problematic risk factor that has contributed to the controversy surrounding this topic. We also discuss how introduction of online sepsis risk calculators has allowed more precise delineation of a patient's chances of developing culture-proven infection. Finally, we analyze existing data from published studies to estimate the number needed to harm (NNH) when an observation-based strategy is used instead of a risk-based approach. We conclude that, if harm is defined as death or serious sepsis complications such as hemodynamic instability or neurologic injury, the NNH is 1610, compared to an NNH of 7 and 2.9 for IV infiltrates and delayed breastfeeding, respectively-two common and potentially consequential complications of NICU admission for a rule-out sepsis. We believe that the differential between risk of serious harm from observing a well-appearing term or late-preterm newborn with risk factors for sepsis and the risk of less significant but common NICU complications argues in favor of the ongoing trend toward less aggressive management of newborns with sepsis risks.","DOI":"10.1038/s41372-018-0081-3","ISSN":"1476-5543","note":"PMID: 29483569","shortTitle":"What's the harm?","journalAbbreviation":"J Perinatol","language":"eng","author":[{"family":"Hooven","given":"Thomas A."},{"family":"Randis","given":"Tara M."},{"family":"Polin","given":"Richard A."}],"issued":{"date-parts":[["2018",6]]}}}],"schema":"https://github.com/citation-style-language/schema/raw/master/csl-citation.json"} </w:instrText>
      </w:r>
      <w:r w:rsidRPr="00B55F83">
        <w:rPr>
          <w:b w:val="0"/>
          <w:sz w:val="24"/>
        </w:rPr>
        <w:fldChar w:fldCharType="separate"/>
      </w:r>
      <w:r w:rsidRPr="00B55F83">
        <w:rPr>
          <w:b w:val="0"/>
          <w:color w:val="000000"/>
          <w:sz w:val="24"/>
          <w:vertAlign w:val="superscript"/>
        </w:rPr>
        <w:t>25</w:t>
      </w:r>
      <w:r w:rsidRPr="00B55F83">
        <w:rPr>
          <w:b w:val="0"/>
          <w:sz w:val="24"/>
        </w:rPr>
        <w:fldChar w:fldCharType="end"/>
      </w:r>
      <w:r w:rsidRPr="00B55F83">
        <w:rPr>
          <w:b w:val="0"/>
          <w:sz w:val="24"/>
        </w:rPr>
        <w:t>, and therefore it is not surprising that EA practice patterns (e.g. length of therapy) vary wildly among providers and across centers</w:t>
      </w:r>
      <w:r w:rsidRPr="00B55F83">
        <w:rPr>
          <w:b w:val="0"/>
          <w:sz w:val="24"/>
        </w:rPr>
        <w:fldChar w:fldCharType="begin"/>
      </w:r>
      <w:r w:rsidRPr="00B55F83">
        <w:rPr>
          <w:b w:val="0"/>
          <w:sz w:val="24"/>
        </w:rPr>
        <w:instrText xml:space="preserve"> ADDIN ZOTERO_ITEM CSL_CITATION {"citationID":"UsN21C5W","properties":{"formattedCitation":"\\super 12,26\\uc0\\u8211{}28\\nosupersub{}","plainCitation":"12,26–28","noteIndex":0},"citationItems":[{"id":5940,"uris":["http://zotero.org/users/1744593/items/XB9R9CMT"],"uri":["http://zotero.org/users/1744593/items/XB9R9CMT"],"itemData":{"id":5940,"type":"article-journal","title":"Temporal Trends and Center Variation in Early Antibiotic Use Among Premature Infants","container-title":"JAMA Network Open","page":"e180164-e180164","volume":"1","issue":"1","source":"jamanetwork.com","abstract":"&lt;h3&gt;Importance&lt;/h3&gt;&lt;p&gt;Premature infants are frequently administered empirical antibiotic therapy at birth. Early and prolonged antibiotic exposures among infants without culture-confirmed infection have been associated with increased risk of adverse outcomes.&lt;/p&gt;&lt;h3&gt;Objective&lt;/h3&gt;&lt;p&gt;To examine early antibiotic use among premature infants over time and across hospitals in the United States.&lt;/p&gt;&lt;h3&gt;Design, Setting, and Participants&lt;/h3&gt;&lt;p&gt;This retrospective cohort study used a comprehensive administrative database of inpatient encounters from 297 academic and community hospitals across the United States to examine data concerning very low-birth-weight (VLBW) infants (&amp;lt;1500 g), including extremely low-birth-weight (ELBW) infants (&amp;lt;1000 g), who were admitted to the neonatal intensive care unit and survived for at least 1 day. Data collection took place in November 2015 and analysis took place from February 2016 to November 2016.&lt;/p&gt;&lt;h3&gt;Exposures&lt;/h3&gt;&lt;p&gt;Antibiotic initiation within the first 3 days of age and subsequent antibiotic administration for more than 5 days.&lt;/p&gt;&lt;h3&gt;Main Outcomes and Measures&lt;/h3&gt;&lt;p&gt;Temporal trends in early antibiotic initiation and duration from 2009 to 2015, and center variation in early antibiotic use from 2014 to 2015.&lt;/p&gt;&lt;h3&gt;Results&lt;/h3&gt;&lt;p&gt;We identified 40 364 VLBW infants (20 447 female [50.7%]) who survived for at least 1 day, including 12 947 ELBW infants, from 297 centers. The majority of premature infants had early antibiotic initiation (31 715 VLBW infants [78.6%] and 11 264 ELBW infants [87.0%]), and no differences were observed over time in temporal trend analyses (&lt;i&gt;P&lt;/i&gt; = .12 for VLBW and&lt;i&gt;P&lt;/i&gt; = .52 for ELBW). The annual risk difference in the proportion of VLBW infants administered early antibiotic therapy ranged from −0.75% (95% CI, −1.61% to 0.11%) to −0.87% (95% CI, −2.04% to 0.30%); in ELBW infants the annual risk difference ranged from −0.34% (95% CI, −1.28% to 0.61%) to −0.38% (95% CI, −1.61% to 0.85%). There was a small but significant decrease over time in the rate of prolonged antibiotic duration for VLBW infants (&lt;i&gt;P&lt;/i&gt; = .02), but not for ELBW infants (&lt;i&gt;P&lt;/i&gt; = .22). The annual risk difference in the proportion of VLBW infants with prolonged antibiotic duration ranged from −0.94% (95% CI, −1.65% to −0.23%) to −1.08% (95% CI, −2.00% to −0.16%); in ELBW infants the annual risk difference ranged from −0.72% (95% CI, −1.83% to 0.39%) to −0.75% (95% CI, −1.96% to 0.46%). We also observed variation in early antibiotic exposures across centers. Sixty-nine of 113 centers (61.1%) started antibiotic therapy for more than 75% of VLBW infants, and 56 of 66 centers (84.8%) started antibiotic therapy for more than 75% of ELBW infants. The proportion of VLBW and ELBW infants administered prolonged antibiotics ranged from 0% to 80.4% and 0% to 92.0% across centers, respectively.&lt;/p&gt;&lt;h3&gt;Conclusions and Relevance&lt;/h3&gt;&lt;p&gt;Most premature infants in this study received empirical early antibiotic therapy with little change over a recent 7-year period. The variability in exposure rates across centers, however, suggests that neonatal antimicrobial stewardship efforts are warranted to optimize antibiotic use for VLBW and ELBW infants.&lt;/p&gt;","DOI":"10.1001/jamanetworkopen.2018.0164","journalAbbreviation":"JAMA Network Open","language":"en","author":[{"family":"Flannery","given":"Dustin D."},{"family":"Ross","given":"Rachael K."},{"family":"Mukhopadhyay","given":"Sagori"},{"family":"Tribble","given":"Alison C."},{"family":"Puopolo","given":"Karen M."},{"family":"Gerber","given":"Jeffrey S."}],"issued":{"date-parts":[["2018",5,18]]}}},{"id":2880,"uris":["http://zotero.org/users/1744593/items/2CIMI8TF"],"uri":["http://zotero.org/users/1744593/items/2CIMI8TF"],"itemData":{"id":2880,"type":"article-journal","title":"Neonatal Intensive Care Unit Antibiotic Use","container-title":"Pediatrics","page":"826-833","volume":"135","issue":"5","source":"pediatrics.aappublications.org.pitt.idm.oclc.org","abstract":"BACKGROUND AND OBJECTIVES: Treatment of suspected infection is a mainstay of the daily work in the NICU. We hypothesized that NICU antibiotic prescribing practice variation correlates with rates of proven infection, necrotizing enterocolitis (NEC), mortality, inborn admission, and with NICU surgical volume and average length of stay.\nMETHODS: In a retrospective cohort study of 52 061 infants in 127 NICUs across California during 2013, we compared sample means and explored linear and nonparametric correlations, stratified by NICU level of care and lowest/highest antibiotic use rate quartiles.\nRESULTS: Overall antibiotic use varied 40-fold, from 2.4% to 97.1% of patient-days; median = 24.5%. At all levels of care, it was independent of proven infection, NEC, surgical volume, or mortality. Fifty percent of intermediate level NICUs were in the highest antibiotic use quartile, yet most of these units reported infection rates of zero. Regional NICUs in the highest antibiotic quartile reported inborn admission rate 218% higher (0.24 vs 0.11, P = .03), and length of stay 35% longer (90.2 days vs 66.9 days, P = .03) than regional NICUs in the lowest quartile.\nCONCLUSIONS: Forty-fold variation in NICU antibiotic prescribing practice across 127 NICUs with similar burdens of proven infection, NEC, surgical volume, and mortality indicates that a considerable portion of antibiotic use lacks clear warrant; in some NICUs, antibiotics are overused. Additional study is needed to establish appropriate use ranges and elucidate the determinants and directionality of relationships between antibiotic and other resource use.","DOI":"10.1542/peds.2014-3409","ISSN":"0031-4005, 1098-4275","note":"PMID: 25896845","language":"en","author":[{"family":"Schulman","given":"Joseph"},{"family":"Dimand","given":"Robert J."},{"family":"Lee","given":"Henry C."},{"family":"Duenas","given":"Grace V."},{"family":"Bennett","given":"Mihoko V."},{"family":"Gould","given":"Jeffrey B."}],"issued":{"date-parts":[["2015",5,1]]}}},{"id":6192,"uris":["http://zotero.org/users/1744593/items/B5NMD2IY"],"uri":["http://zotero.org/users/1744593/items/B5NMD2IY"],"itemData":{"id":6192,"type":"article-journal","title":"Patient and prescriber factors and the prolongation of antibiotics after birth in infants less than 29 weeks","container-title":"The Journal of Maternal-Fetal &amp; Neonatal Medicine: The Official Journal of the European Association of Perinatal Medicine, the Federation of Asia and Oceania Perinatal Societies, the International Society of Perinatal Obstetricians","page":"1720-1726","volume":"31","issue":"13","source":"PubMed","abstract":"OBJECTIVE: The objective of this study is to delineate whether patient-related or prescriber-related factors account for the prolongation of antibiotic therapy beyond 48 h in premature infants whose initial blood cultures are negative.\nMETHODS: Retrospective review of infants born &lt;29 weeks born between January 2011 and December 2012. Infants who had positive blood cultures or who died in the first 48 h were excluded from analysis. Antibiotic courses were categorized as prolonged if antibiotics were continued for greater than 48 h and not prolonged if antibiotics were stopped by 48 h. Neonatologists were classified as high prescribers if they prolonged antibiotics for more than the median rate for the overall group.\nRESULTS: Seventeen of 59 (29%) infants had empiric antibiotics continued for greater than 48 h despite negative blood cultures. Both patient-related factors and the neonatologist at 48 h of life were significantly associated with prolongation of antibiotics. Patient-related factors associated with prolongation of empiric antibiotics were positive maternal Group B streptococcus (GBS) status (5/17 versus 4/42); p = .054), white blood count &gt;25,000 (7/17 versus 1/42); p &lt; .001), rupture of membranes (ROM) duration (187 ± 253 h versus 47 ± 89 h; p = .015). Increased number of risk factors was associated with increased likelihood of prolongation. Risk factors for sepsis were similar between high and low prescribing neonatologists with high prescribers prolonging antibiotics with a lower number of risk factors.\nCONCLUSIONS: The decision to prolong empiric antibiotics in culture negative preterm infants is related both to patient and prescriber-related factors.","DOI":"10.1080/14767058.2017.1326896","ISSN":"1476-4954","note":"PMID: 28475395","journalAbbreviation":"J. Matern. Fetal. Neonatal. Med.","language":"eng","author":[{"family":"Alturk","given":"Mohamad Rami"},{"family":"Baier","given":"Ronald John"}],"issued":{"date-parts":[["2018",7]]}}},{"id":6249,"uris":["http://zotero.org/users/1744593/items/7W9YUCJB"],"uri":["http://zotero.org/users/1744593/items/7W9YUCJB"],"itemData":{"id":6249,"type":"article-journal","title":"Variations in Neonatal Antibiotic Use","container-title":"Pediatrics","page":"e20180115","volume":"142","issue":"3","source":"pediatrics.aappublications.org","abstract":"OBJECTIVES: We sought to identify whether and how the NICU antibiotic use rate (AUR), clinical correlates, and practice variation changed between 2013 and 2016 and attempted to identify AUR ranges that are consistent with objectively determined bacterial and/or fungal disease burdens.\nMETHODS: In a retrospective cohort study of &gt;54 000 neonates annually at &gt;130 California NICUs from 2013 to 2016, we computed nonparametric linear correlation and compared AURs among years using a 2-sample test of proportions. We stratified by level of NICU care and participation in externally organized stewardship efforts.\nRESULTS: By 2016, the overall AUR declined 21.9% (95% confidence interval [CI] 21.9%–22.0%), reflecting 42 960 fewer antibiotic days. Among NICUs in externally organized antibiotic stewardship efforts, the AUR declined 28.7% (95% CI 28.6%–28.8%) compared with 16.2% (95% CI 16.1%–16.2%) among others. The intermediate NICU AUR range narrowed, but the distribution of values did not shift toward lower values as it did for other levels of care. The 2016 AUR correlated neither with proven infection nor necrotizing enterocolitis. The 2016 regional NICU AUR correlated with surgical volume (ρ = 0.53; P = .01), mortality rate (ρ = 0.57; P = .004), and average length of stay (ρ = 0.62; P = .002) and was driven by 3 NICUs with the highest AUR values (30%–57%).\nCONCLUSIONS: Unexplained antibiotic use has declined but continues. Currently measured clinical correlates generally do not help explain AUR values that are above the lowest quartile cutpoint of 14.4%.","DOI":"10.1542/peds.2018-0115","ISSN":"0031-4005, 1098-4275","note":"PMID: 30177514","language":"en","author":[{"family":"Schulman","given":"Joseph"},{"family":"Profit","given":"Jochen"},{"family":"Lee","given":"Henry C."},{"family":"Dueñas","given":"Grace"},{"family":"Bennett","given":"Mihoko V."},{"family":"Parucha","given":"Janella"},{"family":"Jocson","given":"Maria A. L."},{"family":"Gould","given":"Jeffrey B."}],"issued":{"date-parts":[["2018",9,1]]}}}],"schema":"https://github.com/citation-style-language/schema/raw/master/csl-citation.json"} </w:instrText>
      </w:r>
      <w:r w:rsidRPr="00B55F83">
        <w:rPr>
          <w:b w:val="0"/>
          <w:sz w:val="24"/>
        </w:rPr>
        <w:fldChar w:fldCharType="separate"/>
      </w:r>
      <w:r w:rsidRPr="00B55F83">
        <w:rPr>
          <w:b w:val="0"/>
          <w:color w:val="000000"/>
          <w:sz w:val="24"/>
          <w:vertAlign w:val="superscript"/>
        </w:rPr>
        <w:t>12,26–28</w:t>
      </w:r>
      <w:r w:rsidRPr="00B55F83">
        <w:rPr>
          <w:b w:val="0"/>
          <w:sz w:val="24"/>
        </w:rPr>
        <w:fldChar w:fldCharType="end"/>
      </w:r>
      <w:r w:rsidRPr="00B55F83">
        <w:rPr>
          <w:b w:val="0"/>
          <w:sz w:val="24"/>
        </w:rPr>
        <w:t xml:space="preserve">. </w:t>
      </w:r>
    </w:p>
    <w:p w14:paraId="1172AA41" w14:textId="55E774E2" w:rsidR="002B1A43" w:rsidRDefault="002B1A43" w:rsidP="003B7103">
      <w:pPr>
        <w:pStyle w:val="Heading1"/>
        <w:numPr>
          <w:ilvl w:val="0"/>
          <w:numId w:val="0"/>
        </w:numPr>
      </w:pPr>
    </w:p>
    <w:p w14:paraId="4866ED18" w14:textId="43071F8A" w:rsidR="002B1A43" w:rsidRPr="0016289C" w:rsidRDefault="002B1A43" w:rsidP="002B1A43">
      <w:pPr>
        <w:pStyle w:val="Default"/>
        <w:rPr>
          <w:color w:val="000000" w:themeColor="text1"/>
        </w:rPr>
      </w:pPr>
      <w:r w:rsidRPr="0016289C">
        <w:rPr>
          <w:color w:val="000000" w:themeColor="text1"/>
        </w:rPr>
        <w:t>Our multidisciplinary team has more than 10 years of experience monitoring temporal changes in the gut microbiota of preterm infants</w:t>
      </w:r>
      <w:r w:rsidRPr="0016289C">
        <w:fldChar w:fldCharType="begin"/>
      </w:r>
      <w:r w:rsidRPr="0016289C">
        <w:instrText xml:space="preserve"> ADDIN ZOTERO_ITEM CSL_CITATION {"citationID":"8OCklheJ","properties":{"formattedCitation":"\\super 32\\uc0\\u8211{}44\\nosupersub{}","plainCitation":"32–44","noteIndex":0},"citationItems":[{"id":515,"uris":["http://zotero.org/users/1744593/items/FEFVPTN2"],"uri":["http://zotero.org/users/1744593/items/FEFVPTN2"],"itemData":{"id":515,"type":"article-journal","title":"Strain-resolved community genomic analysis of gut microbial colonization in a premature infant.","container-title":"Proceedings of the National Academy of Sciences","page":"1128–1133","volume":"108","issue":"3","author":[{"family":"Morowitz","given":"Michael J"},{"family":"Denef","given":"Vincent J"},{"family":"Costello","given":"Elizabeth K"},{"family":"Thomas","given":"Brian C"},{"family":"Poroyko","given":"Valeriy"},{"family":"Relman","given":"David A"},{"family":"Banfield","given":"Jillian F"}],"issued":{"date-parts":[["2011",1]]}}},{"id":180,"uris":["http://zotero.org/users/1744593/items/626QTG98"],"uri":["http://zotero.org/users/1744593/items/626QTG98"],"itemData":{"id":180,"type":"article-journal","title":"Microbes in the neonatal intensive care unit resemble those found in the gut of premature infants","container-title":"Microbiome","page":"1","volume":"2","issue":"1","source":"www.microbiomejournal.com","abstract":"The source inoculum of gastrointestinal tract (GIT) microbes is largely influenced by delivery mode in full-term infants, but these influences may be decoupled in very low birth weight (VLBW, &lt;1,500 g) neonates via conventional broad-spectrum antibiotic treatment. We hypothesize the built environment (BE), specifically room surfaces frequently touched by humans, is a predominant source of colonizing microbes in the gut of premature VLBW infants. Here, we present the first matched fecal-BE time series analysis of two preterm VLBW neonates housed in a neonatal intensive care unit (NICU) over the first month of life.\nPMID: 24468033","DOI":"10.1186/2049-2618-2-1","ISSN":"2049-2618","note":"PMID: 24468033","language":"en","author":[{"family":"Brooks","given":"Brandon"},{"family":"Firek","given":"Brian A."},{"family":"Miller","given":"Christopher S."},{"family":"Sharon","given":"Itai"},{"family":"Thomas","given":"Brian C."},{"family":"Baker","given":"Robyn"},{"family":"Morowitz","given":"Michael J."},{"family":"Banfield","given":"Jillian F."}],"issued":{"date-parts":[["2014",1,28]]}}},{"id":270,"uris":["http://zotero.org/users/1744593/items/8SPIPJPA"],"uri":["http://zotero.org/users/1744593/items/8SPIPJPA"],"itemData":{"id":270,"type":"article-journal","title":"Mucosa-Associated Bacterial Diversity in Necrotizing Enterocolitis","container-title":"PLoS ONE","page":"e105046","volume":"9","issue":"9","source":"PLoS Journals","abstract":"Background Previous studies of infant fecal samples have failed to clarify the role of gut bacteria in the pathogenesis of NEC. We sought to characterize bacterial communities within intestinal tissue resected from infants with and without NEC. Methods 26 intestinal samples were resected from 19 infants, including 16 NEC samples and 10 non-NEC samples. Bacterial 16S rRNA gene sequences were amplified and sequenced. Analysis allowed for taxonomic identification, and quantitative PCR was used to quantify the bacterial load within samples. Results NEC samples generally contained an increased total burden of bacteria. NEC and non-NEC sample sets were both marked by high inter-individual variability and an abundance of opportunistic pathogens. There was no statistically significant distinction between the composition of NEC and non-NEC microbial communities. K-means clustering enabled us to identify several stable clusters, including clusters of NEC and midgut volvulus samples enriched with Clostridium and Bacteroides. Another cluster containing both NEC and non-NEC samples was marked by an abundance of Enterobacteriaceae and decreased diversity among NEC samples. Conclusions The results indicate that NEC is a disease without a uniform pattern of microbial colonization, but that NEC is associated with an abundance of strict anaerobes and a decrease in community diversity.","DOI":"10.1371/journal.pone.0105046","journalAbbreviation":"PLoS ONE","author":[{"family":"Brower-Sinning","given":"Rachel"},{"family":"Zhong","given":"Diana"},{"family":"Good","given":"Misty"},{"family":"Firek","given":"Brian"},{"family":"Baker","given":"Robyn"},{"family":"Sodhi","given":"Chhinder P."},{"family":"Hackam","given":"David J."},{"family":"Morowitz","given":"Michael J."}],"issued":{"date-parts":[["2014",9,9]]}}},{"id":388,"uris":["http://zotero.org/users/1744593/items/BQ4MSACE"],"uri":["http://zotero.org/users/1744593/items/BQ4MSACE"],"itemData":{"id":388,"type":"article-journal","title":"Genome resolved analysis of a premature infant gut microbial community reveals a Varibaculum cambriense genome and a shift towards fermentation-based metabolism during the third week of life","container-title":"Microbiome","page":"30","volume":"1","issue":"1","source":"PubMed","abstract":"BACKGROUND: The premature infant gut has low individual but high inter-individual microbial diversity compared with adults. Based on prior 16S rRNA gene surveys, many species from this environment are expected to be similar to those previously detected in the human microbiota. However, the level of genomic novelty and metabolic variation of strains found in the infant gut remains relatively unexplored.\nRESULTS: To study the stability and function of early microbial colonizers of the premature infant gut, nine stool samples were taken during the third week of life of a premature male infant delivered via Caesarean section. Metagenomic sequences were assembled and binned into near-complete and partial genomes, enabling strain-level genomic analysis of the microbial community.We reconstructed eleven near-complete and six partial bacterial genomes representative of the key members of the microbial community. Twelve of these genomes share &gt;90% putative ortholog amino acid identity with reference genomes. Manual curation of the assembly of one particularly novel genome resulted in the first essentially complete genome sequence (in three pieces, the order of which could not be determined due to a repeat) for Varibaculum cambriense (strain Dora), a medically relevant species that has been implicated in abscess formation.During the period studied, the microbial community undergoes a compositional shift, in which obligate anaerobes (fermenters) overtake Escherichia coli as the most abundant species. Other species remain stable, probably due to their ability to either respire anaerobically or grow by fermentation, and their capacity to tolerate fluctuating levels of oxygen. Metabolic predictions for V. cambriense suggest that, like other members of the microbial community, this organism is able to process various sugar substrates and make use of multiple different electron acceptors during anaerobic respiration. Genome comparisons within the family Actinomycetaceae reveal important differences related to respiratory metabolism and motility.\nCONCLUSIONS: Genome-based analysis provided direct insight into strain-specific potential for anaerobic respiration and yielded the first genome for the genus Varibaculum. Importantly, comparison of these de novo assembled genomes with closely related isolate genomes supported the accuracy of the metagenomic methodology. Over a one-week period, the early gut microbial community transitioned to a community with a higher representation of obligate anaerobes, emphasizing both taxonomic and metabolic instability during colonization.","DOI":"10.1186/2049-2618-1-30","ISSN":"2049-2618","note":"PMID: 24451181\nPMCID: PMC4177395","journalAbbreviation":"Microbiome","language":"eng","author":[{"family":"Brown","given":"Christopher T."},{"family":"Sharon","given":"Itai"},{"family":"Thomas","given":"Brian C."},{"family":"Castelle","given":"Cindy J."},{"family":"Morowitz","given":"Michael J."},{"family":"Banfield","given":"Jillian F."}],"issued":{"date-parts":[["2013"]]}}},{"id":468,"uris":["http://zotero.org/users/1744593/items/DXW8DDBR"],"uri":["http://zotero.org/users/1744593/items/DXW8DDBR"],"itemData":{"id":468,"type":"article-journal","title":"The intestinal microbiome and necrotizing enterocolitis","container-title":"Current Opinion in Pediatrics","page":"382–387","volume":"25","issue":"3","author":[{"family":"Carlisle","given":"Erica M"},{"family":"Morowitz","given":"Michael J"}],"issued":{"date-parts":[["2013",6]]}}},{"id":239,"uris":["http://zotero.org/users/1744593/items/7PDSRQWF"],"uri":["http://zotero.org/users/1744593/items/7PDSRQWF"],"itemData":{"id":239,"type":"article-journal","title":"Microbiome Assembly across Multiple Body Sites in Low-Birthweight Infants.","container-title":"mBio","volume":"4","issue":"6","author":[{"family":"Costello","given":"Elizabeth K"},{"family":"Carlisle","given":"Erica M"},{"family":"Bik","given":"Elisabeth M"},{"family":"Morowitz","given":"Michael J"},{"family":"Relman","given":"David A"}],"issued":{"date-parts":[["2013"]]}}},{"id":637,"uris":["http://zotero.org/users/1744593/items/IVRI6TGZ"],"uri":["http://zotero.org/users/1744593/items/IVRI6TGZ"],"itemData":{"id":637,"type":"article-journal","title":"Redefining the role of intestinal microbes in the pathogenesis of necrotizing enterocolitis.","container-title":"PEDIATRICS","page":"777–785","volume":"125","issue":"4","author":[{"family":"Morowitz","given":"Michael J"},{"family":"Poroyko","given":"Valeriy"},{"family":"Caplan","given":"Michael"},{"family":"Alverdy","given":"John"},{"family":"Liu","given":"Donald C"}],"issued":{"date-parts":[["2010",4]]}}},{"id":824,"uris":["http://zotero.org/users/1744593/items/PIK8I2J8"],"uri":["http://zotero.org/users/1744593/items/PIK8I2J8"],"itemData":{"id":824,"type":"article-journal","title":"Contributions of intestinal bacteria to nutrition and metabolism in the critically ill.","container-title":"The Surgical clinics of North America","page":"771–85– viii","volume":"91","issue":"4","author":[{"family":"Morowitz","given":"Michael J"},{"family":"Carlisle","given":"Erica M"},{"family":"Alverdy","given":"John C"}],"issued":{"date-parts":[["2011",8]]}}},{"id":327,"uris":["http://zotero.org/users/1744593/items/A8S27ZXA"],"uri":["http://zotero.org/users/1744593/items/A8S27ZXA"],"itemData":{"id":327,"type":"article-journal","title":"Gut bacteria are rarely shared by co-hospitalized premature infants, regardless of necrotizing enterocolitis development","container-title":"eLife","page":"e05477","volume":"4","source":"elifesciences.org","abstract":"Premature infants are highly vulnerable to aberrant gastrointestinal tract colonization, a process that may lead to diseases like necrotizing enterocolitis. Thus, spread of potential pathogens among hospitalized infants is of great concern. Here, we reconstructed hundreds of high-quality genomes of microorganisms that colonized co-hospitalized premature infants, assessed their metabolic potential, and tracked them over time to evaluate bacterial strain dispersal among infants. We compared microbial communities in infants who did and did not develop necrotizing enterocolitis. Surprisingly, while potentially pathogenic bacteria of the same species colonized many infants, our genome-resolved analysis revealed that strains colonizing each baby were typically distinct. In particular, no strain was common to all infants who developed necrotizing enterocolitis. The paucity of shared gut colonizers suggests the existence of significant barriers to the spread of bacteria among infants. Importantly, we demonstrate that strain-resolved comprehensive community analysis can be accomplished on potentially medically relevant time scales.DOI: http://dx.doi.org/10.7554/eLife.05477.001View Full TextTo Top\nPremature infants are highly vulnerable to aberrant gastrointestinal tract colonization, a process that may lead to diseases like necrotizing enterocolitis. Thus, spread of potential pathogens among hospitalized infants is of great concern. Here, we reconstructed hundreds of high-quality genomes of microorganisms that colonized co-hospitalized premature infants, assessed their metabolic potential, and tracked them over time to evaluate bacterial strain dispersal among infants. We compared microbial communities in infants who did and did not develop necrotizing enterocolitis. Surprisingly, while potentially pathogenic bacteria of the same species colonized many infants, our genome-resolved analysis revealed that strains colonizing each baby were typically distinct. In particular, no strain was common to all infants who developed necrotizing enterocolitis. The paucity of shared gut colonizers suggests the existence of significant barriers to the spread of bacteria among infants. Importantly, we demonstrate that strain-resolved comprehensive community analysis can be accomplished on potentially medically relevant time scales.\nDOI: http://dx.doi.org/10.7554/eLife.05477.001\nThe spread of potentially harmful bacteria is a major source of disease in patients staying in hospitals. Premature babies—born before 37 weeks of pregnancy—can be particularly vulnerable to these infections because their organs may not yet be fully developed. Also, young babies do not have the fully established populations of beneficial microbes that help to protect us from dangerous bacteria.\nNecrotizing enterocolitis—a life-threatening disease that can cause portions of the bowel to die—is mostly seen in extremely premature babies. Although it is not known what causes this serious condition, research has suggested that a contagious microbe may be responsible.\nThe development of methods that can sequence DNA from whole communities of microbes, known as metagenomics, allows researchers to identify the presence of individual strains of bacteria within these communities. This makes it possible to compare and contrast the strains of bacteria present in both diseased and healthy individuals, to help identify the bacteria responsible for a disease.\nHere, Raveh-Sadka et al. used a metagenomics approach to study the communities of microbes present in premature babies in a hospital unit during an outbreak of necrotizing enterocolitis. The study found that very few bacterial strains were present in more than one baby, suggesting that bacterial strains are not readily transferred between the babies while they are in the hospital. Furthermore, Raveh-Sadka et al. reveal that no single bacterial strain was shared among all the babies who developed necrotizing enterocolitis.\nThese findings indicate that necrotizing enterocolitis is not caused by a single strain of bacterium. Instead, if bacteria do contribute to the disease, it maybe that it is caused by a variety of potentially harmful bacteria colonizing the gut at the cost of beneficial bacteria. In future, better understanding of the barriers that limit the transfer of bacteria between premature babies could help inform efforts to reduce the spread of infections between patients in hospitals.\nDOI: http://dx.doi.org/10.7554/eLife.05477.002","DOI":"10.7554/eLife.05477","ISSN":"2050-084X","journalAbbreviation":"eLife Sciences","language":"en","author":[{"family":"Raveh-Sadka","given":"Tali"},{"family":"Thomas","given":"Brian C."},{"family":"Singh","given":"Andrea"},{"family":"Firek","given":"Brian"},{"family":"Brooks","given":"Brandon"},{"family":"Castelle","given":"Cindy J."},{"family":"Sharon","given":"Itai"},{"family":"Baker","given":"Robyn"},{"family":"Good","given":"Misty"},{"family":"Morowitz","given":"Michael J."},{"family":"Banfield","given":"Jillian F."}],"issued":{"date-parts":[["2015",3,3]]}}},{"id":3354,"uris":["http://zotero.org/users/1744593/items/KW9HQHVJ"],"uri":["http://zotero.org/users/1744593/items/KW9HQHVJ"],"itemData":{"id":3354,"type":"article-journal","title":"Evidence for persistent and shared bacterial strains against a background of largely unique gut colonization in hospitalized premature infants","container-title":"The ISME journal","source":"PubMed","abstract":"The potentially critical stage of initial gut colonization in premature infants occurs in the hospital environment, where infants are exposed to a variety of hospital-associated bacteria. Because few studies of microbial communities are strain-resolved, we know little about the extent to which specific strains persist in the hospital environment and disperse among infants. To study this, we compared 304 near-complete genomes reconstructed from fecal samples of 21 infants hospitalized in the same intensive care unit in two cohorts, over 3 years apart. The genomes represent 159 distinct bacterial strains, only 14 of which occurred in multiple infants. Enterococcus faecalis and Staphylococcus epidermidis, common infant gut colonists, exhibit diversity comparable to that of reference strains, inline with introduction of strains from infant-specific sources rather than a hospital strain pool. Unlike other infants, a pair of sibling infants shared multiple strains, even after extensive antibiotic administration, suggesting overlapping strain-sources and/or genetic selection drive microbiota similarities. Interestingly, however, five strains were detected in infants hospitalized three years apart. Three of these were also detected in multiple infants in the same year. This finding of a few widely dispersed and persistent bacterial colonizers despite overall low potential for strain dispersal among infants has implications for understanding and directing healthy colonization.The ISME Journal advance online publication, 3 June 2016; doi:10.1038/ismej.2016.83.","DOI":"10.1038/ismej.2016.83","ISSN":"1751-7370","note":"PMID: 27258951","journalAbbreviation":"ISME J","language":"ENG","author":[{"family":"Raveh-Sadka","given":"Tali"},{"family":"Firek","given":"Brian"},{"family":"Sharon","given":"Itai"},{"family":"Baker","given":"Robyn"},{"family":"Brown","given":"Christopher T."},{"family":"Thomas","given":"Brian C."},{"family":"Morowitz","given":"Michael J."},{"family":"Banfield","given":"Jillian F."}],"issued":{"date-parts":[["2016",6,3]]}}},{"id":387,"uris":["http://zotero.org/users/1744593/items/BNIDH9SB"],"uri":["http://zotero.org/users/1744593/items/BNIDH9SB"],"itemData":{"id":387,"type":"article-journal","title":"Time series community genomics analysis reveals rapid shifts in bacterial species, strains, and phage during infant gut colonization.","container-title":"Genome Research","page":"111–120","volume":"23","issue":"1","author":[{"family":"Sharon","given":"Itai"},{"family":"Morowitz","given":"Michael J"},{"family":"Thomas","given":"Brian C"},{"family":"Costello","given":"Elizabeth K"},{"family":"Relman","given":"David A"},{"family":"Banfield","given":"Jillian F"}],"issued":{"date-parts":[["2013",1]]}}},{"id":220,"uris":["http://zotero.org/users/1744593/items/6XH3VEDH"],"uri":["http://zotero.org/users/1744593/items/6XH3VEDH"],"itemData":{"id":220,"type":"article-journal","title":"Metaproteomics reveals functional shifts in microbial and human proteins during a preterm infant gut colonization case","container-title":"PROTEOMICS","page":"n/a-n/a","source":"Wiley Online Library","abstract":"Microbial colonization of the human gastrointestinal tract plays an important role in establishing health and homeostasis. However, the time-dependent functional signatures of microbial and human proteins during early colonization of the gut have yet to be determined. To this end, we employed shotgun proteomics to simultaneously monitor microbial and human proteins in fecal samples from a preterm infant during the first month of life. Microbial community complexity increased over time, with compositional changes that were consistent with previous metagenomic and rRNA gene data. More specifically, the function of the microbial community initially involved biomass growth, protein production, and lipid metabolism, and then switched to more complex metabolic functions, such as carbohydrate metabolism, once the community stabilized and matured. Human proteins detected included those responsible for epithelial barrier function and antimicrobial activity. Some neutrophil-derived proteins increased in abundance early in the study period, suggesting activation of the innate immune system. Likewise, abundances of cytoskeletal and mucin proteins increased later in the time course, suggestive of subsequent adjustment to the increased microbial load. This study provides the first snapshot of coordinated human and microbial protein expression in a preterm infant's gut during early development.","DOI":"10.1002/pmic.201400563","ISSN":"1615-9861","journalAbbreviation":"Proteomics","language":"en","author":[{"family":"Young","given":"Jacque C."},{"family":"Pan","given":"Chongle"},{"family":"Adams","given":"Rachel M."},{"family":"Brooks","given":"Brandon"},{"family":"Banfield","given":"Jillian F."},{"family":"Morowitz","given":"Michael J."},{"family":"Hettich","given":"Robert L."}],"issued":{"date-parts":[["2015",7,1]]}}},{"id":5827,"uris":["http://zotero.org/users/1744593/items/D7LCMGXA"],"uri":["http://zotero.org/users/1744593/items/D7LCMGXA"],"itemData":{"id":5827,"type":"article-journal","title":"Preterm infants have distinct microbiomes not explained by mode of delivery, breastfeeding duration or antibiotic exposure","container-title":"International Journal of Epidemiology","source":"academic.oup.com","abstract":"BackgroundPreterm infants have low gut microbial diversity and few anaerobes. It is unclear whether the low diversity pertains to prematurity itself or is due to differences in delivery mode, feeding mode or exposure to antibiotics.MethodsThe Norwegian Microbiota Study (NoMIC) was established to examine the colonization of the infant gut and health outcomes. 16S rRNA gene Illumina amplicon-sequenced samples from 519 children (160 preterms), collected at 10 days, 4 months and 1 year postnatally, were used to calculate alpha diversity. Short-chain fatty acids (SCFA) were analysed with gas chromatography and quantified using flame ionization detection. We regressed alpha diversity on gestational age, taking into account possible confounding and mediating factors, such as breastfeeding and antibiotics. Taxonomic differences were tested using Analysis of Composition of Microbiomes (ANCOM) and SCFA profile (as a functional indicator of the microbiota) was tested by Wilcoxon rank-sum.ResultsPreterm infants had 0.45 Shannon units lower bacterial diversity at 10 days postnatally compared with infants born at term (95% confidence interval: –0.60, –0.32). Breastfeeding status and antibiotic exposure were not significant mediators of the gestational age–diversity association, although time spent in the neonatal intensive care unit was. Vaginally born, exclusively breastfed preterm infantss not exposed to antibiotics at 10 days postnatally had fewer Firmicutes and more Proteobacteria than children born at term and an SCFA profile indicating lower saccharolytic fermentation.ConclusionsPreterm infants had distinct gut microbiome composition and function in the early postnatal period, not explained by factors more common in preterms, such as shorter breastfeeding duration, more antibiotics or caesarean delivery.","URL":"https://academic.oup.com/ije/advance-article/doi/10.1093/ije/dyy064/4980972","DOI":"10.1093/ije/dyy064","journalAbbreviation":"Int J Epidemiol","language":"en","author":[{"family":"Dahl","given":"Cecilie"},{"family":"Stigum","given":"Hein"},{"family":"Valeur","given":"Jørgen"},{"family":"Iszatt","given":"Nina"},{"family":"Lenters","given":"Virissa"},{"family":"Peddada","given":"Shyamal"},{"family":"Bjørnholt","given":"Jørgen V."},{"family":"Midtvedt","given":"Tore"},{"family":"Mandal","given":"Siddhartha"},{"family":"Eggesbø","given":"Merete"}],"accessed":{"date-parts":[["2018",4,25]]}}}],"schema":"https://github.com/citation-style-language/schema/raw/master/csl-citation.json"} </w:instrText>
      </w:r>
      <w:r w:rsidRPr="0016289C">
        <w:fldChar w:fldCharType="separate"/>
      </w:r>
      <w:r w:rsidRPr="0016289C">
        <w:rPr>
          <w:vertAlign w:val="superscript"/>
        </w:rPr>
        <w:t>32–44</w:t>
      </w:r>
      <w:r w:rsidRPr="0016289C">
        <w:fldChar w:fldCharType="end"/>
      </w:r>
      <w:r w:rsidRPr="0016289C">
        <w:rPr>
          <w:color w:val="000000" w:themeColor="text1"/>
        </w:rPr>
        <w:t>. In previous studies, we have documented that EA exposure is associated with unambiguous changes in the microbiota favoring growth of pathogens</w:t>
      </w:r>
      <w:r w:rsidRPr="0016289C">
        <w:rPr>
          <w:color w:val="000000" w:themeColor="text1"/>
        </w:rPr>
        <w:fldChar w:fldCharType="begin"/>
      </w:r>
      <w:r w:rsidRPr="0016289C">
        <w:rPr>
          <w:color w:val="000000" w:themeColor="text1"/>
        </w:rPr>
        <w:fldChar w:fldCharType="separate"/>
      </w:r>
      <w:r w:rsidRPr="0016289C">
        <w:rPr>
          <w:vertAlign w:val="superscript"/>
        </w:rPr>
        <w:t>10–23</w:t>
      </w:r>
      <w:r w:rsidRPr="0016289C">
        <w:rPr>
          <w:color w:val="000000" w:themeColor="text1"/>
        </w:rPr>
        <w:fldChar w:fldCharType="end"/>
      </w:r>
      <w:r w:rsidRPr="0016289C">
        <w:rPr>
          <w:color w:val="000000" w:themeColor="text1"/>
        </w:rPr>
        <w:t xml:space="preserve">. Our preliminary data supports published studies demonstrating a dose-dependent relationship between EA and a composite outcome of </w:t>
      </w:r>
      <w:r w:rsidRPr="0016289C">
        <w:rPr>
          <w:color w:val="000000" w:themeColor="text1"/>
        </w:rPr>
        <w:lastRenderedPageBreak/>
        <w:t>LOS, NEC, or mortality</w:t>
      </w:r>
      <w:r w:rsidRPr="0016289C">
        <w:rPr>
          <w:color w:val="000000" w:themeColor="text1"/>
        </w:rPr>
        <w:fldChar w:fldCharType="begin"/>
      </w:r>
      <w:r w:rsidRPr="0016289C">
        <w:rPr>
          <w:color w:val="000000" w:themeColor="text1"/>
        </w:rPr>
        <w:instrText xml:space="preserve"> ADDIN ZOTERO_ITEM CSL_CITATION {"citationID":"qm6aue6j2","properties":{"formattedCitation":"\\super 45\\nosupersub{}","plainCitation":"45","noteIndex":0},"citationItems":[{"id":2886,"uris":["http://zotero.org/users/1744593/items/W9U49SQZ"],"uri":["http://zotero.org/users/1744593/items/W9U49SQZ"],"itemData":{"id":2886,"type":"article-journal","title":"Early Empiric Antibiotic Use in Preterm Infants Is Associated with Lower Bacterial Diversity and Higher Relative Abundance of Enterobacter","container-title":"The Journal of Pediatrics","page":"23-29","volume":"165","issue":"1","source":"ScienceDirect","abstract":"Objectives\nTo determine the impact of empiric ampicillin and gentamicin use in the first week of life on microbial colonization and diversity in preterm infants.\nStudy design\nThe 16s ribosomal DNA community profiling was used to compare the microbiota of 74 infants born ≤32 weeks gestational age by degree of antibiotic use in the first week of life. The degree of antibiotic use was classified as 0 days, 1-4 days, and 5-7 days of antibiotic administration. All of the antibiotic use was empiric, defined as treatment based solely on clinical suspicion of infection without a positive culture result.\nResults\nInfants who received 5-7 days of empiric antimicrobial agents in the first week had increased relative abundance of Enterobacter (P = .016) and lower bacterial diversity in the second and third weeks of life. Infants receiving early antibiotics also experienced more cases of necrotizing enterocolitis, sepsis, or death than those not exposed to antibiotics.\nConclusions\nEarly empiric antibiotics have sustained effects on the intestinal microbiota of preterm infants. Intestinal dysbiosis in this population has been found to be associated with elevated risk of necrotizing enterocolitis, sepsis, or death.","DOI":"10.1016/j.jpeds.2014.01.010","ISSN":"0022-3476","journalAbbreviation":"The Journal of Pediatrics","author":[{"family":"Greenwood","given":"Corryn"},{"family":"Morrow","given":"Ardythe L."},{"family":"Lagomarcino","given":"Anne J."},{"family":"Altaye","given":"Mekibib"},{"family":"Taft","given":"Diana H."},{"family":"Yu","given":"Zhuoteng"},{"family":"Newburg","given":"David S."},{"family":"Ward","given":"Doyle V."},{"family":"Schibler","given":"Kurt R."}],"issued":{"date-parts":[["2014",7]]}}}],"schema":"https://github.com/citation-style-language/schema/raw/master/csl-citation.json"} </w:instrText>
      </w:r>
      <w:r w:rsidRPr="0016289C">
        <w:rPr>
          <w:color w:val="000000" w:themeColor="text1"/>
        </w:rPr>
        <w:fldChar w:fldCharType="separate"/>
      </w:r>
      <w:r w:rsidRPr="0016289C">
        <w:rPr>
          <w:vertAlign w:val="superscript"/>
        </w:rPr>
        <w:t>45</w:t>
      </w:r>
      <w:r w:rsidRPr="0016289C">
        <w:rPr>
          <w:color w:val="000000" w:themeColor="text1"/>
        </w:rPr>
        <w:fldChar w:fldCharType="end"/>
      </w:r>
      <w:r w:rsidRPr="0016289C">
        <w:rPr>
          <w:color w:val="000000" w:themeColor="text1"/>
        </w:rPr>
        <w:t>. We and others have also described associations between antibiotics, gut bacterial colonization patterns, and infant growth</w:t>
      </w:r>
      <w:r w:rsidRPr="0016289C">
        <w:rPr>
          <w:color w:val="000000" w:themeColor="text1"/>
        </w:rPr>
        <w:fldChar w:fldCharType="begin"/>
      </w:r>
      <w:r w:rsidRPr="0016289C">
        <w:rPr>
          <w:color w:val="000000" w:themeColor="text1"/>
        </w:rPr>
        <w:instrText xml:space="preserve"> ADDIN ZOTERO_ITEM CSL_CITATION {"citationID":"wX9sa8qj","properties":{"formattedCitation":"\\super 46,47\\nosupersub{}","plainCitation":"46,47","noteIndex":0},"citationItems":[{"id":868,"uris":["http://zotero.org/users/1744593/items/QXRMR2E7"],"uri":["http://zotero.org/users/1744593/items/QXRMR2E7"],"itemData":{"id":868,"type":"article-journal","title":"Novel Developmental Analyses Identify Longitudinal Patterns of Early Gut Microbiota that Affect Infant Growth","container-title":"PLoS Comput Biol","page":"e1003042","volume":"9","issue":"5","source":"PLoS Journals","abstract":"Author SummarySome obesity trajectories are set early in life, with rapid weight gain being a risk factor for later development of obesity. Recently, much attention has been given to findings indicating that gut microbiota may play a role in obesity development. The existence of time-dependent exposure windows, which rely on stimuli from the gut to initiate healthy development, gives the evolution of early life gut microbiota a critical role in human health. We identified children that followed their expected growth trajectories at six months of life, and those that had deviated. We then developed a novel statistical approach that allowed the identification of longitudinal gut microbiota patterns (e.g. a particular species was detected at days 4, 10, and 30 and not detected at day 120) that were associated with expected growth, while appropriately restricting the false discovery rate. We further identified when a deviation from the proposed longitudinal gut microbiota patterns would result in an abnormal growth outcome (either rapid or decreased growth at six months of life). We found developmental pathways of Staphylococcus species and Escherichia coli that were associated with expected growth, as well as indications that Bacteroides species at day 30 was associated with growth.","DOI":"10.1371/journal.pcbi.1003042","journalAbbreviation":"PLoS Comput Biol","author":[{"family":"White","given":"Richard A."},{"family":"Bjørnholt","given":"Jørgen V."},{"family":"Baird","given":"Donna D."},{"family":"Midtvedt","given":"Tore"},{"family":"Harris","given":"Jennifer R."},{"family":"Pagano","given":"Marcello"},{"family":"Hide","given":"Winston"},{"family":"Rudi","given":"Knut"},{"family":"Moen","given":"Birgitte"},{"family":"Iszatt","given":"Nina"},{"family":"Peddada","given":"Shyamal D."},{"family":"Eggesbø","given":"Merete"}],"issued":{"date-parts":[["2013",5,9]]}}},{"id":4501,"uris":["http://zotero.org/users/1744593/items/6GWBMWSZ"],"uri":["http://zotero.org/users/1744593/items/6GWBMWSZ"],"itemData":{"id":4501,"type":"article-journal","title":"Intestinal Microbiota and Weight-Gain in Preterm Neonates","container-title":"Frontiers in Microbiology","page":"183","volume":"8","source":"PubMed","abstract":"The involvement of the gut microbiota on weight-gain and its relationship with childhood undernutrition and growth has been reported. Thus, the gut microbiota constitutes a potential therapeutic target for preventing growth impairment. However, our knowledge in this area is limited. In this study we aimed at evaluating the relationship among early microbiota, growth, and development in preterm infants. To this end we assessed the levels of specific microorganisms by qPCR, and those of short chain fatty acids by mean of gas-chromatography, in feces from 63 preterm newborns and determined their weight-gain during the first months. The statistical analyses performed indicate an influence of the intestinal microbiota in weight-gain, with the levels of some microorganisms showing a significant association with the weight-gain of the infant. The levels of specific microbial groups during the first days of life were found to affect weight gain by the age of 1 month. Moreover, clustering of the infants on the basis of the microbiota composition at 1 month of age rendered groups which showed differences in weight z-scores. Our results suggest an association between the gut microbiota composition and weight-gain in preterm infants at early life and point out potential microbial targets for favoring growth and maturation in these infants.","DOI":"10.3389/fmicb.2017.00183","ISSN":"1664-302X","note":"PMID: 28228752\nPMCID: PMC5296308","journalAbbreviation":"Front Microbiol","language":"eng","author":[{"family":"Arboleya","given":"Silvia"},{"family":"Martinez-Camblor","given":"Pablo"},{"family":"Solís","given":"Gonzalo"},{"family":"Suárez","given":"Marta"},{"family":"Fernández","given":"Nuria"},{"family":"Los Reyes-Gavilán","given":"Clara G.","non-dropping-particle":"de"},{"family":"Gueimonde","given":"Miguel"}],"issued":{"date-parts":[["2017"]]}}}],"schema":"https://github.com/citation-style-language/schema/raw/master/csl-citation.json"} </w:instrText>
      </w:r>
      <w:r w:rsidRPr="0016289C">
        <w:rPr>
          <w:color w:val="000000" w:themeColor="text1"/>
        </w:rPr>
        <w:fldChar w:fldCharType="separate"/>
      </w:r>
      <w:r w:rsidRPr="0016289C">
        <w:rPr>
          <w:vertAlign w:val="superscript"/>
        </w:rPr>
        <w:t>46,47</w:t>
      </w:r>
      <w:r w:rsidRPr="0016289C">
        <w:rPr>
          <w:color w:val="000000" w:themeColor="text1"/>
        </w:rPr>
        <w:fldChar w:fldCharType="end"/>
      </w:r>
      <w:r w:rsidRPr="0016289C">
        <w:rPr>
          <w:color w:val="000000" w:themeColor="text1"/>
        </w:rPr>
        <w:t>.</w:t>
      </w:r>
    </w:p>
    <w:p w14:paraId="6FB73E87" w14:textId="63E6BA80" w:rsidR="00280A36" w:rsidRPr="0016289C" w:rsidRDefault="00280A36" w:rsidP="00280A36">
      <w:pPr>
        <w:rPr>
          <w:rFonts w:ascii="Times New Roman" w:hAnsi="Times New Roman"/>
        </w:rPr>
      </w:pPr>
    </w:p>
    <w:p w14:paraId="01EDDCAE" w14:textId="1D37A0C8" w:rsidR="00280A36" w:rsidRPr="0016289C" w:rsidRDefault="00280A36" w:rsidP="00280A36">
      <w:pPr>
        <w:pStyle w:val="Default"/>
        <w:rPr>
          <w:color w:val="000000" w:themeColor="text1"/>
        </w:rPr>
      </w:pPr>
    </w:p>
    <w:p w14:paraId="7A1FDA84" w14:textId="14254C9B" w:rsidR="00280A36" w:rsidRPr="00346DFC" w:rsidRDefault="00280A36" w:rsidP="00346DFC">
      <w:pPr>
        <w:spacing w:after="240"/>
        <w:jc w:val="both"/>
        <w:rPr>
          <w:rFonts w:ascii="Times New Roman" w:hAnsi="Times New Roman"/>
          <w:color w:val="000000" w:themeColor="text1"/>
        </w:rPr>
      </w:pPr>
      <w:r w:rsidRPr="0016289C">
        <w:rPr>
          <w:rFonts w:ascii="Times New Roman" w:hAnsi="Times New Roman"/>
          <w:color w:val="000000" w:themeColor="text1"/>
        </w:rPr>
        <w:t>Completion of this trial may position us to conclude that EA therapy</w:t>
      </w:r>
      <w:r w:rsidRPr="0016289C">
        <w:rPr>
          <w:rFonts w:ascii="Times New Roman" w:hAnsi="Times New Roman"/>
          <w:b/>
          <w:color w:val="000000" w:themeColor="text1"/>
        </w:rPr>
        <w:t xml:space="preserve"> worsens </w:t>
      </w:r>
      <w:r w:rsidRPr="0016289C">
        <w:rPr>
          <w:rFonts w:ascii="Times New Roman" w:hAnsi="Times New Roman"/>
          <w:color w:val="000000" w:themeColor="text1"/>
        </w:rPr>
        <w:t>outcomes</w:t>
      </w:r>
      <w:r w:rsidRPr="0016289C">
        <w:rPr>
          <w:rFonts w:ascii="Times New Roman" w:hAnsi="Times New Roman"/>
          <w:b/>
          <w:color w:val="000000" w:themeColor="text1"/>
        </w:rPr>
        <w:t xml:space="preserve"> </w:t>
      </w:r>
      <w:r w:rsidRPr="0016289C">
        <w:rPr>
          <w:rFonts w:ascii="Times New Roman" w:hAnsi="Times New Roman"/>
          <w:color w:val="000000" w:themeColor="text1"/>
        </w:rPr>
        <w:t>or</w:t>
      </w:r>
      <w:r w:rsidRPr="0016289C">
        <w:rPr>
          <w:rFonts w:ascii="Times New Roman" w:hAnsi="Times New Roman"/>
          <w:b/>
          <w:color w:val="000000" w:themeColor="text1"/>
        </w:rPr>
        <w:t xml:space="preserve"> </w:t>
      </w:r>
      <w:r w:rsidRPr="0016289C">
        <w:rPr>
          <w:rFonts w:ascii="Times New Roman" w:hAnsi="Times New Roman"/>
          <w:color w:val="000000" w:themeColor="text1"/>
        </w:rPr>
        <w:t>that</w:t>
      </w:r>
      <w:r w:rsidRPr="0016289C">
        <w:rPr>
          <w:rFonts w:ascii="Times New Roman" w:hAnsi="Times New Roman"/>
          <w:b/>
          <w:color w:val="000000" w:themeColor="text1"/>
        </w:rPr>
        <w:t xml:space="preserve"> </w:t>
      </w:r>
      <w:r w:rsidRPr="0016289C">
        <w:rPr>
          <w:rFonts w:ascii="Times New Roman" w:hAnsi="Times New Roman"/>
          <w:color w:val="000000" w:themeColor="text1"/>
        </w:rPr>
        <w:t>EA</w:t>
      </w:r>
      <w:r w:rsidRPr="0016289C">
        <w:rPr>
          <w:rFonts w:ascii="Times New Roman" w:hAnsi="Times New Roman"/>
          <w:b/>
          <w:color w:val="000000" w:themeColor="text1"/>
        </w:rPr>
        <w:t xml:space="preserve"> improves </w:t>
      </w:r>
      <w:r w:rsidRPr="0016289C">
        <w:rPr>
          <w:rFonts w:ascii="Times New Roman" w:hAnsi="Times New Roman"/>
          <w:color w:val="000000" w:themeColor="text1"/>
        </w:rPr>
        <w:t xml:space="preserve">outcomes in premature infants. If the former is true, results could rapidly be translated into a decrease in antibiotic usage in NICUs. Should we find </w:t>
      </w:r>
      <w:r w:rsidRPr="0016289C">
        <w:rPr>
          <w:rFonts w:ascii="Times New Roman" w:hAnsi="Times New Roman"/>
          <w:i/>
          <w:color w:val="000000" w:themeColor="text1"/>
        </w:rPr>
        <w:t>improved</w:t>
      </w:r>
      <w:r w:rsidRPr="0016289C">
        <w:rPr>
          <w:rFonts w:ascii="Times New Roman" w:hAnsi="Times New Roman"/>
          <w:color w:val="000000" w:themeColor="text1"/>
        </w:rPr>
        <w:t xml:space="preserve"> outcomes with antibiotic administration, this trial would provide physicians with confidence to continue administering EA – a common practice at present despite a lack of high quality data. It is also possible that significant differences will </w:t>
      </w:r>
      <w:r w:rsidRPr="0016289C">
        <w:rPr>
          <w:rFonts w:ascii="Times New Roman" w:hAnsi="Times New Roman"/>
          <w:b/>
          <w:color w:val="000000" w:themeColor="text1"/>
        </w:rPr>
        <w:t>not</w:t>
      </w:r>
      <w:r w:rsidRPr="0016289C">
        <w:rPr>
          <w:rFonts w:ascii="Times New Roman" w:hAnsi="Times New Roman"/>
          <w:color w:val="000000" w:themeColor="text1"/>
        </w:rPr>
        <w:t xml:space="preserve"> be observed between study arms and, depending upon the details, this result may itself be useful to care providers.</w:t>
      </w:r>
    </w:p>
    <w:p w14:paraId="30590022" w14:textId="6670B724" w:rsidR="00DF25D2" w:rsidRPr="001F435C" w:rsidRDefault="00DF25D2" w:rsidP="00DF25D2">
      <w:pPr>
        <w:pStyle w:val="Heading1"/>
        <w:rPr>
          <w:sz w:val="24"/>
        </w:rPr>
      </w:pPr>
      <w:bookmarkStart w:id="4" w:name="_Toc496162132"/>
      <w:r w:rsidRPr="001F435C">
        <w:rPr>
          <w:sz w:val="24"/>
        </w:rPr>
        <w:t>Study Endpoints</w:t>
      </w:r>
      <w:bookmarkEnd w:id="4"/>
    </w:p>
    <w:p w14:paraId="10B1A2BF" w14:textId="77777777" w:rsidR="002E3A26" w:rsidRDefault="002E3A26" w:rsidP="00593850">
      <w:pPr>
        <w:pStyle w:val="Heading1"/>
        <w:numPr>
          <w:ilvl w:val="0"/>
          <w:numId w:val="0"/>
        </w:numPr>
        <w:rPr>
          <w:b w:val="0"/>
          <w:bCs/>
          <w:sz w:val="24"/>
          <w:szCs w:val="24"/>
        </w:rPr>
      </w:pPr>
    </w:p>
    <w:p w14:paraId="7CCE20A1" w14:textId="68503531" w:rsidR="00593850" w:rsidRPr="00593850" w:rsidRDefault="00593850" w:rsidP="00593850">
      <w:pPr>
        <w:pStyle w:val="Heading1"/>
        <w:numPr>
          <w:ilvl w:val="0"/>
          <w:numId w:val="0"/>
        </w:numPr>
        <w:rPr>
          <w:b w:val="0"/>
          <w:bCs/>
          <w:sz w:val="24"/>
          <w:szCs w:val="24"/>
        </w:rPr>
      </w:pPr>
      <w:r w:rsidRPr="00593850">
        <w:rPr>
          <w:b w:val="0"/>
          <w:bCs/>
          <w:sz w:val="24"/>
          <w:szCs w:val="24"/>
        </w:rPr>
        <w:t xml:space="preserve">Primary </w:t>
      </w:r>
      <w:r w:rsidR="00105BCD">
        <w:rPr>
          <w:b w:val="0"/>
          <w:bCs/>
          <w:sz w:val="24"/>
          <w:szCs w:val="24"/>
        </w:rPr>
        <w:t>O</w:t>
      </w:r>
      <w:r w:rsidRPr="00593850">
        <w:rPr>
          <w:b w:val="0"/>
          <w:bCs/>
          <w:sz w:val="24"/>
          <w:szCs w:val="24"/>
        </w:rPr>
        <w:t xml:space="preserve">utcome: </w:t>
      </w:r>
      <w:r w:rsidRPr="00593850">
        <w:rPr>
          <w:rFonts w:eastAsiaTheme="minorEastAsia"/>
          <w:b w:val="0"/>
          <w:bCs/>
          <w:sz w:val="24"/>
          <w:szCs w:val="24"/>
          <w:lang w:eastAsia="zh-CN"/>
        </w:rPr>
        <w:t>Composite</w:t>
      </w:r>
      <w:r w:rsidRPr="00593850">
        <w:rPr>
          <w:b w:val="0"/>
          <w:bCs/>
          <w:sz w:val="24"/>
          <w:szCs w:val="24"/>
        </w:rPr>
        <w:t xml:space="preserve"> </w:t>
      </w:r>
      <w:r w:rsidRPr="00593850">
        <w:rPr>
          <w:rFonts w:eastAsiaTheme="minorEastAsia"/>
          <w:b w:val="0"/>
          <w:bCs/>
          <w:sz w:val="24"/>
          <w:szCs w:val="24"/>
          <w:lang w:eastAsia="zh-CN"/>
        </w:rPr>
        <w:t xml:space="preserve">incidence of adverse outcomes (NEC, LOS, or death during the index hospitalization). </w:t>
      </w:r>
    </w:p>
    <w:p w14:paraId="0AC6AA37" w14:textId="77777777" w:rsidR="00593850" w:rsidRPr="00593850" w:rsidRDefault="00593850" w:rsidP="00593850">
      <w:pPr>
        <w:pStyle w:val="Heading1"/>
        <w:numPr>
          <w:ilvl w:val="0"/>
          <w:numId w:val="0"/>
        </w:numPr>
        <w:rPr>
          <w:b w:val="0"/>
          <w:bCs/>
          <w:sz w:val="24"/>
          <w:szCs w:val="24"/>
        </w:rPr>
      </w:pPr>
    </w:p>
    <w:p w14:paraId="027CBED9" w14:textId="108FD666" w:rsidR="00593850" w:rsidRPr="00593850" w:rsidRDefault="00593850" w:rsidP="00593850">
      <w:pPr>
        <w:pStyle w:val="Heading1"/>
        <w:numPr>
          <w:ilvl w:val="0"/>
          <w:numId w:val="0"/>
        </w:numPr>
        <w:rPr>
          <w:b w:val="0"/>
          <w:bCs/>
          <w:sz w:val="24"/>
          <w:szCs w:val="24"/>
        </w:rPr>
      </w:pPr>
      <w:r w:rsidRPr="00593850">
        <w:rPr>
          <w:b w:val="0"/>
          <w:bCs/>
          <w:sz w:val="24"/>
          <w:szCs w:val="24"/>
        </w:rPr>
        <w:t>NEC will be defined strictly by Bell’s stage II or III criteria for moderate or advanced NEC</w:t>
      </w:r>
      <w:r w:rsidRPr="00593850">
        <w:rPr>
          <w:b w:val="0"/>
          <w:bCs/>
          <w:sz w:val="24"/>
          <w:szCs w:val="24"/>
        </w:rPr>
        <w:fldChar w:fldCharType="begin"/>
      </w:r>
      <w:r w:rsidRPr="00593850">
        <w:rPr>
          <w:b w:val="0"/>
          <w:bCs/>
          <w:sz w:val="24"/>
          <w:szCs w:val="24"/>
        </w:rPr>
        <w:instrText xml:space="preserve"> ADDIN ZOTERO_ITEM CSL_CITATION {"citationID":"UIWUjme6","properties":{"formattedCitation":"\\super 50\\nosupersub{}","plainCitation":"50","noteIndex":0},"citationItems":[{"id":3770,"uris":["http://zotero.org/users/1744593/items/TSW55IE9"],"uri":["http://zotero.org/users/1744593/items/TSW55IE9"],"itemData":{"id":3770,"type":"article-journal","title":"Necrotizing enterocolitis: new insights into pathogenesis and mechanisms","container-title":"Nature Reviews Gastroenterology &amp; Hepatology","page":"590-600","volume":"13","issue":"10","source":"www.nature.com","abstract":"Necrotizing enterocolitis (NEC) is the most frequent and lethal disease of the gastrointestinal tract of preterm infants. At present, NEC is thought to develop in the premature host in the setting of bacterial colonization, often after administration of non-breast milk feeds, and disease onset is thought to be due in part to a baseline increased reactivity of the premature intestinal mucosa to microbial ligands as compared with the full-term intestinal mucosa. The increased reactivity leads to mucosal destruction and impaired mesenteric perfusion and partly reflects an increased expression of the bacterial receptor Toll-like receptor 4 (TLR4) in the premature gut, as well as other factors that predispose the intestine to a hyper-reactive state in response to colonizing microorganisms. The increased expression of TLR4 in the premature gut reflects a surprising role for this molecule in the regulation of normal intestinal development through its effects on the Notch signalling pathway. This Review will examine the current approach to the diagnosis and treatment of NEC, provide an overview of our current knowledge regarding its molecular underpinnings and highlight advances made within the past decade towards the development of specific preventive and treatment strategies for this devastating disease.","DOI":"10.1038/nrgastro.2016.119","ISSN":"1759-5045","shortTitle":"Necrotizing enterocolitis","journalAbbreviation":"Nat Rev Gastroenterol Hepatol","language":"en","author":[{"family":"Niño","given":"Diego F."},{"family":"Sodhi","given":"Chhinder P."},{"family":"Hackam","given":"David J."}],"issued":{"date-parts":[["2016",10]]}}}],"schema":"https://github.com/citation-style-language/schema/raw/master/csl-citation.json"} </w:instrText>
      </w:r>
      <w:r w:rsidRPr="00593850">
        <w:rPr>
          <w:b w:val="0"/>
          <w:bCs/>
          <w:sz w:val="24"/>
          <w:szCs w:val="24"/>
        </w:rPr>
        <w:fldChar w:fldCharType="separate"/>
      </w:r>
      <w:r w:rsidRPr="00593850">
        <w:rPr>
          <w:b w:val="0"/>
          <w:bCs/>
          <w:color w:val="000000"/>
          <w:sz w:val="24"/>
          <w:szCs w:val="24"/>
          <w:vertAlign w:val="superscript"/>
        </w:rPr>
        <w:t>50</w:t>
      </w:r>
      <w:r w:rsidRPr="00593850">
        <w:rPr>
          <w:b w:val="0"/>
          <w:bCs/>
          <w:sz w:val="24"/>
          <w:szCs w:val="24"/>
        </w:rPr>
        <w:fldChar w:fldCharType="end"/>
      </w:r>
      <w:r w:rsidRPr="00593850">
        <w:rPr>
          <w:b w:val="0"/>
          <w:bCs/>
          <w:sz w:val="24"/>
          <w:szCs w:val="24"/>
        </w:rPr>
        <w:t xml:space="preserve">.  To reduce overlap between NEC and diagnosis of spontaneous intestinal perforation, the diagnosis of NEC will only be considered in infants &gt; 7 days of age. LOS is </w:t>
      </w:r>
      <w:r w:rsidRPr="001F79E7">
        <w:t>defined as</w:t>
      </w:r>
      <w:r w:rsidRPr="001F79E7">
        <w:rPr>
          <w:rStyle w:val="s1"/>
          <w:b w:val="0"/>
          <w:bCs/>
          <w:color w:val="000000" w:themeColor="text1"/>
          <w:sz w:val="22"/>
          <w:szCs w:val="24"/>
        </w:rPr>
        <w:t xml:space="preserve"> </w:t>
      </w:r>
      <w:r w:rsidRPr="00593850">
        <w:rPr>
          <w:rStyle w:val="s1"/>
          <w:b w:val="0"/>
          <w:bCs/>
          <w:color w:val="000000" w:themeColor="text1"/>
          <w:sz w:val="24"/>
          <w:szCs w:val="24"/>
        </w:rPr>
        <w:t>a positive blood culture obtained after 72 hours of life and intent to treat with antibiotics for 5 days or more</w:t>
      </w:r>
      <w:r w:rsidRPr="00593850">
        <w:rPr>
          <w:rStyle w:val="s1"/>
          <w:b w:val="0"/>
          <w:bCs/>
          <w:color w:val="000000" w:themeColor="text1"/>
          <w:sz w:val="24"/>
          <w:szCs w:val="24"/>
        </w:rPr>
        <w:fldChar w:fldCharType="begin"/>
      </w:r>
      <w:r w:rsidRPr="00593850">
        <w:rPr>
          <w:rStyle w:val="s1"/>
          <w:b w:val="0"/>
          <w:bCs/>
          <w:color w:val="000000" w:themeColor="text1"/>
          <w:sz w:val="24"/>
          <w:szCs w:val="24"/>
        </w:rPr>
        <w:instrText xml:space="preserve"> ADDIN ZOTERO_ITEM CSL_CITATION {"citationID":"1adle3cdgs","properties":{"formattedCitation":"\\super 195\\nosupersub{}","plainCitation":"195","noteIndex":0},"citationItems":[{"id":935,"uris":["http://zotero.org/users/1744593/items/SI4FKRF9"],"uri":["http://zotero.org/users/1744593/items/SI4FKRF9"],"itemData":{"id":935,"type":"article-journal","title":"Late-Onset Sepsis in Very Low Birth Weight Infants from Singleton and Multiple-Gestation Births","container-title":"The Journal of Pediatrics","page":"1120-1124.e1","volume":"162","issue":"6","source":"ScienceDirect","abstract":"Objectives\nTo describe and compare the incidence of late-onset sepsis (LOS) and demographic and clinical characteristics associated with LOS in very low birth weight (VLBW) infants from singleton and multiple births, and to examine the heritability of susceptibility to LOS among VLBW twins by comparing same-sex and unlike-sex twin pairs.\nStudy design\nThe study group comprised infants with birth weight 401-1500 g seen at clinical centers of the Eunice Kennedy Shriver National Institute of Child and Human Development Neonatal Research Network between 2002 and 2008. Only the first episode of LOS was included in our analysis. Stepwise logistic regression models were fitted separately for singleton and multiple pregnancies to examine the maternal and neonatal factors associated with LOS. LOS due solely to gram-negative bacteria in singleton and multiple pregnancies was also examined in separate models. The heritability of LOS was estimated by examining the concordance of LOS in twins from same-sex and unlike-sex pairs.\nResults\nLOS occurred in 25.0% (3797 of 15 178) of singleton and 22.6% (1196 of 5294) of multiple-birth VLBW infants. Coagulase-negative staphylococci were the most common infecting organisms, accounting for 53.2% of all LOS episodes in singletons and 49.2% in multiples. Escherichia coli and Klebsiella species were the most commonly isolated gram-negative organisms, and Candida albicans was the most commonly isolated fungus. Concordance of LOS did not differ significantly between same-sex and unlike-sex twin pairs.\nConclusion\nLOS remains a common problem in VLBW infants. The incidence of LOS is similar for singleton and multiple-birth infants. The similar concordance of LOS in same-sex and unlike-sex twin pairs provides no evidence that susceptibility to LOS among VLBW infants is genetically determined.","DOI":"10.1016/j.jpeds.2012.11.089","ISSN":"0022-3476","journalAbbreviation":"The Journal of Pediatrics","author":[{"family":"Boghossian","given":"Nansi S."},{"family":"Page","given":"Grier P."},{"family":"Bell","given":"Edward F."},{"family":"Stoll","given":"Barbara J."},{"family":"Murray","given":"Jeffrey C."},{"family":"Cotten","given":"C. Michael"},{"family":"Shankaran","given":"Seetha"},{"family":"Walsh","given":"Michele C."},{"family":"Laptook","given":"Abbot R."},{"family":"Newman","given":"Nancy S."},{"family":"Hale","given":"Ellen C."},{"family":"McDonald","given":"Scott A."},{"family":"Das","given":"Abhik"},{"family":"Higgins","given":"Rosemary D."}],"issued":{"date-parts":[["2013",6]]}}}],"schema":"https://github.com/citation-style-language/schema/raw/master/csl-citation.json"} </w:instrText>
      </w:r>
      <w:r w:rsidRPr="00593850">
        <w:rPr>
          <w:rStyle w:val="s1"/>
          <w:b w:val="0"/>
          <w:bCs/>
          <w:color w:val="000000" w:themeColor="text1"/>
          <w:sz w:val="24"/>
          <w:szCs w:val="24"/>
        </w:rPr>
        <w:fldChar w:fldCharType="separate"/>
      </w:r>
      <w:r w:rsidRPr="00593850">
        <w:rPr>
          <w:b w:val="0"/>
          <w:bCs/>
          <w:color w:val="000000"/>
          <w:sz w:val="24"/>
          <w:szCs w:val="24"/>
          <w:vertAlign w:val="superscript"/>
        </w:rPr>
        <w:t>195</w:t>
      </w:r>
      <w:r w:rsidRPr="00593850">
        <w:rPr>
          <w:rStyle w:val="s1"/>
          <w:b w:val="0"/>
          <w:bCs/>
          <w:color w:val="000000" w:themeColor="text1"/>
          <w:sz w:val="24"/>
          <w:szCs w:val="24"/>
        </w:rPr>
        <w:fldChar w:fldCharType="end"/>
      </w:r>
      <w:r w:rsidRPr="00593850">
        <w:rPr>
          <w:rStyle w:val="s1"/>
          <w:b w:val="0"/>
          <w:bCs/>
          <w:color w:val="000000" w:themeColor="text1"/>
          <w:sz w:val="24"/>
          <w:szCs w:val="24"/>
        </w:rPr>
        <w:t>.</w:t>
      </w:r>
      <w:r w:rsidRPr="00593850">
        <w:rPr>
          <w:rStyle w:val="apple-converted-space"/>
          <w:b w:val="0"/>
          <w:bCs/>
          <w:color w:val="000000" w:themeColor="text1"/>
          <w:sz w:val="24"/>
          <w:szCs w:val="24"/>
        </w:rPr>
        <w:t> </w:t>
      </w:r>
      <w:r w:rsidRPr="00593850">
        <w:rPr>
          <w:b w:val="0"/>
          <w:bCs/>
          <w:sz w:val="24"/>
          <w:szCs w:val="24"/>
        </w:rPr>
        <w:t>Death is defined as death during the index hospitalization.</w:t>
      </w:r>
    </w:p>
    <w:p w14:paraId="06B24D86" w14:textId="77777777" w:rsidR="00593850" w:rsidRPr="00593850" w:rsidRDefault="00593850" w:rsidP="00593850">
      <w:pPr>
        <w:rPr>
          <w:rFonts w:ascii="Times New Roman" w:hAnsi="Times New Roman"/>
          <w:bCs/>
        </w:rPr>
      </w:pPr>
    </w:p>
    <w:p w14:paraId="62DEC00E" w14:textId="76376315" w:rsidR="00280A36" w:rsidRPr="00EC5811" w:rsidRDefault="00105BCD" w:rsidP="00EC5811">
      <w:pPr>
        <w:pStyle w:val="Default"/>
        <w:rPr>
          <w:bCs/>
          <w:i/>
          <w:color w:val="auto"/>
        </w:rPr>
      </w:pPr>
      <w:r w:rsidRPr="00593850">
        <w:rPr>
          <w:bCs/>
        </w:rPr>
        <w:t>Secondary</w:t>
      </w:r>
      <w:r w:rsidR="00593850" w:rsidRPr="00593850">
        <w:rPr>
          <w:bCs/>
        </w:rPr>
        <w:t xml:space="preserve"> </w:t>
      </w:r>
      <w:r>
        <w:rPr>
          <w:bCs/>
        </w:rPr>
        <w:t>O</w:t>
      </w:r>
      <w:r w:rsidR="00593850" w:rsidRPr="00593850">
        <w:rPr>
          <w:bCs/>
        </w:rPr>
        <w:t xml:space="preserve">utcomes: </w:t>
      </w:r>
      <w:r w:rsidR="00593850" w:rsidRPr="00593850">
        <w:rPr>
          <w:rFonts w:eastAsiaTheme="minorEastAsia"/>
          <w:bCs/>
          <w:lang w:eastAsia="zh-CN"/>
        </w:rPr>
        <w:t>NEC during the index hospitalization, LOS during the index hospitalization, or death during the index hospitalization</w:t>
      </w:r>
      <w:r w:rsidR="00EC5811">
        <w:rPr>
          <w:rFonts w:eastAsiaTheme="minorEastAsia"/>
          <w:bCs/>
          <w:lang w:eastAsia="zh-CN"/>
        </w:rPr>
        <w:t>.</w:t>
      </w:r>
    </w:p>
    <w:p w14:paraId="21280605" w14:textId="77777777" w:rsidR="00280A36" w:rsidRPr="0016289C" w:rsidRDefault="00280A36" w:rsidP="00280A36">
      <w:pPr>
        <w:pStyle w:val="Default"/>
        <w:rPr>
          <w:i/>
          <w:color w:val="auto"/>
        </w:rPr>
      </w:pPr>
      <w:bookmarkStart w:id="5" w:name="_Toc496162133"/>
    </w:p>
    <w:p w14:paraId="17DFC9FC" w14:textId="2130C414" w:rsidR="00EC5811" w:rsidRPr="001F435C" w:rsidRDefault="00297491" w:rsidP="001F435C">
      <w:pPr>
        <w:pStyle w:val="Heading1"/>
        <w:rPr>
          <w:bCs/>
          <w:sz w:val="20"/>
          <w:szCs w:val="22"/>
        </w:rPr>
      </w:pPr>
      <w:r w:rsidRPr="001F435C">
        <w:rPr>
          <w:sz w:val="24"/>
        </w:rPr>
        <w:t>Study Intervention/Investigational Agent</w:t>
      </w:r>
      <w:bookmarkEnd w:id="5"/>
    </w:p>
    <w:p w14:paraId="0C1E0D4E" w14:textId="77F12B6B" w:rsidR="00EC5811" w:rsidRDefault="00EC5811" w:rsidP="00EC5811">
      <w:pPr>
        <w:pStyle w:val="Default"/>
      </w:pPr>
    </w:p>
    <w:p w14:paraId="133C64F2" w14:textId="48021A85" w:rsidR="00EC5811" w:rsidRPr="0016289C" w:rsidRDefault="00EC5811" w:rsidP="00EC5811">
      <w:pPr>
        <w:pBdr>
          <w:top w:val="nil"/>
          <w:left w:val="nil"/>
          <w:bottom w:val="nil"/>
          <w:right w:val="nil"/>
          <w:between w:val="nil"/>
        </w:pBdr>
        <w:rPr>
          <w:rFonts w:ascii="Times New Roman" w:hAnsi="Times New Roman"/>
        </w:rPr>
      </w:pPr>
      <w:r w:rsidRPr="0016289C">
        <w:rPr>
          <w:rFonts w:ascii="Times New Roman" w:hAnsi="Times New Roman"/>
        </w:rPr>
        <w:t xml:space="preserve">Once maternal and infant eligibility are established, infants will be randomized into one of two different study groups: receiving conventional </w:t>
      </w:r>
      <w:r>
        <w:rPr>
          <w:rFonts w:ascii="Times New Roman" w:hAnsi="Times New Roman"/>
        </w:rPr>
        <w:t xml:space="preserve">empiric antibiotics (ampicillin </w:t>
      </w:r>
      <w:r w:rsidR="001772B1">
        <w:rPr>
          <w:rFonts w:ascii="Times New Roman" w:hAnsi="Times New Roman"/>
        </w:rPr>
        <w:t>and</w:t>
      </w:r>
      <w:r>
        <w:rPr>
          <w:rFonts w:ascii="Times New Roman" w:hAnsi="Times New Roman"/>
        </w:rPr>
        <w:t xml:space="preserve"> gentamicin)</w:t>
      </w:r>
      <w:r w:rsidRPr="0016289C">
        <w:rPr>
          <w:rFonts w:ascii="Times New Roman" w:hAnsi="Times New Roman"/>
        </w:rPr>
        <w:t xml:space="preserve"> or placebo while completing an evaluation for early onset sepsis. It is essential that randomization occurs within the first 4 hours of life</w:t>
      </w:r>
      <w:r w:rsidR="00C51C99">
        <w:rPr>
          <w:rFonts w:ascii="Times New Roman" w:hAnsi="Times New Roman"/>
        </w:rPr>
        <w:t>.</w:t>
      </w:r>
      <w:r w:rsidRPr="0016289C">
        <w:rPr>
          <w:rFonts w:ascii="Times New Roman" w:hAnsi="Times New Roman"/>
        </w:rPr>
        <w:t xml:space="preserve"> </w:t>
      </w:r>
    </w:p>
    <w:p w14:paraId="7A1BB003" w14:textId="77777777" w:rsidR="00EC5811" w:rsidRPr="00EC5811" w:rsidRDefault="00EC5811" w:rsidP="00EC5811">
      <w:pPr>
        <w:pStyle w:val="Default"/>
      </w:pPr>
    </w:p>
    <w:p w14:paraId="7EA697FC" w14:textId="3AAE7F4D" w:rsidR="00297491" w:rsidRPr="001F435C" w:rsidRDefault="008E7F8E" w:rsidP="001F435C">
      <w:pPr>
        <w:rPr>
          <w:rFonts w:ascii="Times New Roman" w:hAnsi="Times New Roman"/>
        </w:rPr>
      </w:pPr>
      <w:r w:rsidRPr="001F435C">
        <w:rPr>
          <w:rFonts w:ascii="Times New Roman" w:hAnsi="Times New Roman"/>
        </w:rPr>
        <w:t>All</w:t>
      </w:r>
      <w:r w:rsidRPr="001F435C">
        <w:rPr>
          <w:rFonts w:ascii="Times New Roman" w:hAnsi="Times New Roman"/>
          <w:spacing w:val="18"/>
        </w:rPr>
        <w:t xml:space="preserve"> </w:t>
      </w:r>
      <w:r w:rsidRPr="001F435C">
        <w:rPr>
          <w:rFonts w:ascii="Times New Roman" w:hAnsi="Times New Roman"/>
        </w:rPr>
        <w:t>key</w:t>
      </w:r>
      <w:r w:rsidRPr="001F435C">
        <w:rPr>
          <w:rFonts w:ascii="Times New Roman" w:hAnsi="Times New Roman"/>
          <w:spacing w:val="19"/>
        </w:rPr>
        <w:t xml:space="preserve"> </w:t>
      </w:r>
      <w:r w:rsidRPr="001F435C">
        <w:rPr>
          <w:rFonts w:ascii="Times New Roman" w:hAnsi="Times New Roman"/>
        </w:rPr>
        <w:t>resources</w:t>
      </w:r>
      <w:r w:rsidRPr="001F435C">
        <w:rPr>
          <w:rFonts w:ascii="Times New Roman" w:hAnsi="Times New Roman"/>
          <w:spacing w:val="20"/>
        </w:rPr>
        <w:t xml:space="preserve"> </w:t>
      </w:r>
      <w:r w:rsidRPr="001F435C">
        <w:rPr>
          <w:rFonts w:ascii="Times New Roman" w:hAnsi="Times New Roman"/>
        </w:rPr>
        <w:t>for</w:t>
      </w:r>
      <w:r w:rsidRPr="001F435C">
        <w:rPr>
          <w:rFonts w:ascii="Times New Roman" w:hAnsi="Times New Roman"/>
          <w:spacing w:val="20"/>
        </w:rPr>
        <w:t xml:space="preserve"> </w:t>
      </w:r>
      <w:r w:rsidRPr="001F435C">
        <w:rPr>
          <w:rFonts w:ascii="Times New Roman" w:hAnsi="Times New Roman"/>
        </w:rPr>
        <w:t>this</w:t>
      </w:r>
      <w:r w:rsidRPr="001F435C">
        <w:rPr>
          <w:rFonts w:ascii="Times New Roman" w:hAnsi="Times New Roman"/>
          <w:spacing w:val="19"/>
        </w:rPr>
        <w:t xml:space="preserve"> </w:t>
      </w:r>
      <w:r w:rsidRPr="001F435C">
        <w:rPr>
          <w:rFonts w:ascii="Times New Roman" w:hAnsi="Times New Roman"/>
        </w:rPr>
        <w:t>proposal</w:t>
      </w:r>
      <w:r w:rsidRPr="001F435C">
        <w:rPr>
          <w:rFonts w:ascii="Times New Roman" w:hAnsi="Times New Roman"/>
          <w:spacing w:val="19"/>
        </w:rPr>
        <w:t xml:space="preserve"> </w:t>
      </w:r>
      <w:r w:rsidRPr="001F435C">
        <w:rPr>
          <w:rFonts w:ascii="Times New Roman" w:hAnsi="Times New Roman"/>
        </w:rPr>
        <w:t>will</w:t>
      </w:r>
      <w:r w:rsidRPr="001F435C">
        <w:rPr>
          <w:rFonts w:ascii="Times New Roman" w:hAnsi="Times New Roman"/>
          <w:spacing w:val="18"/>
        </w:rPr>
        <w:t xml:space="preserve"> </w:t>
      </w:r>
      <w:r w:rsidRPr="001F435C">
        <w:rPr>
          <w:rFonts w:ascii="Times New Roman" w:hAnsi="Times New Roman"/>
        </w:rPr>
        <w:t>be</w:t>
      </w:r>
      <w:r w:rsidRPr="001F435C">
        <w:rPr>
          <w:rFonts w:ascii="Times New Roman" w:hAnsi="Times New Roman"/>
          <w:spacing w:val="21"/>
        </w:rPr>
        <w:t xml:space="preserve"> </w:t>
      </w:r>
      <w:r w:rsidRPr="001F435C">
        <w:rPr>
          <w:rFonts w:ascii="Times New Roman" w:hAnsi="Times New Roman"/>
        </w:rPr>
        <w:t>authenticated</w:t>
      </w:r>
      <w:r w:rsidRPr="001F435C">
        <w:rPr>
          <w:rFonts w:ascii="Times New Roman" w:hAnsi="Times New Roman"/>
          <w:spacing w:val="21"/>
        </w:rPr>
        <w:t xml:space="preserve"> </w:t>
      </w:r>
      <w:r w:rsidRPr="001F435C">
        <w:rPr>
          <w:rFonts w:ascii="Times New Roman" w:hAnsi="Times New Roman"/>
        </w:rPr>
        <w:t>to</w:t>
      </w:r>
      <w:r w:rsidRPr="001F435C">
        <w:rPr>
          <w:rFonts w:ascii="Times New Roman" w:hAnsi="Times New Roman"/>
          <w:spacing w:val="20"/>
        </w:rPr>
        <w:t xml:space="preserve"> </w:t>
      </w:r>
      <w:r w:rsidRPr="001F435C">
        <w:rPr>
          <w:rFonts w:ascii="Times New Roman" w:hAnsi="Times New Roman"/>
        </w:rPr>
        <w:t>enhance</w:t>
      </w:r>
      <w:r w:rsidRPr="001F435C">
        <w:rPr>
          <w:rFonts w:ascii="Times New Roman" w:hAnsi="Times New Roman"/>
          <w:spacing w:val="21"/>
        </w:rPr>
        <w:t xml:space="preserve"> </w:t>
      </w:r>
      <w:r w:rsidRPr="001F435C">
        <w:rPr>
          <w:rFonts w:ascii="Times New Roman" w:hAnsi="Times New Roman"/>
        </w:rPr>
        <w:t>the</w:t>
      </w:r>
      <w:r w:rsidRPr="001F435C">
        <w:rPr>
          <w:rFonts w:ascii="Times New Roman" w:hAnsi="Times New Roman"/>
          <w:spacing w:val="21"/>
        </w:rPr>
        <w:t xml:space="preserve"> </w:t>
      </w:r>
      <w:r w:rsidRPr="001F435C">
        <w:rPr>
          <w:rFonts w:ascii="Times New Roman" w:hAnsi="Times New Roman"/>
        </w:rPr>
        <w:t>reproducibility</w:t>
      </w:r>
      <w:r w:rsidRPr="001F435C">
        <w:rPr>
          <w:rFonts w:ascii="Times New Roman" w:hAnsi="Times New Roman"/>
          <w:spacing w:val="20"/>
        </w:rPr>
        <w:t xml:space="preserve"> </w:t>
      </w:r>
      <w:r w:rsidRPr="001F435C">
        <w:rPr>
          <w:rFonts w:ascii="Times New Roman" w:hAnsi="Times New Roman"/>
        </w:rPr>
        <w:t>of</w:t>
      </w:r>
      <w:r w:rsidRPr="001F435C">
        <w:rPr>
          <w:rFonts w:ascii="Times New Roman" w:hAnsi="Times New Roman"/>
          <w:spacing w:val="19"/>
        </w:rPr>
        <w:t xml:space="preserve"> </w:t>
      </w:r>
      <w:r w:rsidRPr="001F435C">
        <w:rPr>
          <w:rFonts w:ascii="Times New Roman" w:hAnsi="Times New Roman"/>
        </w:rPr>
        <w:t>our data,</w:t>
      </w:r>
      <w:r w:rsidRPr="001F435C">
        <w:rPr>
          <w:rFonts w:ascii="Times New Roman" w:hAnsi="Times New Roman"/>
          <w:spacing w:val="19"/>
        </w:rPr>
        <w:t xml:space="preserve"> </w:t>
      </w:r>
      <w:r w:rsidRPr="001F435C">
        <w:rPr>
          <w:rFonts w:ascii="Times New Roman" w:hAnsi="Times New Roman"/>
        </w:rPr>
        <w:t>as</w:t>
      </w:r>
      <w:r w:rsidRPr="001F435C">
        <w:rPr>
          <w:rFonts w:ascii="Times New Roman" w:hAnsi="Times New Roman"/>
          <w:spacing w:val="70"/>
          <w:w w:val="102"/>
        </w:rPr>
        <w:t xml:space="preserve"> </w:t>
      </w:r>
      <w:r w:rsidRPr="001F435C">
        <w:rPr>
          <w:rFonts w:ascii="Times New Roman" w:hAnsi="Times New Roman"/>
        </w:rPr>
        <w:t>appropriate</w:t>
      </w:r>
      <w:r w:rsidRPr="001F435C">
        <w:rPr>
          <w:rFonts w:ascii="Times New Roman" w:hAnsi="Times New Roman"/>
          <w:spacing w:val="25"/>
        </w:rPr>
        <w:t xml:space="preserve"> </w:t>
      </w:r>
      <w:r w:rsidRPr="001F435C">
        <w:rPr>
          <w:rFonts w:ascii="Times New Roman" w:hAnsi="Times New Roman"/>
        </w:rPr>
        <w:t>and</w:t>
      </w:r>
      <w:r w:rsidRPr="001F435C">
        <w:rPr>
          <w:rFonts w:ascii="Times New Roman" w:hAnsi="Times New Roman"/>
          <w:spacing w:val="25"/>
        </w:rPr>
        <w:t xml:space="preserve"> </w:t>
      </w:r>
      <w:r w:rsidRPr="001F435C">
        <w:rPr>
          <w:rFonts w:ascii="Times New Roman" w:hAnsi="Times New Roman"/>
        </w:rPr>
        <w:t>according</w:t>
      </w:r>
      <w:r w:rsidRPr="001F435C">
        <w:rPr>
          <w:rFonts w:ascii="Times New Roman" w:hAnsi="Times New Roman"/>
          <w:spacing w:val="25"/>
        </w:rPr>
        <w:t xml:space="preserve"> </w:t>
      </w:r>
      <w:r w:rsidRPr="001F435C">
        <w:rPr>
          <w:rFonts w:ascii="Times New Roman" w:hAnsi="Times New Roman"/>
        </w:rPr>
        <w:t>to</w:t>
      </w:r>
      <w:r w:rsidRPr="001F435C">
        <w:rPr>
          <w:rFonts w:ascii="Times New Roman" w:hAnsi="Times New Roman"/>
          <w:spacing w:val="26"/>
        </w:rPr>
        <w:t xml:space="preserve"> </w:t>
      </w:r>
      <w:r w:rsidRPr="001F435C">
        <w:rPr>
          <w:rFonts w:ascii="Times New Roman" w:hAnsi="Times New Roman"/>
        </w:rPr>
        <w:t>NIH</w:t>
      </w:r>
      <w:r w:rsidRPr="001F435C">
        <w:rPr>
          <w:rFonts w:ascii="Times New Roman" w:hAnsi="Times New Roman"/>
          <w:spacing w:val="26"/>
        </w:rPr>
        <w:t xml:space="preserve"> </w:t>
      </w:r>
      <w:r w:rsidRPr="001F435C">
        <w:rPr>
          <w:rFonts w:ascii="Times New Roman" w:hAnsi="Times New Roman"/>
        </w:rPr>
        <w:t>policy</w:t>
      </w:r>
      <w:r w:rsidRPr="001F435C">
        <w:rPr>
          <w:rFonts w:ascii="Times New Roman" w:hAnsi="Times New Roman"/>
          <w:spacing w:val="26"/>
        </w:rPr>
        <w:t xml:space="preserve"> </w:t>
      </w:r>
      <w:r w:rsidRPr="001F435C">
        <w:rPr>
          <w:rFonts w:ascii="Times New Roman" w:hAnsi="Times New Roman"/>
        </w:rPr>
        <w:t>(Notice</w:t>
      </w:r>
      <w:r w:rsidRPr="001F435C">
        <w:rPr>
          <w:rFonts w:ascii="Times New Roman" w:hAnsi="Times New Roman"/>
          <w:spacing w:val="25"/>
        </w:rPr>
        <w:t xml:space="preserve"> </w:t>
      </w:r>
      <w:r w:rsidRPr="001F435C">
        <w:rPr>
          <w:rFonts w:ascii="Times New Roman" w:hAnsi="Times New Roman"/>
        </w:rPr>
        <w:t>Number:</w:t>
      </w:r>
      <w:r w:rsidRPr="001F435C">
        <w:rPr>
          <w:rFonts w:ascii="Times New Roman" w:hAnsi="Times New Roman"/>
          <w:spacing w:val="24"/>
        </w:rPr>
        <w:t xml:space="preserve"> </w:t>
      </w:r>
      <w:r w:rsidRPr="001F435C">
        <w:rPr>
          <w:rFonts w:ascii="Times New Roman" w:hAnsi="Times New Roman"/>
        </w:rPr>
        <w:t xml:space="preserve">NOT-OD-17-068). Antibiotics used in this clinical trial will be commercially available pharmaceuticals sourced individually at each study site and administered to investigative pharmacy SOPs specific to each site. Lot numbers will be tracked to aid in identifying reagents that may be performing outside acceptable limits.  </w:t>
      </w:r>
    </w:p>
    <w:p w14:paraId="40942731" w14:textId="77777777" w:rsidR="00A55B27" w:rsidRPr="00A55B27" w:rsidRDefault="00A55B27" w:rsidP="00A55B27"/>
    <w:p w14:paraId="258FA9E7" w14:textId="18DEF03B" w:rsidR="00DF25D2" w:rsidRPr="001F435C" w:rsidRDefault="00DF25D2" w:rsidP="00DF25D2">
      <w:pPr>
        <w:pStyle w:val="Heading1"/>
        <w:rPr>
          <w:sz w:val="24"/>
        </w:rPr>
      </w:pPr>
      <w:bookmarkStart w:id="6" w:name="_Toc496162134"/>
      <w:r w:rsidRPr="001F435C">
        <w:rPr>
          <w:sz w:val="24"/>
        </w:rPr>
        <w:t>Procedures Involved</w:t>
      </w:r>
      <w:bookmarkEnd w:id="6"/>
    </w:p>
    <w:p w14:paraId="0C2693D8" w14:textId="586DBDDC" w:rsidR="00EC5811" w:rsidRPr="00EC5811" w:rsidRDefault="00EC5811" w:rsidP="00C01888">
      <w:pPr>
        <w:pStyle w:val="Heading1"/>
        <w:numPr>
          <w:ilvl w:val="0"/>
          <w:numId w:val="0"/>
        </w:numPr>
        <w:rPr>
          <w:rStyle w:val="apple-converted-space"/>
          <w:b w:val="0"/>
          <w:bCs/>
          <w:color w:val="000000" w:themeColor="text1"/>
          <w:sz w:val="22"/>
          <w:szCs w:val="22"/>
        </w:rPr>
      </w:pPr>
      <w:r w:rsidRPr="00EC5811">
        <w:rPr>
          <w:b w:val="0"/>
          <w:bCs/>
          <w:sz w:val="24"/>
          <w:szCs w:val="24"/>
        </w:rPr>
        <w:t xml:space="preserve">The NANO trial has been designed to study the longstanding clinical practice of empirically administering intravenous antibiotics to extremely low birthweight (ELBW) infants in the first days of life. It is an 802-subject multicenter placebo-controlled </w:t>
      </w:r>
      <w:r w:rsidR="009005EA">
        <w:rPr>
          <w:b w:val="0"/>
          <w:bCs/>
          <w:sz w:val="24"/>
          <w:szCs w:val="24"/>
        </w:rPr>
        <w:t>double-</w:t>
      </w:r>
      <w:r w:rsidR="009005EA">
        <w:rPr>
          <w:b w:val="0"/>
          <w:bCs/>
          <w:sz w:val="24"/>
          <w:szCs w:val="24"/>
        </w:rPr>
        <w:lastRenderedPageBreak/>
        <w:t xml:space="preserve">blinded </w:t>
      </w:r>
      <w:r w:rsidRPr="00EC5811">
        <w:rPr>
          <w:b w:val="0"/>
          <w:bCs/>
          <w:sz w:val="24"/>
          <w:szCs w:val="24"/>
        </w:rPr>
        <w:t xml:space="preserve">randomized clinical trial to test the hypothesis that the incidence of adverse outcomes is higher in babies receiving EA in the first week of life compared to babies receiving placebo.  We target a population of ELBW infants in whom the clinical decision to use or not use EA is currently most challenging -- infants that are clinically stable that did not have a known exposure to intraamniotic infection and were not born preterm for maternal indications. </w:t>
      </w:r>
    </w:p>
    <w:p w14:paraId="2F79F83F" w14:textId="77777777" w:rsidR="00EC5811" w:rsidRDefault="00EC5811" w:rsidP="00EC5811">
      <w:pPr>
        <w:pStyle w:val="Heading1"/>
        <w:numPr>
          <w:ilvl w:val="0"/>
          <w:numId w:val="0"/>
        </w:numPr>
        <w:ind w:left="720"/>
      </w:pPr>
    </w:p>
    <w:p w14:paraId="4E34F0C4" w14:textId="4DEC270F" w:rsidR="00EC5811" w:rsidRPr="00EC5811" w:rsidRDefault="00C01888" w:rsidP="00C01888">
      <w:pPr>
        <w:pStyle w:val="Heading1"/>
        <w:numPr>
          <w:ilvl w:val="0"/>
          <w:numId w:val="0"/>
        </w:numPr>
        <w:rPr>
          <w:b w:val="0"/>
          <w:bCs/>
          <w:sz w:val="24"/>
          <w:szCs w:val="24"/>
        </w:rPr>
      </w:pPr>
      <w:r w:rsidRPr="00A55B27">
        <w:rPr>
          <w:b w:val="0"/>
          <w:bCs/>
          <w:sz w:val="24"/>
          <w:szCs w:val="24"/>
          <w:u w:val="single"/>
        </w:rPr>
        <w:t xml:space="preserve">6.1 </w:t>
      </w:r>
      <w:r w:rsidR="00EC5811" w:rsidRPr="00A55B27">
        <w:rPr>
          <w:b w:val="0"/>
          <w:bCs/>
          <w:sz w:val="24"/>
          <w:szCs w:val="24"/>
          <w:u w:val="single"/>
        </w:rPr>
        <w:t xml:space="preserve">Randomization and </w:t>
      </w:r>
      <w:r w:rsidR="00A55B27" w:rsidRPr="00A55B27">
        <w:rPr>
          <w:b w:val="0"/>
          <w:bCs/>
          <w:sz w:val="24"/>
          <w:szCs w:val="24"/>
          <w:u w:val="single"/>
        </w:rPr>
        <w:t>B</w:t>
      </w:r>
      <w:r w:rsidR="00EC5811" w:rsidRPr="00A55B27">
        <w:rPr>
          <w:b w:val="0"/>
          <w:bCs/>
          <w:sz w:val="24"/>
          <w:szCs w:val="24"/>
          <w:u w:val="single"/>
        </w:rPr>
        <w:t>linding</w:t>
      </w:r>
      <w:r w:rsidR="00EC5811" w:rsidRPr="00EC5811">
        <w:rPr>
          <w:b w:val="0"/>
          <w:bCs/>
          <w:i/>
          <w:sz w:val="24"/>
          <w:szCs w:val="24"/>
        </w:rPr>
        <w:t>.</w:t>
      </w:r>
      <w:r w:rsidR="00EC5811" w:rsidRPr="00EC5811">
        <w:rPr>
          <w:b w:val="0"/>
          <w:bCs/>
          <w:sz w:val="24"/>
          <w:szCs w:val="24"/>
        </w:rPr>
        <w:t xml:space="preserve"> For each infant born to a mother that has provided consent, eligibility</w:t>
      </w:r>
      <w:r w:rsidR="00F70967">
        <w:rPr>
          <w:b w:val="0"/>
          <w:bCs/>
          <w:sz w:val="24"/>
          <w:szCs w:val="24"/>
        </w:rPr>
        <w:t xml:space="preserve"> will be assessed</w:t>
      </w:r>
      <w:r w:rsidR="00EC5811" w:rsidRPr="00EC5811">
        <w:rPr>
          <w:b w:val="0"/>
          <w:bCs/>
          <w:sz w:val="24"/>
          <w:szCs w:val="24"/>
        </w:rPr>
        <w:t>.</w:t>
      </w:r>
      <w:r w:rsidR="00662B25">
        <w:rPr>
          <w:b w:val="0"/>
          <w:bCs/>
          <w:sz w:val="24"/>
          <w:szCs w:val="24"/>
        </w:rPr>
        <w:t xml:space="preserve"> One consent document is sufficient for both the mother and her baby.</w:t>
      </w:r>
      <w:r w:rsidR="00EC5811" w:rsidRPr="00EC5811">
        <w:rPr>
          <w:b w:val="0"/>
          <w:bCs/>
          <w:sz w:val="24"/>
          <w:szCs w:val="24"/>
        </w:rPr>
        <w:t xml:space="preserve"> Thus, there will be a two-part screening to first determine maternal eligibility, and then to determine infant eligibility. </w:t>
      </w:r>
      <w:r w:rsidR="004C2360">
        <w:rPr>
          <w:b w:val="0"/>
          <w:bCs/>
          <w:sz w:val="24"/>
          <w:szCs w:val="24"/>
        </w:rPr>
        <w:t>IRB approved staff</w:t>
      </w:r>
      <w:r w:rsidR="002337EA">
        <w:rPr>
          <w:b w:val="0"/>
          <w:bCs/>
          <w:sz w:val="24"/>
          <w:szCs w:val="24"/>
        </w:rPr>
        <w:t xml:space="preserve"> </w:t>
      </w:r>
      <w:r w:rsidR="00444985">
        <w:rPr>
          <w:b w:val="0"/>
          <w:bCs/>
          <w:sz w:val="24"/>
          <w:szCs w:val="24"/>
        </w:rPr>
        <w:t>will screen infants based on inclusion/exclusion criteria. The site coordinator</w:t>
      </w:r>
      <w:r w:rsidR="00234FBC">
        <w:rPr>
          <w:b w:val="0"/>
          <w:bCs/>
          <w:sz w:val="24"/>
          <w:szCs w:val="24"/>
        </w:rPr>
        <w:t>, or research staff,</w:t>
      </w:r>
      <w:r w:rsidR="00444985">
        <w:rPr>
          <w:b w:val="0"/>
          <w:bCs/>
          <w:sz w:val="24"/>
          <w:szCs w:val="24"/>
        </w:rPr>
        <w:t xml:space="preserve"> will discuss eligibility with </w:t>
      </w:r>
      <w:r w:rsidR="00D5741A">
        <w:rPr>
          <w:b w:val="0"/>
          <w:bCs/>
          <w:sz w:val="24"/>
          <w:szCs w:val="24"/>
        </w:rPr>
        <w:t xml:space="preserve">approved </w:t>
      </w:r>
      <w:r w:rsidR="006733DD">
        <w:rPr>
          <w:b w:val="0"/>
          <w:bCs/>
          <w:sz w:val="24"/>
          <w:szCs w:val="24"/>
        </w:rPr>
        <w:t>staff</w:t>
      </w:r>
      <w:r w:rsidR="00444985">
        <w:rPr>
          <w:b w:val="0"/>
          <w:bCs/>
          <w:sz w:val="24"/>
          <w:szCs w:val="24"/>
        </w:rPr>
        <w:t xml:space="preserve"> and if </w:t>
      </w:r>
      <w:r w:rsidR="00CC7DC3">
        <w:rPr>
          <w:b w:val="0"/>
          <w:bCs/>
          <w:sz w:val="24"/>
          <w:szCs w:val="24"/>
        </w:rPr>
        <w:t xml:space="preserve">the patient is </w:t>
      </w:r>
      <w:r w:rsidR="00444985">
        <w:rPr>
          <w:b w:val="0"/>
          <w:bCs/>
          <w:sz w:val="24"/>
          <w:szCs w:val="24"/>
        </w:rPr>
        <w:t xml:space="preserve">eligible, input </w:t>
      </w:r>
      <w:r w:rsidR="004728F4">
        <w:rPr>
          <w:b w:val="0"/>
          <w:bCs/>
          <w:sz w:val="24"/>
          <w:szCs w:val="24"/>
        </w:rPr>
        <w:t xml:space="preserve">patient </w:t>
      </w:r>
      <w:r w:rsidR="00444985">
        <w:rPr>
          <w:b w:val="0"/>
          <w:bCs/>
          <w:sz w:val="24"/>
          <w:szCs w:val="24"/>
        </w:rPr>
        <w:t xml:space="preserve">data into </w:t>
      </w:r>
      <w:r w:rsidR="004728F4">
        <w:rPr>
          <w:b w:val="0"/>
          <w:bCs/>
          <w:sz w:val="24"/>
          <w:szCs w:val="24"/>
        </w:rPr>
        <w:t xml:space="preserve">the </w:t>
      </w:r>
      <w:r w:rsidR="00444985">
        <w:rPr>
          <w:b w:val="0"/>
          <w:bCs/>
          <w:sz w:val="24"/>
          <w:szCs w:val="24"/>
        </w:rPr>
        <w:t xml:space="preserve">web based system. Once data is inputted, </w:t>
      </w:r>
      <w:r w:rsidR="00234FBC">
        <w:rPr>
          <w:b w:val="0"/>
          <w:bCs/>
          <w:sz w:val="24"/>
          <w:szCs w:val="24"/>
        </w:rPr>
        <w:t>research staff</w:t>
      </w:r>
      <w:r w:rsidR="00444985">
        <w:rPr>
          <w:b w:val="0"/>
          <w:bCs/>
          <w:sz w:val="24"/>
          <w:szCs w:val="24"/>
        </w:rPr>
        <w:t xml:space="preserve"> will </w:t>
      </w:r>
      <w:r w:rsidR="00EC5811" w:rsidRPr="00EC5811">
        <w:rPr>
          <w:b w:val="0"/>
          <w:bCs/>
          <w:sz w:val="24"/>
          <w:szCs w:val="24"/>
        </w:rPr>
        <w:t>randomize eligible families 1:1 using web-based block randomization stratified by study site to receive EA or placebo.</w:t>
      </w:r>
      <w:r w:rsidR="00951E05" w:rsidRPr="001F79E7">
        <w:t xml:space="preserve"> </w:t>
      </w:r>
      <w:r w:rsidR="00951E05" w:rsidRPr="00951E05">
        <w:rPr>
          <w:b w:val="0"/>
          <w:bCs/>
          <w:sz w:val="24"/>
          <w:szCs w:val="24"/>
        </w:rPr>
        <w:t xml:space="preserve">Multiples (i.e. siblings) will be randomized to the same treatment arm. </w:t>
      </w:r>
      <w:r w:rsidR="00234FBC">
        <w:rPr>
          <w:b w:val="0"/>
          <w:bCs/>
          <w:sz w:val="24"/>
          <w:szCs w:val="24"/>
        </w:rPr>
        <w:t>Staff</w:t>
      </w:r>
      <w:r w:rsidR="00783422">
        <w:rPr>
          <w:b w:val="0"/>
          <w:bCs/>
          <w:sz w:val="24"/>
          <w:szCs w:val="24"/>
        </w:rPr>
        <w:t xml:space="preserve"> will not see the treatment arm that patients are assigned to. </w:t>
      </w:r>
      <w:r w:rsidR="00D22C2D">
        <w:rPr>
          <w:b w:val="0"/>
          <w:bCs/>
          <w:sz w:val="24"/>
          <w:szCs w:val="24"/>
        </w:rPr>
        <w:t>Rather, treatment arm and patient information will be sent to each site’s investigational pharmacy</w:t>
      </w:r>
      <w:r w:rsidR="00D536DD">
        <w:rPr>
          <w:b w:val="0"/>
          <w:bCs/>
          <w:sz w:val="24"/>
          <w:szCs w:val="24"/>
        </w:rPr>
        <w:t>, where study drug will be drawn and sent to the patient’s room.</w:t>
      </w:r>
      <w:r w:rsidR="00234FBC">
        <w:rPr>
          <w:b w:val="0"/>
          <w:bCs/>
          <w:sz w:val="24"/>
          <w:szCs w:val="24"/>
        </w:rPr>
        <w:t xml:space="preserve"> The staff member</w:t>
      </w:r>
      <w:r w:rsidR="001937CF">
        <w:rPr>
          <w:b w:val="0"/>
          <w:bCs/>
          <w:sz w:val="24"/>
          <w:szCs w:val="24"/>
        </w:rPr>
        <w:t xml:space="preserve"> who performed randomization will see a confirmation message that randomization was successfully sent to the pharmacy.</w:t>
      </w:r>
      <w:r w:rsidR="00EC5811" w:rsidRPr="00EC5811">
        <w:rPr>
          <w:b w:val="0"/>
          <w:bCs/>
          <w:sz w:val="24"/>
          <w:szCs w:val="24"/>
        </w:rPr>
        <w:t xml:space="preserve"> </w:t>
      </w:r>
      <w:r w:rsidR="00444985">
        <w:rPr>
          <w:b w:val="0"/>
          <w:bCs/>
          <w:sz w:val="24"/>
          <w:szCs w:val="24"/>
        </w:rPr>
        <w:t xml:space="preserve">The investigational pharmacy is unblind to patient’s </w:t>
      </w:r>
      <w:r w:rsidR="00E200C4">
        <w:rPr>
          <w:b w:val="0"/>
          <w:bCs/>
          <w:sz w:val="24"/>
          <w:szCs w:val="24"/>
        </w:rPr>
        <w:t>allocation</w:t>
      </w:r>
      <w:r w:rsidR="00444985">
        <w:rPr>
          <w:b w:val="0"/>
          <w:bCs/>
          <w:sz w:val="24"/>
          <w:szCs w:val="24"/>
        </w:rPr>
        <w:t>.</w:t>
      </w:r>
      <w:r w:rsidR="00EC5811" w:rsidRPr="00EC5811">
        <w:rPr>
          <w:b w:val="0"/>
          <w:bCs/>
          <w:sz w:val="24"/>
          <w:szCs w:val="24"/>
        </w:rPr>
        <w:t xml:space="preserve">  Participants, treating clinicians, and study staff will all be blinded to allocation.</w:t>
      </w:r>
      <w:r w:rsidR="004C5745">
        <w:rPr>
          <w:b w:val="0"/>
          <w:bCs/>
          <w:sz w:val="24"/>
          <w:szCs w:val="24"/>
        </w:rPr>
        <w:t xml:space="preserve"> Randomization must occur within the first 4 hours of life.</w:t>
      </w:r>
      <w:r w:rsidR="00EC5811" w:rsidRPr="00EC5811">
        <w:rPr>
          <w:b w:val="0"/>
          <w:bCs/>
          <w:sz w:val="24"/>
          <w:szCs w:val="24"/>
        </w:rPr>
        <w:t xml:space="preserve"> Outcome assessors and statistical summaries for trial monitoring will be unaware of group allocation. Unblinded data evaluation during the trial will be restricted to a designated study statistician</w:t>
      </w:r>
      <w:r w:rsidR="00077D95">
        <w:rPr>
          <w:b w:val="0"/>
          <w:bCs/>
          <w:sz w:val="24"/>
          <w:szCs w:val="24"/>
        </w:rPr>
        <w:t xml:space="preserve"> </w:t>
      </w:r>
      <w:r w:rsidR="00EC5811" w:rsidRPr="00EC5811">
        <w:rPr>
          <w:b w:val="0"/>
          <w:bCs/>
          <w:sz w:val="24"/>
          <w:szCs w:val="24"/>
        </w:rPr>
        <w:t>and the DSMB. We will unblind investigators and begin analyses only after all data collection forms are completed, data queries resolved, and data are locked for analysis.</w:t>
      </w:r>
    </w:p>
    <w:p w14:paraId="58A0F794" w14:textId="77777777" w:rsidR="00EC5811" w:rsidRDefault="00EC5811" w:rsidP="00EC5811">
      <w:pPr>
        <w:pStyle w:val="Heading1"/>
        <w:numPr>
          <w:ilvl w:val="0"/>
          <w:numId w:val="0"/>
        </w:numPr>
        <w:ind w:left="720"/>
      </w:pPr>
    </w:p>
    <w:p w14:paraId="507ECF5C" w14:textId="7AE21D13" w:rsidR="00EC5811" w:rsidRDefault="00A549B1" w:rsidP="00C01888">
      <w:pPr>
        <w:pStyle w:val="Heading1"/>
        <w:numPr>
          <w:ilvl w:val="0"/>
          <w:numId w:val="0"/>
        </w:numPr>
        <w:rPr>
          <w:b w:val="0"/>
          <w:bCs/>
          <w:sz w:val="24"/>
          <w:szCs w:val="24"/>
        </w:rPr>
      </w:pPr>
      <w:r w:rsidRPr="00A55B27">
        <w:rPr>
          <w:b w:val="0"/>
          <w:bCs/>
          <w:sz w:val="24"/>
          <w:szCs w:val="24"/>
          <w:u w:val="single"/>
        </w:rPr>
        <w:t xml:space="preserve">6.2 </w:t>
      </w:r>
      <w:r w:rsidR="00EC5811" w:rsidRPr="00A55B27">
        <w:rPr>
          <w:b w:val="0"/>
          <w:bCs/>
          <w:sz w:val="24"/>
          <w:szCs w:val="24"/>
          <w:u w:val="single"/>
        </w:rPr>
        <w:t xml:space="preserve">Study </w:t>
      </w:r>
      <w:r w:rsidR="00A55B27" w:rsidRPr="00A55B27">
        <w:rPr>
          <w:b w:val="0"/>
          <w:bCs/>
          <w:sz w:val="24"/>
          <w:szCs w:val="24"/>
          <w:u w:val="single"/>
        </w:rPr>
        <w:t>P</w:t>
      </w:r>
      <w:r w:rsidR="00EC5811" w:rsidRPr="00A55B27">
        <w:rPr>
          <w:b w:val="0"/>
          <w:bCs/>
          <w:sz w:val="24"/>
          <w:szCs w:val="24"/>
          <w:u w:val="single"/>
        </w:rPr>
        <w:t>rocedure</w:t>
      </w:r>
      <w:r w:rsidR="00EC5811" w:rsidRPr="00EC5811">
        <w:rPr>
          <w:b w:val="0"/>
          <w:bCs/>
          <w:i/>
          <w:sz w:val="24"/>
          <w:szCs w:val="24"/>
        </w:rPr>
        <w:t xml:space="preserve">. </w:t>
      </w:r>
      <w:r w:rsidR="00EC5811" w:rsidRPr="00EC5811">
        <w:rPr>
          <w:b w:val="0"/>
          <w:bCs/>
          <w:sz w:val="24"/>
          <w:szCs w:val="24"/>
        </w:rPr>
        <w:t>The intervention consists of administering either conventional EA or placebo while completing an evaluation for early onset sepsis.  Each site will source antibiotics individually.</w:t>
      </w:r>
      <w:r w:rsidR="00EC5811">
        <w:rPr>
          <w:b w:val="0"/>
          <w:bCs/>
          <w:sz w:val="24"/>
          <w:szCs w:val="24"/>
        </w:rPr>
        <w:t xml:space="preserve"> </w:t>
      </w:r>
      <w:r w:rsidR="00EC5811" w:rsidRPr="00EC5811">
        <w:rPr>
          <w:b w:val="0"/>
          <w:bCs/>
          <w:sz w:val="24"/>
          <w:szCs w:val="24"/>
        </w:rPr>
        <w:t xml:space="preserve">Either conventional EA or placebo must be given intravenously within </w:t>
      </w:r>
      <w:r w:rsidR="00D6561D">
        <w:rPr>
          <w:b w:val="0"/>
          <w:bCs/>
          <w:sz w:val="24"/>
          <w:szCs w:val="24"/>
        </w:rPr>
        <w:t>120</w:t>
      </w:r>
      <w:r w:rsidR="00E70F0B" w:rsidRPr="00EC5811">
        <w:rPr>
          <w:b w:val="0"/>
          <w:bCs/>
          <w:sz w:val="24"/>
          <w:szCs w:val="24"/>
        </w:rPr>
        <w:t xml:space="preserve"> </w:t>
      </w:r>
      <w:r w:rsidR="00EC5811" w:rsidRPr="00EC5811">
        <w:rPr>
          <w:b w:val="0"/>
          <w:bCs/>
          <w:sz w:val="24"/>
          <w:szCs w:val="24"/>
        </w:rPr>
        <w:t xml:space="preserve">minutes following randomization. If EA is given, it will consist of ampicillin and gentamicin </w:t>
      </w:r>
      <w:r w:rsidR="00DB0D36">
        <w:rPr>
          <w:b w:val="0"/>
          <w:bCs/>
          <w:sz w:val="24"/>
          <w:szCs w:val="24"/>
        </w:rPr>
        <w:t>administered according to</w:t>
      </w:r>
      <w:r w:rsidR="006766AC">
        <w:rPr>
          <w:b w:val="0"/>
          <w:bCs/>
          <w:sz w:val="24"/>
          <w:szCs w:val="24"/>
        </w:rPr>
        <w:t xml:space="preserve"> </w:t>
      </w:r>
      <w:r w:rsidR="00DB0D36">
        <w:rPr>
          <w:b w:val="0"/>
          <w:bCs/>
          <w:sz w:val="24"/>
          <w:szCs w:val="24"/>
        </w:rPr>
        <w:t xml:space="preserve">local, </w:t>
      </w:r>
      <w:r w:rsidR="006766AC">
        <w:rPr>
          <w:b w:val="0"/>
          <w:bCs/>
          <w:sz w:val="24"/>
          <w:szCs w:val="24"/>
        </w:rPr>
        <w:t>site</w:t>
      </w:r>
      <w:r w:rsidR="00DB0D36">
        <w:rPr>
          <w:b w:val="0"/>
          <w:bCs/>
          <w:sz w:val="24"/>
          <w:szCs w:val="24"/>
        </w:rPr>
        <w:t>-</w:t>
      </w:r>
      <w:r w:rsidR="006766AC">
        <w:rPr>
          <w:b w:val="0"/>
          <w:bCs/>
          <w:sz w:val="24"/>
          <w:szCs w:val="24"/>
        </w:rPr>
        <w:t>approved dosing guidelines</w:t>
      </w:r>
      <w:r w:rsidR="00DB0D36">
        <w:rPr>
          <w:b w:val="0"/>
          <w:bCs/>
          <w:sz w:val="24"/>
          <w:szCs w:val="24"/>
        </w:rPr>
        <w:t xml:space="preserve"> clearly reflected in each site’s SOP</w:t>
      </w:r>
      <w:r w:rsidR="006766AC">
        <w:rPr>
          <w:b w:val="0"/>
          <w:bCs/>
          <w:sz w:val="24"/>
          <w:szCs w:val="24"/>
        </w:rPr>
        <w:t xml:space="preserve">. </w:t>
      </w:r>
      <w:r w:rsidR="00EC5811" w:rsidRPr="00EC5811">
        <w:rPr>
          <w:b w:val="0"/>
          <w:bCs/>
          <w:sz w:val="24"/>
          <w:szCs w:val="24"/>
        </w:rPr>
        <w:t xml:space="preserve">Infants randomized to receive placebo will receive volume-matched equivalents of normal saline matching the analogous schedule of ampicillin and gentamicin administration. </w:t>
      </w:r>
    </w:p>
    <w:p w14:paraId="6419C51E" w14:textId="77777777" w:rsidR="00160C4F" w:rsidRPr="00160C4F" w:rsidRDefault="00160C4F" w:rsidP="001F79E7">
      <w:pPr>
        <w:pStyle w:val="Default"/>
      </w:pPr>
    </w:p>
    <w:p w14:paraId="55B14B6D" w14:textId="5EDDEB65" w:rsidR="00E014B0" w:rsidRPr="001F79E7" w:rsidRDefault="002F4111" w:rsidP="001F79E7">
      <w:pPr>
        <w:pStyle w:val="Default"/>
      </w:pPr>
      <w:r w:rsidRPr="00117BEE">
        <w:rPr>
          <w:u w:val="single"/>
        </w:rPr>
        <w:t xml:space="preserve">6.3 </w:t>
      </w:r>
      <w:r w:rsidR="00F22601">
        <w:rPr>
          <w:u w:val="single"/>
        </w:rPr>
        <w:t>R</w:t>
      </w:r>
      <w:r w:rsidR="00160C4F">
        <w:rPr>
          <w:u w:val="single"/>
        </w:rPr>
        <w:t xml:space="preserve">escue antibiotics. </w:t>
      </w:r>
      <w:r w:rsidR="00E014B0" w:rsidRPr="001F79E7">
        <w:rPr>
          <w:bCs/>
        </w:rPr>
        <w:t xml:space="preserve">We anticipate that &lt;&lt;5% of study subjects will experience worsening of conditions prompting clinicians to order additional antibiotics that will be termed "rescue antibiotics."  Clinicians will have complete freedom to repeat blood cultures and to order the antibiotics that they feel are most appropriate to treat the infant, with no restrictions imposed by the study protocol. This is a specific safety measure for NANO but is fully consistent with the standard of care for infants experiencing clinical deterioration. Should this occur, the treating physicians will remain blinded to the initial study drug assignment. The study pharmacist will be unblinded. Patients who have received a rescue option will continue to be followed until discharge from the NICU. </w:t>
      </w:r>
    </w:p>
    <w:p w14:paraId="0DA76BBE" w14:textId="77777777" w:rsidR="00E014B0" w:rsidRPr="001F79E7" w:rsidRDefault="00E014B0" w:rsidP="001F79E7">
      <w:pPr>
        <w:pStyle w:val="Heading1"/>
        <w:numPr>
          <w:ilvl w:val="0"/>
          <w:numId w:val="0"/>
        </w:numPr>
        <w:ind w:left="720"/>
        <w:rPr>
          <w:b w:val="0"/>
          <w:bCs/>
          <w:sz w:val="24"/>
          <w:szCs w:val="24"/>
        </w:rPr>
      </w:pPr>
    </w:p>
    <w:p w14:paraId="157AA948" w14:textId="77777777" w:rsidR="00331ADC" w:rsidRDefault="00E014B0" w:rsidP="001F79E7">
      <w:pPr>
        <w:pStyle w:val="Heading1"/>
        <w:numPr>
          <w:ilvl w:val="0"/>
          <w:numId w:val="0"/>
        </w:numPr>
        <w:rPr>
          <w:b w:val="0"/>
          <w:bCs/>
          <w:sz w:val="24"/>
          <w:szCs w:val="24"/>
        </w:rPr>
      </w:pPr>
      <w:r w:rsidRPr="001F79E7">
        <w:rPr>
          <w:b w:val="0"/>
          <w:bCs/>
          <w:sz w:val="24"/>
          <w:szCs w:val="24"/>
        </w:rPr>
        <w:t xml:space="preserve">Rescue antibiotic therapy. There are two primary scenarios -- both rare -- that may be encountered requiring rescue antibiotic therapy. </w:t>
      </w:r>
    </w:p>
    <w:p w14:paraId="6C2EA6C2" w14:textId="72F04801" w:rsidR="004172AE" w:rsidRDefault="00331ADC" w:rsidP="001F79E7">
      <w:pPr>
        <w:pStyle w:val="Heading1"/>
        <w:numPr>
          <w:ilvl w:val="0"/>
          <w:numId w:val="0"/>
        </w:numPr>
        <w:rPr>
          <w:b w:val="0"/>
          <w:bCs/>
          <w:sz w:val="24"/>
          <w:szCs w:val="24"/>
        </w:rPr>
      </w:pPr>
      <w:r>
        <w:rPr>
          <w:b w:val="0"/>
          <w:bCs/>
          <w:sz w:val="24"/>
          <w:szCs w:val="24"/>
        </w:rPr>
        <w:t xml:space="preserve">The first scenario may occur if </w:t>
      </w:r>
      <w:r w:rsidR="00430909" w:rsidRPr="001F79E7">
        <w:rPr>
          <w:b w:val="0"/>
          <w:bCs/>
          <w:sz w:val="24"/>
          <w:szCs w:val="24"/>
        </w:rPr>
        <w:t xml:space="preserve">an Attending Neonatologist </w:t>
      </w:r>
      <w:r w:rsidR="00E014B0" w:rsidRPr="001F79E7">
        <w:rPr>
          <w:b w:val="0"/>
          <w:bCs/>
          <w:sz w:val="24"/>
          <w:szCs w:val="24"/>
        </w:rPr>
        <w:t>wish</w:t>
      </w:r>
      <w:r w:rsidR="00430909">
        <w:rPr>
          <w:b w:val="0"/>
          <w:bCs/>
          <w:sz w:val="24"/>
          <w:szCs w:val="24"/>
        </w:rPr>
        <w:t>es</w:t>
      </w:r>
      <w:r w:rsidR="00E014B0" w:rsidRPr="001F79E7">
        <w:rPr>
          <w:b w:val="0"/>
          <w:bCs/>
          <w:sz w:val="24"/>
          <w:szCs w:val="24"/>
        </w:rPr>
        <w:t xml:space="preserve"> to guarantee the infant actually receives ampicillin and gentamicin and not only placebo</w:t>
      </w:r>
      <w:r>
        <w:rPr>
          <w:b w:val="0"/>
          <w:bCs/>
          <w:sz w:val="24"/>
          <w:szCs w:val="24"/>
        </w:rPr>
        <w:t xml:space="preserve">. </w:t>
      </w:r>
      <w:r w:rsidR="00430909">
        <w:rPr>
          <w:b w:val="0"/>
          <w:bCs/>
          <w:sz w:val="24"/>
          <w:szCs w:val="24"/>
        </w:rPr>
        <w:t>To accomplish this, a</w:t>
      </w:r>
      <w:r w:rsidR="00E014B0" w:rsidRPr="001F79E7">
        <w:rPr>
          <w:b w:val="0"/>
          <w:bCs/>
          <w:sz w:val="24"/>
          <w:szCs w:val="24"/>
        </w:rPr>
        <w:t xml:space="preserve"> second set of study drug orders will be placed while the original study drug orders are </w:t>
      </w:r>
      <w:r w:rsidR="008F2604">
        <w:rPr>
          <w:b w:val="0"/>
          <w:bCs/>
          <w:sz w:val="24"/>
          <w:szCs w:val="24"/>
        </w:rPr>
        <w:t>continued</w:t>
      </w:r>
      <w:r w:rsidR="00E014B0" w:rsidRPr="001F79E7">
        <w:rPr>
          <w:b w:val="0"/>
          <w:bCs/>
          <w:sz w:val="24"/>
          <w:szCs w:val="24"/>
        </w:rPr>
        <w:t>.  For th</w:t>
      </w:r>
      <w:r>
        <w:rPr>
          <w:b w:val="0"/>
          <w:bCs/>
          <w:sz w:val="24"/>
          <w:szCs w:val="24"/>
        </w:rPr>
        <w:t>e</w:t>
      </w:r>
      <w:r w:rsidR="00E014B0" w:rsidRPr="001F79E7">
        <w:rPr>
          <w:b w:val="0"/>
          <w:bCs/>
          <w:sz w:val="24"/>
          <w:szCs w:val="24"/>
        </w:rPr>
        <w:t xml:space="preserve"> second set, </w:t>
      </w:r>
      <w:r w:rsidR="00044AA6">
        <w:rPr>
          <w:b w:val="0"/>
          <w:bCs/>
          <w:sz w:val="24"/>
          <w:szCs w:val="24"/>
        </w:rPr>
        <w:t>if the original assignment</w:t>
      </w:r>
      <w:r w:rsidR="00951161">
        <w:rPr>
          <w:b w:val="0"/>
          <w:bCs/>
          <w:sz w:val="24"/>
          <w:szCs w:val="24"/>
        </w:rPr>
        <w:t xml:space="preserve"> </w:t>
      </w:r>
      <w:r w:rsidR="005C3859">
        <w:rPr>
          <w:b w:val="0"/>
          <w:bCs/>
          <w:sz w:val="24"/>
          <w:szCs w:val="24"/>
        </w:rPr>
        <w:t>was placebo, pharmacy will</w:t>
      </w:r>
      <w:r w:rsidR="00044AA6">
        <w:rPr>
          <w:b w:val="0"/>
          <w:bCs/>
          <w:sz w:val="24"/>
          <w:szCs w:val="24"/>
        </w:rPr>
        <w:t xml:space="preserve"> </w:t>
      </w:r>
      <w:r w:rsidR="00E014B0" w:rsidRPr="001F79E7">
        <w:rPr>
          <w:b w:val="0"/>
          <w:bCs/>
          <w:sz w:val="24"/>
          <w:szCs w:val="24"/>
        </w:rPr>
        <w:t xml:space="preserve"> prepare ampicillin and gentamicin</w:t>
      </w:r>
      <w:r w:rsidR="005C3859">
        <w:rPr>
          <w:b w:val="0"/>
          <w:bCs/>
          <w:sz w:val="24"/>
          <w:szCs w:val="24"/>
        </w:rPr>
        <w:t>.</w:t>
      </w:r>
      <w:r w:rsidR="00E014B0" w:rsidRPr="001F79E7">
        <w:rPr>
          <w:b w:val="0"/>
          <w:bCs/>
          <w:sz w:val="24"/>
          <w:szCs w:val="24"/>
        </w:rPr>
        <w:t xml:space="preserve"> </w:t>
      </w:r>
      <w:r w:rsidR="00951161">
        <w:rPr>
          <w:b w:val="0"/>
          <w:bCs/>
          <w:sz w:val="24"/>
          <w:szCs w:val="24"/>
        </w:rPr>
        <w:t>I</w:t>
      </w:r>
      <w:r w:rsidR="00E014B0" w:rsidRPr="001F79E7">
        <w:rPr>
          <w:b w:val="0"/>
          <w:bCs/>
          <w:sz w:val="24"/>
          <w:szCs w:val="24"/>
        </w:rPr>
        <w:t xml:space="preserve">f the original assignment was </w:t>
      </w:r>
      <w:r w:rsidR="00951161">
        <w:rPr>
          <w:b w:val="0"/>
          <w:bCs/>
          <w:sz w:val="24"/>
          <w:szCs w:val="24"/>
        </w:rPr>
        <w:t xml:space="preserve">ampicillin and </w:t>
      </w:r>
      <w:r w:rsidR="00802A1C">
        <w:rPr>
          <w:b w:val="0"/>
          <w:bCs/>
          <w:sz w:val="24"/>
          <w:szCs w:val="24"/>
        </w:rPr>
        <w:t>gentamicin</w:t>
      </w:r>
      <w:r w:rsidR="00E014B0" w:rsidRPr="001F79E7">
        <w:rPr>
          <w:b w:val="0"/>
          <w:bCs/>
          <w:sz w:val="24"/>
          <w:szCs w:val="24"/>
        </w:rPr>
        <w:t xml:space="preserve">, </w:t>
      </w:r>
      <w:r w:rsidR="00802A1C">
        <w:rPr>
          <w:b w:val="0"/>
          <w:bCs/>
          <w:sz w:val="24"/>
          <w:szCs w:val="24"/>
        </w:rPr>
        <w:t xml:space="preserve">pharmacy will prepare </w:t>
      </w:r>
      <w:r w:rsidR="00A22F29">
        <w:rPr>
          <w:b w:val="0"/>
          <w:bCs/>
          <w:sz w:val="24"/>
          <w:szCs w:val="24"/>
        </w:rPr>
        <w:t xml:space="preserve">placebo </w:t>
      </w:r>
      <w:r w:rsidR="00802A1C">
        <w:rPr>
          <w:b w:val="0"/>
          <w:bCs/>
          <w:sz w:val="24"/>
          <w:szCs w:val="24"/>
        </w:rPr>
        <w:t>and placebo</w:t>
      </w:r>
      <w:r w:rsidR="00E014B0" w:rsidRPr="001F79E7">
        <w:rPr>
          <w:b w:val="0"/>
          <w:bCs/>
          <w:sz w:val="24"/>
          <w:szCs w:val="24"/>
        </w:rPr>
        <w:t xml:space="preserve">. </w:t>
      </w:r>
      <w:r w:rsidR="009646A1">
        <w:rPr>
          <w:b w:val="0"/>
          <w:bCs/>
          <w:sz w:val="24"/>
          <w:szCs w:val="24"/>
        </w:rPr>
        <w:t xml:space="preserve">Sites that give ampicillin every 8 hours according to their local standard of care can elect to provide </w:t>
      </w:r>
      <w:r>
        <w:rPr>
          <w:b w:val="0"/>
          <w:bCs/>
          <w:sz w:val="24"/>
          <w:szCs w:val="24"/>
        </w:rPr>
        <w:t xml:space="preserve">blinded </w:t>
      </w:r>
      <w:r w:rsidR="009646A1">
        <w:rPr>
          <w:b w:val="0"/>
          <w:bCs/>
          <w:sz w:val="24"/>
          <w:szCs w:val="24"/>
        </w:rPr>
        <w:t>active ampicillin as rescue antibiotic instead of both placebo and ampicillin</w:t>
      </w:r>
      <w:r>
        <w:rPr>
          <w:b w:val="0"/>
          <w:bCs/>
          <w:sz w:val="24"/>
          <w:szCs w:val="24"/>
        </w:rPr>
        <w:t xml:space="preserve"> in order to reduce daily drug administration burden. This would not affect the gentamicin rescue, which is only a single dose.</w:t>
      </w:r>
    </w:p>
    <w:p w14:paraId="6ADD1503" w14:textId="71BCC62B" w:rsidR="00E014B0" w:rsidRPr="001F79E7" w:rsidRDefault="00E014B0" w:rsidP="001F79E7">
      <w:pPr>
        <w:pStyle w:val="Heading1"/>
        <w:numPr>
          <w:ilvl w:val="0"/>
          <w:numId w:val="0"/>
        </w:numPr>
        <w:rPr>
          <w:b w:val="0"/>
          <w:bCs/>
          <w:sz w:val="24"/>
          <w:szCs w:val="24"/>
        </w:rPr>
      </w:pPr>
      <w:r w:rsidRPr="001F79E7">
        <w:rPr>
          <w:b w:val="0"/>
          <w:bCs/>
          <w:sz w:val="24"/>
          <w:szCs w:val="24"/>
        </w:rPr>
        <w:t xml:space="preserve">The order and label </w:t>
      </w:r>
      <w:r w:rsidR="00331ADC">
        <w:rPr>
          <w:b w:val="0"/>
          <w:bCs/>
          <w:sz w:val="24"/>
          <w:szCs w:val="24"/>
        </w:rPr>
        <w:t xml:space="preserve">for rescue antibiotics </w:t>
      </w:r>
      <w:r w:rsidRPr="001F79E7">
        <w:rPr>
          <w:b w:val="0"/>
          <w:bCs/>
          <w:sz w:val="24"/>
          <w:szCs w:val="24"/>
        </w:rPr>
        <w:t xml:space="preserve">should include some </w:t>
      </w:r>
      <w:r w:rsidR="00331ADC">
        <w:rPr>
          <w:b w:val="0"/>
          <w:bCs/>
          <w:sz w:val="24"/>
          <w:szCs w:val="24"/>
        </w:rPr>
        <w:t xml:space="preserve">rescue status </w:t>
      </w:r>
      <w:r w:rsidRPr="001F79E7">
        <w:rPr>
          <w:b w:val="0"/>
          <w:bCs/>
          <w:sz w:val="24"/>
          <w:szCs w:val="24"/>
        </w:rPr>
        <w:t>indicat</w:t>
      </w:r>
      <w:r w:rsidR="00331ADC">
        <w:rPr>
          <w:b w:val="0"/>
          <w:bCs/>
          <w:sz w:val="24"/>
          <w:szCs w:val="24"/>
        </w:rPr>
        <w:t xml:space="preserve">or </w:t>
      </w:r>
      <w:r w:rsidRPr="001F79E7">
        <w:rPr>
          <w:b w:val="0"/>
          <w:bCs/>
          <w:sz w:val="24"/>
          <w:szCs w:val="24"/>
        </w:rPr>
        <w:t>to avoid</w:t>
      </w:r>
      <w:r w:rsidR="00A70CD2">
        <w:rPr>
          <w:b w:val="0"/>
          <w:bCs/>
          <w:sz w:val="24"/>
          <w:szCs w:val="24"/>
        </w:rPr>
        <w:t xml:space="preserve"> </w:t>
      </w:r>
      <w:r w:rsidRPr="001F79E7">
        <w:rPr>
          <w:b w:val="0"/>
          <w:bCs/>
          <w:sz w:val="24"/>
          <w:szCs w:val="24"/>
        </w:rPr>
        <w:t>preparation/dispensing/administration errors.</w:t>
      </w:r>
      <w:r w:rsidR="00D346CD">
        <w:rPr>
          <w:b w:val="0"/>
          <w:bCs/>
          <w:sz w:val="24"/>
          <w:szCs w:val="24"/>
        </w:rPr>
        <w:t xml:space="preserve"> If this rescue antibiotic scenario occurs, providers will </w:t>
      </w:r>
      <w:r w:rsidR="00282B6A">
        <w:rPr>
          <w:b w:val="0"/>
          <w:bCs/>
          <w:sz w:val="24"/>
          <w:szCs w:val="24"/>
        </w:rPr>
        <w:t xml:space="preserve">have </w:t>
      </w:r>
      <w:r w:rsidR="00331ADC">
        <w:rPr>
          <w:b w:val="0"/>
          <w:bCs/>
          <w:sz w:val="24"/>
          <w:szCs w:val="24"/>
        </w:rPr>
        <w:t xml:space="preserve">a </w:t>
      </w:r>
      <w:r w:rsidR="00282B6A">
        <w:rPr>
          <w:b w:val="0"/>
          <w:bCs/>
          <w:sz w:val="24"/>
          <w:szCs w:val="24"/>
        </w:rPr>
        <w:t>guarantee</w:t>
      </w:r>
      <w:r w:rsidR="00D346CD">
        <w:rPr>
          <w:b w:val="0"/>
          <w:bCs/>
          <w:sz w:val="24"/>
          <w:szCs w:val="24"/>
        </w:rPr>
        <w:t xml:space="preserve"> that the infant is receiving ampicillin and gentamicin. </w:t>
      </w:r>
      <w:r w:rsidR="00282B6A">
        <w:rPr>
          <w:b w:val="0"/>
          <w:bCs/>
          <w:sz w:val="24"/>
          <w:szCs w:val="24"/>
        </w:rPr>
        <w:t>P</w:t>
      </w:r>
      <w:r w:rsidR="00D346CD">
        <w:rPr>
          <w:b w:val="0"/>
          <w:bCs/>
          <w:sz w:val="24"/>
          <w:szCs w:val="24"/>
        </w:rPr>
        <w:t xml:space="preserve">roviders will </w:t>
      </w:r>
      <w:r w:rsidR="00D346CD" w:rsidRPr="00D502E4">
        <w:rPr>
          <w:b w:val="0"/>
          <w:bCs/>
          <w:sz w:val="24"/>
          <w:szCs w:val="24"/>
          <w:u w:val="single"/>
        </w:rPr>
        <w:t>not</w:t>
      </w:r>
      <w:r w:rsidR="00D346CD">
        <w:rPr>
          <w:b w:val="0"/>
          <w:bCs/>
          <w:sz w:val="24"/>
          <w:szCs w:val="24"/>
        </w:rPr>
        <w:t xml:space="preserve"> know what the initial order set consisted of</w:t>
      </w:r>
      <w:r w:rsidR="00233E0B">
        <w:rPr>
          <w:b w:val="0"/>
          <w:bCs/>
          <w:sz w:val="24"/>
          <w:szCs w:val="24"/>
        </w:rPr>
        <w:t>, in order</w:t>
      </w:r>
      <w:r w:rsidR="00D346CD">
        <w:rPr>
          <w:b w:val="0"/>
          <w:bCs/>
          <w:sz w:val="24"/>
          <w:szCs w:val="24"/>
        </w:rPr>
        <w:t xml:space="preserve"> to maintain blind</w:t>
      </w:r>
      <w:r w:rsidR="00430909">
        <w:rPr>
          <w:b w:val="0"/>
          <w:bCs/>
          <w:sz w:val="24"/>
          <w:szCs w:val="24"/>
        </w:rPr>
        <w:t>ing</w:t>
      </w:r>
      <w:r w:rsidR="00D346CD">
        <w:rPr>
          <w:b w:val="0"/>
          <w:bCs/>
          <w:sz w:val="24"/>
          <w:szCs w:val="24"/>
        </w:rPr>
        <w:t>.</w:t>
      </w:r>
      <w:r w:rsidRPr="001F79E7">
        <w:rPr>
          <w:b w:val="0"/>
          <w:bCs/>
          <w:sz w:val="24"/>
          <w:szCs w:val="24"/>
        </w:rPr>
        <w:t xml:space="preserve"> </w:t>
      </w:r>
      <w:r w:rsidR="00C96060">
        <w:rPr>
          <w:b w:val="0"/>
          <w:bCs/>
          <w:sz w:val="24"/>
          <w:szCs w:val="24"/>
        </w:rPr>
        <w:t xml:space="preserve">The </w:t>
      </w:r>
      <w:r w:rsidR="00712898">
        <w:rPr>
          <w:b w:val="0"/>
          <w:bCs/>
          <w:sz w:val="24"/>
          <w:szCs w:val="24"/>
        </w:rPr>
        <w:t xml:space="preserve">second set of orders should discontinue </w:t>
      </w:r>
      <w:r w:rsidR="001325F4">
        <w:rPr>
          <w:b w:val="0"/>
          <w:bCs/>
          <w:sz w:val="24"/>
          <w:szCs w:val="24"/>
        </w:rPr>
        <w:t xml:space="preserve">at the same </w:t>
      </w:r>
      <w:r w:rsidR="00A832B2">
        <w:rPr>
          <w:b w:val="0"/>
          <w:bCs/>
          <w:sz w:val="24"/>
          <w:szCs w:val="24"/>
        </w:rPr>
        <w:t xml:space="preserve">time as the first round of orders. </w:t>
      </w:r>
      <w:r w:rsidR="00430909">
        <w:rPr>
          <w:b w:val="0"/>
          <w:bCs/>
          <w:sz w:val="24"/>
          <w:szCs w:val="24"/>
        </w:rPr>
        <w:t>T</w:t>
      </w:r>
      <w:r w:rsidR="00430909" w:rsidRPr="001F79E7">
        <w:rPr>
          <w:b w:val="0"/>
          <w:bCs/>
          <w:sz w:val="24"/>
          <w:szCs w:val="24"/>
        </w:rPr>
        <w:t xml:space="preserve">he schedule for subsequent </w:t>
      </w:r>
      <w:r w:rsidR="00326A1E">
        <w:rPr>
          <w:b w:val="0"/>
          <w:bCs/>
          <w:sz w:val="24"/>
          <w:szCs w:val="24"/>
        </w:rPr>
        <w:t>ampicillin</w:t>
      </w:r>
      <w:r w:rsidR="00430909">
        <w:rPr>
          <w:b w:val="0"/>
          <w:bCs/>
          <w:sz w:val="24"/>
          <w:szCs w:val="24"/>
        </w:rPr>
        <w:t xml:space="preserve"> </w:t>
      </w:r>
      <w:r w:rsidR="00430909" w:rsidRPr="001F79E7">
        <w:rPr>
          <w:b w:val="0"/>
          <w:bCs/>
          <w:sz w:val="24"/>
          <w:szCs w:val="24"/>
        </w:rPr>
        <w:t xml:space="preserve">doses </w:t>
      </w:r>
      <w:r w:rsidR="00430909">
        <w:rPr>
          <w:b w:val="0"/>
          <w:bCs/>
          <w:sz w:val="24"/>
          <w:szCs w:val="24"/>
        </w:rPr>
        <w:t xml:space="preserve">after the study period has ended </w:t>
      </w:r>
      <w:r w:rsidR="00430909" w:rsidRPr="001F79E7">
        <w:rPr>
          <w:b w:val="0"/>
          <w:bCs/>
          <w:sz w:val="24"/>
          <w:szCs w:val="24"/>
        </w:rPr>
        <w:t xml:space="preserve">(if desired) would be </w:t>
      </w:r>
      <w:r w:rsidR="0034043F">
        <w:rPr>
          <w:b w:val="0"/>
          <w:bCs/>
          <w:sz w:val="24"/>
          <w:szCs w:val="24"/>
        </w:rPr>
        <w:t xml:space="preserve">based on the </w:t>
      </w:r>
      <w:r w:rsidR="00326A1E">
        <w:rPr>
          <w:b w:val="0"/>
          <w:bCs/>
          <w:sz w:val="24"/>
          <w:szCs w:val="24"/>
        </w:rPr>
        <w:t xml:space="preserve">timing of the </w:t>
      </w:r>
      <w:r w:rsidR="0034043F">
        <w:rPr>
          <w:b w:val="0"/>
          <w:bCs/>
          <w:sz w:val="24"/>
          <w:szCs w:val="24"/>
        </w:rPr>
        <w:t>split difference</w:t>
      </w:r>
      <w:r w:rsidR="00326A1E">
        <w:rPr>
          <w:b w:val="0"/>
          <w:bCs/>
          <w:sz w:val="24"/>
          <w:szCs w:val="24"/>
        </w:rPr>
        <w:t xml:space="preserve"> between the last study placebo and active ampicillin administrations</w:t>
      </w:r>
      <w:r w:rsidR="00430909" w:rsidRPr="001F79E7">
        <w:rPr>
          <w:b w:val="0"/>
          <w:bCs/>
          <w:sz w:val="24"/>
          <w:szCs w:val="24"/>
        </w:rPr>
        <w:t xml:space="preserve">.  </w:t>
      </w:r>
      <w:r w:rsidR="00326A1E">
        <w:rPr>
          <w:b w:val="0"/>
          <w:bCs/>
          <w:sz w:val="24"/>
          <w:szCs w:val="24"/>
        </w:rPr>
        <w:t>T</w:t>
      </w:r>
      <w:r w:rsidR="00326A1E" w:rsidRPr="001F79E7">
        <w:rPr>
          <w:b w:val="0"/>
          <w:bCs/>
          <w:sz w:val="24"/>
          <w:szCs w:val="24"/>
        </w:rPr>
        <w:t xml:space="preserve">he schedule for subsequent </w:t>
      </w:r>
      <w:r w:rsidR="00326A1E">
        <w:rPr>
          <w:b w:val="0"/>
          <w:bCs/>
          <w:sz w:val="24"/>
          <w:szCs w:val="24"/>
        </w:rPr>
        <w:t xml:space="preserve">gentamicin </w:t>
      </w:r>
      <w:r w:rsidR="00326A1E" w:rsidRPr="001F79E7">
        <w:rPr>
          <w:b w:val="0"/>
          <w:bCs/>
          <w:sz w:val="24"/>
          <w:szCs w:val="24"/>
        </w:rPr>
        <w:t>doses</w:t>
      </w:r>
      <w:r w:rsidR="00326A1E">
        <w:rPr>
          <w:b w:val="0"/>
          <w:bCs/>
          <w:sz w:val="24"/>
          <w:szCs w:val="24"/>
        </w:rPr>
        <w:t xml:space="preserve"> will be based on local standard therapeutic drug monitoring. </w:t>
      </w:r>
    </w:p>
    <w:p w14:paraId="3E7C0EBF" w14:textId="77777777" w:rsidR="00E014B0" w:rsidRPr="001F79E7" w:rsidRDefault="00E014B0" w:rsidP="001F79E7">
      <w:pPr>
        <w:pStyle w:val="Heading1"/>
        <w:numPr>
          <w:ilvl w:val="0"/>
          <w:numId w:val="0"/>
        </w:numPr>
        <w:ind w:left="720"/>
        <w:rPr>
          <w:b w:val="0"/>
          <w:bCs/>
          <w:sz w:val="24"/>
          <w:szCs w:val="24"/>
        </w:rPr>
      </w:pPr>
    </w:p>
    <w:p w14:paraId="384E9C90" w14:textId="720B515C" w:rsidR="00E014B0" w:rsidRPr="001F79E7" w:rsidRDefault="00E014B0" w:rsidP="001F79E7">
      <w:pPr>
        <w:pStyle w:val="Heading1"/>
        <w:numPr>
          <w:ilvl w:val="0"/>
          <w:numId w:val="0"/>
        </w:numPr>
        <w:rPr>
          <w:b w:val="0"/>
          <w:bCs/>
          <w:sz w:val="24"/>
          <w:szCs w:val="24"/>
        </w:rPr>
      </w:pPr>
      <w:r w:rsidRPr="001F79E7">
        <w:rPr>
          <w:b w:val="0"/>
          <w:bCs/>
          <w:sz w:val="24"/>
          <w:szCs w:val="24"/>
        </w:rPr>
        <w:t xml:space="preserve">The second rescue scenario will involve a decision by an Attending Neonatologist to empirically treat suspected/confirmed bacterial threats not optimally covered by ampicillin and gentamicin (e.g. penicillin for syphilis, ceftriaxone for gonorrhea, azithromycin for chlamydia, vancomycin or nafcillin for Staph, meropenem or cefepime for MDR GNR) with open label non EA </w:t>
      </w:r>
      <w:proofErr w:type="spellStart"/>
      <w:r w:rsidRPr="001F79E7">
        <w:rPr>
          <w:b w:val="0"/>
          <w:bCs/>
          <w:sz w:val="24"/>
          <w:szCs w:val="24"/>
        </w:rPr>
        <w:t>antibacterials</w:t>
      </w:r>
      <w:proofErr w:type="spellEnd"/>
      <w:r w:rsidRPr="001F79E7">
        <w:rPr>
          <w:b w:val="0"/>
          <w:bCs/>
          <w:sz w:val="24"/>
          <w:szCs w:val="24"/>
        </w:rPr>
        <w:t>.  These are ordered outside of the study and are not the responsibility of the IDS.  Routine Candida prophylaxis (e.g. fluconazole) is not considered an open-label antibacterial for the purposes of this study and its use is not viewed as rescue therapy.</w:t>
      </w:r>
    </w:p>
    <w:p w14:paraId="3AD91EB9" w14:textId="77777777" w:rsidR="00E014B0" w:rsidRPr="00E014B0" w:rsidRDefault="00E014B0" w:rsidP="001F79E7">
      <w:pPr>
        <w:pStyle w:val="Heading1"/>
        <w:numPr>
          <w:ilvl w:val="0"/>
          <w:numId w:val="0"/>
        </w:numPr>
        <w:ind w:left="720"/>
        <w:rPr>
          <w:b w:val="0"/>
          <w:bCs/>
          <w:sz w:val="24"/>
          <w:szCs w:val="24"/>
          <w:u w:val="single"/>
        </w:rPr>
      </w:pPr>
      <w:r w:rsidRPr="00E014B0">
        <w:rPr>
          <w:b w:val="0"/>
          <w:bCs/>
          <w:sz w:val="24"/>
          <w:szCs w:val="24"/>
          <w:u w:val="single"/>
        </w:rPr>
        <w:t xml:space="preserve">    </w:t>
      </w:r>
    </w:p>
    <w:p w14:paraId="367C73F4" w14:textId="22561CFD" w:rsidR="00E014B0" w:rsidRPr="001F79E7" w:rsidRDefault="0056459A" w:rsidP="001F79E7">
      <w:pPr>
        <w:pStyle w:val="Heading1"/>
        <w:numPr>
          <w:ilvl w:val="0"/>
          <w:numId w:val="0"/>
        </w:numPr>
        <w:rPr>
          <w:b w:val="0"/>
          <w:bCs/>
          <w:sz w:val="24"/>
          <w:szCs w:val="24"/>
        </w:rPr>
      </w:pPr>
      <w:r>
        <w:rPr>
          <w:b w:val="0"/>
          <w:bCs/>
          <w:sz w:val="24"/>
          <w:szCs w:val="24"/>
          <w:u w:val="single"/>
        </w:rPr>
        <w:t xml:space="preserve">6.4 </w:t>
      </w:r>
      <w:r w:rsidR="00E014B0" w:rsidRPr="00E014B0">
        <w:rPr>
          <w:b w:val="0"/>
          <w:bCs/>
          <w:sz w:val="24"/>
          <w:szCs w:val="24"/>
          <w:u w:val="single"/>
        </w:rPr>
        <w:t>Early Discontinuation of EA</w:t>
      </w:r>
      <w:r w:rsidR="00E014B0" w:rsidRPr="001F79E7">
        <w:rPr>
          <w:b w:val="0"/>
          <w:bCs/>
          <w:sz w:val="24"/>
          <w:szCs w:val="24"/>
        </w:rPr>
        <w:t xml:space="preserve">.  Study drugs can be discontinued at the discretion of the Attending Neonatologist prior to the completion of the study period, just as EA therapy might normally be discontinued outside the context of the trial.  The Attending </w:t>
      </w:r>
      <w:r w:rsidR="00842A6C" w:rsidRPr="001F79E7">
        <w:rPr>
          <w:b w:val="0"/>
          <w:bCs/>
          <w:sz w:val="24"/>
          <w:szCs w:val="24"/>
        </w:rPr>
        <w:t>N</w:t>
      </w:r>
      <w:r w:rsidR="00E014B0" w:rsidRPr="001F79E7">
        <w:rPr>
          <w:b w:val="0"/>
          <w:bCs/>
          <w:sz w:val="24"/>
          <w:szCs w:val="24"/>
        </w:rPr>
        <w:t>eonatologist should ideally discuss their desire to discontinue study drugs early with the PI and research team before doing so.  Potential reasons for discontinuing study drugs include:</w:t>
      </w:r>
    </w:p>
    <w:p w14:paraId="5F791BD3" w14:textId="5797A084" w:rsidR="00E014B0" w:rsidRPr="001F79E7" w:rsidRDefault="00E014B0" w:rsidP="001F79E7">
      <w:pPr>
        <w:pStyle w:val="Heading1"/>
        <w:numPr>
          <w:ilvl w:val="0"/>
          <w:numId w:val="0"/>
        </w:numPr>
        <w:ind w:left="720"/>
        <w:rPr>
          <w:b w:val="0"/>
          <w:bCs/>
          <w:sz w:val="24"/>
          <w:szCs w:val="24"/>
        </w:rPr>
      </w:pPr>
      <w:r w:rsidRPr="001F79E7">
        <w:rPr>
          <w:b w:val="0"/>
          <w:bCs/>
          <w:sz w:val="24"/>
          <w:szCs w:val="24"/>
        </w:rPr>
        <w:t xml:space="preserve">•The Attending wants the participant to receive rescue antibiotic therapy (see above).  </w:t>
      </w:r>
    </w:p>
    <w:p w14:paraId="442D52BB" w14:textId="6EF5C6E2" w:rsidR="00E014B0" w:rsidRPr="001F79E7" w:rsidRDefault="00E014B0" w:rsidP="001F79E7">
      <w:pPr>
        <w:pStyle w:val="Heading1"/>
        <w:numPr>
          <w:ilvl w:val="0"/>
          <w:numId w:val="0"/>
        </w:numPr>
        <w:ind w:left="720"/>
        <w:rPr>
          <w:b w:val="0"/>
          <w:bCs/>
          <w:sz w:val="24"/>
          <w:szCs w:val="24"/>
        </w:rPr>
      </w:pPr>
      <w:r w:rsidRPr="001F79E7">
        <w:rPr>
          <w:b w:val="0"/>
          <w:bCs/>
          <w:sz w:val="24"/>
          <w:szCs w:val="24"/>
        </w:rPr>
        <w:t xml:space="preserve">•They have decided that EA treatment is no longer necessary for clinical care (e.g. blood culture negative and no clinical concern for infection).   </w:t>
      </w:r>
    </w:p>
    <w:p w14:paraId="19CBAB0D" w14:textId="77777777" w:rsidR="00E014B0" w:rsidRPr="001F79E7" w:rsidRDefault="00E014B0" w:rsidP="001F79E7">
      <w:pPr>
        <w:pStyle w:val="Heading1"/>
        <w:numPr>
          <w:ilvl w:val="0"/>
          <w:numId w:val="0"/>
        </w:numPr>
        <w:ind w:left="720"/>
        <w:rPr>
          <w:b w:val="0"/>
          <w:bCs/>
          <w:sz w:val="24"/>
          <w:szCs w:val="24"/>
        </w:rPr>
      </w:pPr>
    </w:p>
    <w:p w14:paraId="356DC067" w14:textId="77777777" w:rsidR="00E014B0" w:rsidRPr="001F79E7" w:rsidRDefault="00E014B0" w:rsidP="001F79E7">
      <w:pPr>
        <w:pStyle w:val="Heading1"/>
        <w:numPr>
          <w:ilvl w:val="0"/>
          <w:numId w:val="0"/>
        </w:numPr>
        <w:rPr>
          <w:b w:val="0"/>
          <w:bCs/>
          <w:sz w:val="24"/>
          <w:szCs w:val="24"/>
        </w:rPr>
      </w:pPr>
      <w:r w:rsidRPr="001F79E7">
        <w:rPr>
          <w:b w:val="0"/>
          <w:bCs/>
          <w:sz w:val="24"/>
          <w:szCs w:val="24"/>
        </w:rPr>
        <w:t xml:space="preserve">Ordering and administering antibiotics after the study period is at the discretion of the Attending Neonatologist.   In such cases, NICU prescribers will place new orders for these antibiotics per routine care.  IDS is not responsible for these antibiotics since they </w:t>
      </w:r>
      <w:r w:rsidRPr="001F79E7">
        <w:rPr>
          <w:b w:val="0"/>
          <w:bCs/>
          <w:sz w:val="24"/>
          <w:szCs w:val="24"/>
        </w:rPr>
        <w:lastRenderedPageBreak/>
        <w:t>are beyond the study period and the participant has completed the study drug therapy.  The NICU treatment team will decide their dosing and start times.  A sensible approach would be to stay on the same schedule as the study drugs. If the participant was previously converted to blinded EA, the start time can be the split difference between the two sets’ schedules. Gentamicin plasma concentration monitoring may be used to help with determining start times (see next section).  Prescribers will not be unblinded to determine these start times.  They should remain blinded and should not count study doses towards the total days of therapy that the baby ultimately receives.</w:t>
      </w:r>
    </w:p>
    <w:p w14:paraId="4E7B0F7A" w14:textId="77777777" w:rsidR="00E014B0" w:rsidRPr="001F79E7" w:rsidRDefault="00E014B0" w:rsidP="001F79E7">
      <w:pPr>
        <w:pStyle w:val="Heading1"/>
        <w:numPr>
          <w:ilvl w:val="0"/>
          <w:numId w:val="0"/>
        </w:numPr>
        <w:ind w:left="720"/>
        <w:rPr>
          <w:b w:val="0"/>
          <w:bCs/>
          <w:sz w:val="24"/>
          <w:szCs w:val="24"/>
        </w:rPr>
      </w:pPr>
    </w:p>
    <w:p w14:paraId="046E6EF9" w14:textId="6E7A9CA7" w:rsidR="00E014B0" w:rsidRPr="001F79E7" w:rsidRDefault="007D74F3" w:rsidP="00E014B0">
      <w:pPr>
        <w:pStyle w:val="Heading1"/>
        <w:numPr>
          <w:ilvl w:val="0"/>
          <w:numId w:val="0"/>
        </w:numPr>
        <w:rPr>
          <w:b w:val="0"/>
          <w:bCs/>
          <w:sz w:val="24"/>
          <w:szCs w:val="24"/>
        </w:rPr>
      </w:pPr>
      <w:r>
        <w:rPr>
          <w:b w:val="0"/>
          <w:bCs/>
          <w:sz w:val="24"/>
          <w:szCs w:val="24"/>
          <w:u w:val="single"/>
        </w:rPr>
        <w:t xml:space="preserve">6.5 </w:t>
      </w:r>
      <w:r w:rsidR="00E014B0" w:rsidRPr="00E014B0">
        <w:rPr>
          <w:b w:val="0"/>
          <w:bCs/>
          <w:sz w:val="24"/>
          <w:szCs w:val="24"/>
          <w:u w:val="single"/>
        </w:rPr>
        <w:t>Gentamicin plasma concentration monitoring</w:t>
      </w:r>
      <w:r w:rsidR="000F1F4F" w:rsidRPr="001F79E7">
        <w:rPr>
          <w:b w:val="0"/>
          <w:bCs/>
          <w:sz w:val="24"/>
          <w:szCs w:val="24"/>
        </w:rPr>
        <w:t>.</w:t>
      </w:r>
      <w:r w:rsidR="00E014B0" w:rsidRPr="001F79E7">
        <w:rPr>
          <w:b w:val="0"/>
          <w:bCs/>
          <w:sz w:val="24"/>
          <w:szCs w:val="24"/>
        </w:rPr>
        <w:t xml:space="preserve"> </w:t>
      </w:r>
      <w:r w:rsidR="000F1F4F" w:rsidRPr="001F79E7">
        <w:rPr>
          <w:b w:val="0"/>
          <w:bCs/>
          <w:sz w:val="24"/>
          <w:szCs w:val="24"/>
        </w:rPr>
        <w:t>I</w:t>
      </w:r>
      <w:r w:rsidR="00E014B0" w:rsidRPr="001F79E7">
        <w:rPr>
          <w:b w:val="0"/>
          <w:bCs/>
          <w:sz w:val="24"/>
          <w:szCs w:val="24"/>
        </w:rPr>
        <w:t>t is expected that a small percentage of participants will receive gentamicin after the study period.  This will trigger site-specific procedures for routine care gentamicin therapeutic drug monitoring, the results of which will may make it possible for blinded providers and staff to discern group allocation.  This is expected and unavoidable. Pharmacists who routinely perform clinical pharmacokinetics in the NICU should therefore be part of the unblinded study pharmacist team.  If allowed by site practice standards, clinical PK assessments that include dosing histories may be kept with the participant’s Dispensing Log rather than in their medical chart, in order to minimize the risk of unblinding.</w:t>
      </w:r>
    </w:p>
    <w:p w14:paraId="3D05B4FA" w14:textId="77777777" w:rsidR="00160C4F" w:rsidRPr="001F79E7" w:rsidRDefault="00160C4F" w:rsidP="001F79E7">
      <w:pPr>
        <w:rPr>
          <w:b/>
        </w:rPr>
      </w:pPr>
    </w:p>
    <w:p w14:paraId="2D2E24EF" w14:textId="7E7AC2E1" w:rsidR="00EC5811" w:rsidRPr="00EC5811" w:rsidRDefault="00A549B1" w:rsidP="00C01888">
      <w:pPr>
        <w:pStyle w:val="Heading1"/>
        <w:numPr>
          <w:ilvl w:val="0"/>
          <w:numId w:val="0"/>
        </w:numPr>
        <w:rPr>
          <w:b w:val="0"/>
          <w:bCs/>
          <w:sz w:val="24"/>
          <w:szCs w:val="24"/>
        </w:rPr>
      </w:pPr>
      <w:r w:rsidRPr="00A55B27">
        <w:rPr>
          <w:b w:val="0"/>
          <w:bCs/>
          <w:sz w:val="24"/>
          <w:szCs w:val="24"/>
          <w:u w:val="single"/>
        </w:rPr>
        <w:t>6.</w:t>
      </w:r>
      <w:r w:rsidR="000F1F4F">
        <w:rPr>
          <w:b w:val="0"/>
          <w:bCs/>
          <w:sz w:val="24"/>
          <w:szCs w:val="24"/>
          <w:u w:val="single"/>
        </w:rPr>
        <w:t>6</w:t>
      </w:r>
      <w:r w:rsidRPr="00A55B27">
        <w:rPr>
          <w:b w:val="0"/>
          <w:bCs/>
          <w:sz w:val="24"/>
          <w:szCs w:val="24"/>
          <w:u w:val="single"/>
        </w:rPr>
        <w:t xml:space="preserve"> </w:t>
      </w:r>
      <w:r w:rsidR="00EC5811" w:rsidRPr="00A55B27">
        <w:rPr>
          <w:b w:val="0"/>
          <w:bCs/>
          <w:sz w:val="24"/>
          <w:szCs w:val="24"/>
          <w:u w:val="single"/>
        </w:rPr>
        <w:t>Timeliness</w:t>
      </w:r>
      <w:r>
        <w:rPr>
          <w:b w:val="0"/>
          <w:bCs/>
          <w:i/>
          <w:sz w:val="24"/>
          <w:szCs w:val="24"/>
        </w:rPr>
        <w:t>.</w:t>
      </w:r>
      <w:r w:rsidR="00EC5811" w:rsidRPr="00EC5811">
        <w:rPr>
          <w:b w:val="0"/>
          <w:bCs/>
          <w:sz w:val="24"/>
          <w:szCs w:val="24"/>
        </w:rPr>
        <w:t xml:space="preserve"> </w:t>
      </w:r>
      <w:r w:rsidR="00027909">
        <w:rPr>
          <w:b w:val="0"/>
          <w:bCs/>
          <w:sz w:val="24"/>
          <w:szCs w:val="24"/>
        </w:rPr>
        <w:t xml:space="preserve">Timeliness </w:t>
      </w:r>
      <w:r w:rsidR="00EC5811" w:rsidRPr="00EC5811">
        <w:rPr>
          <w:b w:val="0"/>
          <w:bCs/>
          <w:sz w:val="24"/>
          <w:szCs w:val="24"/>
        </w:rPr>
        <w:t>of the study intervention is of paramount importance and will be closely monitored. To facilitate proper implementation of the study intervention, it is the job of the coordinator to inform the attending physician, nurse practitioner and/or providers that consent has been given and randomization has occurred using an online system.</w:t>
      </w:r>
    </w:p>
    <w:p w14:paraId="56B3042D" w14:textId="77777777" w:rsidR="00EC5811" w:rsidRDefault="00EC5811" w:rsidP="00EC5811">
      <w:pPr>
        <w:pStyle w:val="Heading1"/>
        <w:numPr>
          <w:ilvl w:val="0"/>
          <w:numId w:val="0"/>
        </w:numPr>
        <w:ind w:left="720"/>
      </w:pPr>
    </w:p>
    <w:p w14:paraId="4C821F71" w14:textId="32025DBA" w:rsidR="00EC5811" w:rsidRDefault="00EC5811" w:rsidP="0065571D">
      <w:pPr>
        <w:pStyle w:val="Heading1"/>
        <w:numPr>
          <w:ilvl w:val="0"/>
          <w:numId w:val="0"/>
        </w:numPr>
        <w:rPr>
          <w:b w:val="0"/>
          <w:bCs/>
          <w:sz w:val="24"/>
          <w:szCs w:val="24"/>
        </w:rPr>
      </w:pPr>
      <w:r w:rsidRPr="00EC5811">
        <w:rPr>
          <w:b w:val="0"/>
          <w:bCs/>
          <w:sz w:val="24"/>
          <w:szCs w:val="24"/>
        </w:rPr>
        <w:t xml:space="preserve">This protocol has been reviewed by the Food and Drug Administration (Department of Health and Human Services), and it was determined that an IND was </w:t>
      </w:r>
      <w:r w:rsidRPr="00EC5811">
        <w:rPr>
          <w:b w:val="0"/>
          <w:bCs/>
          <w:sz w:val="24"/>
          <w:szCs w:val="24"/>
          <w:u w:val="single"/>
        </w:rPr>
        <w:t>not</w:t>
      </w:r>
      <w:r w:rsidRPr="00EC5811">
        <w:rPr>
          <w:b w:val="0"/>
          <w:bCs/>
          <w:sz w:val="24"/>
          <w:szCs w:val="24"/>
        </w:rPr>
        <w:t xml:space="preserve"> required to administer ampicillin or gentamicin as proposed for the NANO Trial.</w:t>
      </w:r>
    </w:p>
    <w:p w14:paraId="1FD27BAB" w14:textId="68DF1374" w:rsidR="007241C5" w:rsidRDefault="007241C5" w:rsidP="007241C5"/>
    <w:p w14:paraId="2AE29D67" w14:textId="5F327B9F" w:rsidR="007241C5" w:rsidRPr="001F79E7" w:rsidRDefault="00A549B1" w:rsidP="0065571D">
      <w:pPr>
        <w:pStyle w:val="Heading1"/>
        <w:numPr>
          <w:ilvl w:val="0"/>
          <w:numId w:val="0"/>
        </w:numPr>
        <w:rPr>
          <w:b w:val="0"/>
          <w:sz w:val="24"/>
        </w:rPr>
      </w:pPr>
      <w:r w:rsidRPr="00A55B27">
        <w:rPr>
          <w:b w:val="0"/>
          <w:bCs/>
          <w:sz w:val="24"/>
          <w:szCs w:val="24"/>
          <w:u w:val="single"/>
        </w:rPr>
        <w:t>6.</w:t>
      </w:r>
      <w:r w:rsidR="009A57BE">
        <w:rPr>
          <w:b w:val="0"/>
          <w:bCs/>
          <w:sz w:val="24"/>
          <w:szCs w:val="24"/>
          <w:u w:val="single"/>
        </w:rPr>
        <w:t>7</w:t>
      </w:r>
      <w:r w:rsidRPr="00A55B27">
        <w:rPr>
          <w:b w:val="0"/>
          <w:bCs/>
          <w:sz w:val="24"/>
          <w:szCs w:val="24"/>
          <w:u w:val="single"/>
        </w:rPr>
        <w:t xml:space="preserve"> </w:t>
      </w:r>
      <w:r w:rsidR="007241C5" w:rsidRPr="00A55B27">
        <w:rPr>
          <w:b w:val="0"/>
          <w:bCs/>
          <w:sz w:val="24"/>
          <w:szCs w:val="24"/>
          <w:u w:val="single"/>
        </w:rPr>
        <w:t xml:space="preserve">Records and </w:t>
      </w:r>
      <w:r w:rsidR="00A55B27" w:rsidRPr="00A55B27">
        <w:rPr>
          <w:b w:val="0"/>
          <w:bCs/>
          <w:sz w:val="24"/>
          <w:szCs w:val="24"/>
          <w:u w:val="single"/>
        </w:rPr>
        <w:t>D</w:t>
      </w:r>
      <w:r w:rsidR="007241C5" w:rsidRPr="00A55B27">
        <w:rPr>
          <w:b w:val="0"/>
          <w:bCs/>
          <w:sz w:val="24"/>
          <w:szCs w:val="24"/>
          <w:u w:val="single"/>
        </w:rPr>
        <w:t>ata</w:t>
      </w:r>
      <w:r w:rsidR="00A55B27">
        <w:rPr>
          <w:b w:val="0"/>
          <w:bCs/>
          <w:sz w:val="24"/>
          <w:szCs w:val="24"/>
        </w:rPr>
        <w:t>.</w:t>
      </w:r>
      <w:r w:rsidR="007241C5" w:rsidRPr="007241C5">
        <w:rPr>
          <w:b w:val="0"/>
          <w:bCs/>
          <w:sz w:val="24"/>
          <w:szCs w:val="24"/>
        </w:rPr>
        <w:t xml:space="preserve"> </w:t>
      </w:r>
      <w:r w:rsidR="00A55B27">
        <w:rPr>
          <w:b w:val="0"/>
          <w:bCs/>
          <w:sz w:val="24"/>
          <w:szCs w:val="24"/>
        </w:rPr>
        <w:t xml:space="preserve">Data </w:t>
      </w:r>
      <w:r w:rsidR="007241C5" w:rsidRPr="007241C5">
        <w:rPr>
          <w:b w:val="0"/>
          <w:bCs/>
          <w:sz w:val="24"/>
          <w:szCs w:val="24"/>
        </w:rPr>
        <w:t xml:space="preserve">to be obtained will include de-identified demographic and clinical information extracted from the medical record. Site coordinators will collect data by direct observation, chart review, and/or physician interview, and will enter data into a web-based form that minimizes burden and cost. </w:t>
      </w:r>
      <w:r w:rsidR="007241C5" w:rsidRPr="007241C5">
        <w:rPr>
          <w:b w:val="0"/>
          <w:bCs/>
          <w:color w:val="000000"/>
          <w:sz w:val="24"/>
          <w:szCs w:val="24"/>
        </w:rPr>
        <w:t xml:space="preserve">Clinical data relevant to the study will </w:t>
      </w:r>
      <w:r w:rsidR="0032686C">
        <w:rPr>
          <w:b w:val="0"/>
          <w:bCs/>
          <w:color w:val="000000"/>
          <w:sz w:val="24"/>
          <w:szCs w:val="24"/>
        </w:rPr>
        <w:t xml:space="preserve">be entered into this same </w:t>
      </w:r>
      <w:r w:rsidR="008A0799">
        <w:rPr>
          <w:b w:val="0"/>
          <w:bCs/>
          <w:color w:val="000000"/>
          <w:sz w:val="24"/>
          <w:szCs w:val="24"/>
        </w:rPr>
        <w:t>database</w:t>
      </w:r>
      <w:r w:rsidR="007241C5" w:rsidRPr="007241C5">
        <w:rPr>
          <w:b w:val="0"/>
          <w:bCs/>
          <w:color w:val="000000"/>
          <w:sz w:val="24"/>
          <w:szCs w:val="24"/>
        </w:rPr>
        <w:t xml:space="preserve">, and investigators will use only a specially assigned study number. An encoding table that links the study number to the </w:t>
      </w:r>
      <w:r w:rsidR="006908E2">
        <w:rPr>
          <w:b w:val="0"/>
          <w:bCs/>
          <w:color w:val="000000"/>
          <w:sz w:val="24"/>
          <w:szCs w:val="24"/>
        </w:rPr>
        <w:t xml:space="preserve">subject’s name and </w:t>
      </w:r>
      <w:r w:rsidR="007241C5" w:rsidRPr="007241C5">
        <w:rPr>
          <w:b w:val="0"/>
          <w:bCs/>
          <w:color w:val="000000"/>
          <w:sz w:val="24"/>
          <w:szCs w:val="24"/>
        </w:rPr>
        <w:t xml:space="preserve">medical record number within each institution will reside on a password-protected computer behind clinical firewalls. </w:t>
      </w:r>
    </w:p>
    <w:p w14:paraId="1B5C9D68" w14:textId="0F60FC72" w:rsidR="00EC5811" w:rsidRDefault="00EC5811" w:rsidP="00EC5811"/>
    <w:p w14:paraId="16C162D4" w14:textId="13F92873" w:rsidR="00346DFC" w:rsidRDefault="00346DFC" w:rsidP="00346DFC">
      <w:pPr>
        <w:pStyle w:val="Default"/>
      </w:pPr>
    </w:p>
    <w:p w14:paraId="5891778D" w14:textId="5FA449C4" w:rsidR="00346DFC" w:rsidRDefault="00346DFC" w:rsidP="00346DFC">
      <w:pPr>
        <w:pStyle w:val="Default"/>
      </w:pPr>
    </w:p>
    <w:p w14:paraId="3CAED379" w14:textId="19F398AF" w:rsidR="00346DFC" w:rsidRDefault="00346DFC" w:rsidP="00346DFC">
      <w:pPr>
        <w:pStyle w:val="Default"/>
      </w:pPr>
    </w:p>
    <w:p w14:paraId="31352F3E" w14:textId="606223CE" w:rsidR="00346DFC" w:rsidRDefault="00346DFC" w:rsidP="00346DFC">
      <w:pPr>
        <w:pStyle w:val="Default"/>
      </w:pPr>
    </w:p>
    <w:p w14:paraId="30047E36" w14:textId="376AB86E" w:rsidR="00346DFC" w:rsidRDefault="00346DFC" w:rsidP="00346DFC">
      <w:pPr>
        <w:pStyle w:val="Default"/>
      </w:pPr>
    </w:p>
    <w:p w14:paraId="1432337F" w14:textId="77777777" w:rsidR="00346DFC" w:rsidRPr="00346DFC" w:rsidRDefault="00346DFC" w:rsidP="00346DFC">
      <w:pPr>
        <w:pStyle w:val="Default"/>
      </w:pPr>
    </w:p>
    <w:p w14:paraId="21E926B1" w14:textId="77777777" w:rsidR="00346DFC" w:rsidRPr="00346DFC" w:rsidRDefault="00346DFC" w:rsidP="00346DFC">
      <w:pPr>
        <w:pStyle w:val="Default"/>
      </w:pPr>
    </w:p>
    <w:tbl>
      <w:tblPr>
        <w:tblStyle w:val="TableGrid2"/>
        <w:tblW w:w="10333" w:type="dxa"/>
        <w:tblInd w:w="-857" w:type="dxa"/>
        <w:tblLook w:val="0000" w:firstRow="0" w:lastRow="0" w:firstColumn="0" w:lastColumn="0" w:noHBand="0" w:noVBand="0"/>
      </w:tblPr>
      <w:tblGrid>
        <w:gridCol w:w="1347"/>
        <w:gridCol w:w="3200"/>
        <w:gridCol w:w="5786"/>
      </w:tblGrid>
      <w:tr w:rsidR="00FA69C7" w:rsidRPr="00FA69C7" w14:paraId="3A4AF59E" w14:textId="77777777" w:rsidTr="00346DFC">
        <w:trPr>
          <w:trHeight w:val="320"/>
        </w:trPr>
        <w:tc>
          <w:tcPr>
            <w:tcW w:w="10333" w:type="dxa"/>
            <w:gridSpan w:val="3"/>
            <w:shd w:val="clear" w:color="auto" w:fill="B4C6E7"/>
          </w:tcPr>
          <w:p w14:paraId="6C2DF633" w14:textId="6A727709" w:rsidR="00FA69C7" w:rsidRPr="00FA69C7" w:rsidRDefault="00AD64E1" w:rsidP="00FA69C7">
            <w:pPr>
              <w:autoSpaceDE/>
              <w:autoSpaceDN/>
              <w:adjustRightInd/>
              <w:rPr>
                <w:rFonts w:ascii="Arial" w:hAnsi="Arial"/>
                <w:b/>
                <w:sz w:val="20"/>
                <w:szCs w:val="20"/>
              </w:rPr>
            </w:pPr>
            <w:r>
              <w:lastRenderedPageBreak/>
              <w:t xml:space="preserve">Maternal and infant data variables to be collected are summarized in Table 1 below. </w:t>
            </w:r>
            <w:r w:rsidR="00FA69C7" w:rsidRPr="00FA69C7">
              <w:rPr>
                <w:rFonts w:ascii="Arial" w:hAnsi="Arial"/>
                <w:b/>
                <w:sz w:val="20"/>
                <w:szCs w:val="20"/>
              </w:rPr>
              <w:t>Table 1. Variables for data collection form</w:t>
            </w:r>
          </w:p>
        </w:tc>
      </w:tr>
      <w:tr w:rsidR="00FA69C7" w:rsidRPr="00FA69C7" w14:paraId="1A978CCB" w14:textId="77777777" w:rsidTr="00346DFC">
        <w:tblPrEx>
          <w:tblLook w:val="04A0" w:firstRow="1" w:lastRow="0" w:firstColumn="1" w:lastColumn="0" w:noHBand="0" w:noVBand="1"/>
        </w:tblPrEx>
        <w:trPr>
          <w:trHeight w:val="517"/>
        </w:trPr>
        <w:tc>
          <w:tcPr>
            <w:tcW w:w="1347" w:type="dxa"/>
            <w:vMerge w:val="restart"/>
            <w:vAlign w:val="center"/>
          </w:tcPr>
          <w:p w14:paraId="68BD883C" w14:textId="77777777" w:rsidR="00FA69C7" w:rsidRPr="00FA69C7" w:rsidRDefault="00FA69C7" w:rsidP="00FA69C7">
            <w:pPr>
              <w:autoSpaceDE/>
              <w:autoSpaceDN/>
              <w:adjustRightInd/>
              <w:jc w:val="center"/>
              <w:rPr>
                <w:rFonts w:ascii="Arial" w:hAnsi="Arial"/>
                <w:b/>
                <w:sz w:val="20"/>
                <w:szCs w:val="20"/>
              </w:rPr>
            </w:pPr>
            <w:r w:rsidRPr="00FA69C7">
              <w:rPr>
                <w:rFonts w:ascii="Arial" w:hAnsi="Arial"/>
                <w:b/>
                <w:sz w:val="20"/>
                <w:szCs w:val="20"/>
              </w:rPr>
              <w:t>Maternal</w:t>
            </w:r>
          </w:p>
        </w:tc>
        <w:tc>
          <w:tcPr>
            <w:tcW w:w="3200" w:type="dxa"/>
          </w:tcPr>
          <w:p w14:paraId="4A205DD5" w14:textId="77777777" w:rsidR="00FA69C7" w:rsidRPr="00FA69C7" w:rsidRDefault="00FA69C7" w:rsidP="00FA69C7">
            <w:pPr>
              <w:autoSpaceDE/>
              <w:autoSpaceDN/>
              <w:adjustRightInd/>
              <w:rPr>
                <w:rFonts w:ascii="Arial" w:hAnsi="Arial"/>
                <w:sz w:val="20"/>
                <w:szCs w:val="20"/>
              </w:rPr>
            </w:pPr>
            <w:r w:rsidRPr="00FA69C7">
              <w:rPr>
                <w:rFonts w:ascii="Arial" w:hAnsi="Arial"/>
                <w:b/>
                <w:sz w:val="20"/>
                <w:szCs w:val="20"/>
              </w:rPr>
              <w:t>Demographics</w:t>
            </w:r>
          </w:p>
        </w:tc>
        <w:tc>
          <w:tcPr>
            <w:tcW w:w="5786" w:type="dxa"/>
          </w:tcPr>
          <w:p w14:paraId="56BC8DC4"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DOB, race, highest education level. BMI</w:t>
            </w:r>
          </w:p>
        </w:tc>
      </w:tr>
      <w:tr w:rsidR="00FA69C7" w:rsidRPr="00FA69C7" w14:paraId="52072D69" w14:textId="77777777" w:rsidTr="00346DFC">
        <w:tblPrEx>
          <w:tblLook w:val="04A0" w:firstRow="1" w:lastRow="0" w:firstColumn="1" w:lastColumn="0" w:noHBand="0" w:noVBand="1"/>
        </w:tblPrEx>
        <w:trPr>
          <w:trHeight w:val="745"/>
        </w:trPr>
        <w:tc>
          <w:tcPr>
            <w:tcW w:w="1347" w:type="dxa"/>
            <w:vMerge/>
          </w:tcPr>
          <w:p w14:paraId="43011380" w14:textId="77777777" w:rsidR="00FA69C7" w:rsidRPr="00FA69C7" w:rsidRDefault="00FA69C7" w:rsidP="00FA69C7">
            <w:pPr>
              <w:autoSpaceDE/>
              <w:autoSpaceDN/>
              <w:adjustRightInd/>
              <w:rPr>
                <w:rFonts w:ascii="Arial" w:hAnsi="Arial"/>
                <w:sz w:val="20"/>
                <w:szCs w:val="20"/>
              </w:rPr>
            </w:pPr>
          </w:p>
        </w:tc>
        <w:tc>
          <w:tcPr>
            <w:tcW w:w="3200" w:type="dxa"/>
          </w:tcPr>
          <w:p w14:paraId="1B55E17B" w14:textId="77777777" w:rsidR="00FA69C7" w:rsidRPr="00FA69C7" w:rsidRDefault="00FA69C7" w:rsidP="00FA69C7">
            <w:pPr>
              <w:autoSpaceDE/>
              <w:autoSpaceDN/>
              <w:adjustRightInd/>
              <w:rPr>
                <w:rFonts w:ascii="Arial" w:hAnsi="Arial"/>
                <w:b/>
                <w:sz w:val="20"/>
                <w:szCs w:val="20"/>
              </w:rPr>
            </w:pPr>
            <w:r w:rsidRPr="00FA69C7">
              <w:rPr>
                <w:rFonts w:ascii="Arial" w:hAnsi="Arial"/>
                <w:b/>
                <w:sz w:val="20"/>
                <w:szCs w:val="20"/>
              </w:rPr>
              <w:t>Pregnancy history</w:t>
            </w:r>
          </w:p>
        </w:tc>
        <w:tc>
          <w:tcPr>
            <w:tcW w:w="5786" w:type="dxa"/>
          </w:tcPr>
          <w:p w14:paraId="48B7E634"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Number of fetus(es), number of infants born, prenatal obstetrics visit, history of spontaneous preterm birth, progesterone therapy prior to admission, GBS status</w:t>
            </w:r>
          </w:p>
        </w:tc>
      </w:tr>
      <w:tr w:rsidR="00FA69C7" w:rsidRPr="00FA69C7" w14:paraId="63E7FAFB" w14:textId="77777777" w:rsidTr="00346DFC">
        <w:tblPrEx>
          <w:tblLook w:val="04A0" w:firstRow="1" w:lastRow="0" w:firstColumn="1" w:lastColumn="0" w:noHBand="0" w:noVBand="1"/>
        </w:tblPrEx>
        <w:trPr>
          <w:trHeight w:val="745"/>
        </w:trPr>
        <w:tc>
          <w:tcPr>
            <w:tcW w:w="1347" w:type="dxa"/>
            <w:vMerge/>
          </w:tcPr>
          <w:p w14:paraId="7865EAC9" w14:textId="77777777" w:rsidR="00FA69C7" w:rsidRPr="00FA69C7" w:rsidRDefault="00FA69C7" w:rsidP="00FA69C7">
            <w:pPr>
              <w:autoSpaceDE/>
              <w:autoSpaceDN/>
              <w:adjustRightInd/>
              <w:rPr>
                <w:rFonts w:ascii="Arial" w:hAnsi="Arial"/>
                <w:sz w:val="20"/>
                <w:szCs w:val="20"/>
              </w:rPr>
            </w:pPr>
          </w:p>
        </w:tc>
        <w:tc>
          <w:tcPr>
            <w:tcW w:w="3200" w:type="dxa"/>
          </w:tcPr>
          <w:p w14:paraId="78ED1275" w14:textId="77777777" w:rsidR="00FA69C7" w:rsidRPr="00FA69C7" w:rsidRDefault="00FA69C7" w:rsidP="00FA69C7">
            <w:pPr>
              <w:autoSpaceDE/>
              <w:autoSpaceDN/>
              <w:adjustRightInd/>
              <w:rPr>
                <w:rFonts w:ascii="Arial" w:hAnsi="Arial"/>
                <w:sz w:val="20"/>
                <w:szCs w:val="20"/>
              </w:rPr>
            </w:pPr>
            <w:r w:rsidRPr="00FA69C7">
              <w:rPr>
                <w:rFonts w:ascii="Arial" w:hAnsi="Arial"/>
                <w:b/>
                <w:sz w:val="20"/>
                <w:szCs w:val="20"/>
              </w:rPr>
              <w:t>Diagnoses during current pregnancy</w:t>
            </w:r>
            <w:r w:rsidRPr="00FA69C7">
              <w:rPr>
                <w:rFonts w:ascii="Arial" w:hAnsi="Arial"/>
                <w:sz w:val="20"/>
                <w:szCs w:val="20"/>
              </w:rPr>
              <w:t xml:space="preserve"> (Yes/No)</w:t>
            </w:r>
          </w:p>
        </w:tc>
        <w:tc>
          <w:tcPr>
            <w:tcW w:w="5786" w:type="dxa"/>
          </w:tcPr>
          <w:p w14:paraId="39EA1302"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Insulin-dependent diabetes, maternal hypertension, preeclampsia, antepartum hemorrhage, placenta previa, abruptio placenta, fetal growth restriction, cervical insufficiency, preterm labor, PPROM, # of days PPROM intra-amniotic infection, positive placenta culture, positive urine cultures, genital tract infection, skin/soft tissue infection, vaginal yeast infection</w:t>
            </w:r>
          </w:p>
        </w:tc>
      </w:tr>
      <w:tr w:rsidR="00FA69C7" w:rsidRPr="00FA69C7" w14:paraId="350C1591" w14:textId="77777777" w:rsidTr="00346DFC">
        <w:tblPrEx>
          <w:tblLook w:val="04A0" w:firstRow="1" w:lastRow="0" w:firstColumn="1" w:lastColumn="0" w:noHBand="0" w:noVBand="1"/>
        </w:tblPrEx>
        <w:trPr>
          <w:trHeight w:val="594"/>
        </w:trPr>
        <w:tc>
          <w:tcPr>
            <w:tcW w:w="1347" w:type="dxa"/>
            <w:vMerge/>
          </w:tcPr>
          <w:p w14:paraId="5594656B" w14:textId="77777777" w:rsidR="00FA69C7" w:rsidRPr="00FA69C7" w:rsidRDefault="00FA69C7" w:rsidP="00FA69C7">
            <w:pPr>
              <w:autoSpaceDE/>
              <w:autoSpaceDN/>
              <w:adjustRightInd/>
              <w:rPr>
                <w:rFonts w:ascii="Arial" w:hAnsi="Arial"/>
                <w:sz w:val="20"/>
                <w:szCs w:val="20"/>
              </w:rPr>
            </w:pPr>
          </w:p>
        </w:tc>
        <w:tc>
          <w:tcPr>
            <w:tcW w:w="3200" w:type="dxa"/>
          </w:tcPr>
          <w:p w14:paraId="3903ABD6" w14:textId="77777777" w:rsidR="00FA69C7" w:rsidRPr="00FA69C7" w:rsidRDefault="00FA69C7" w:rsidP="00FA69C7">
            <w:pPr>
              <w:autoSpaceDE/>
              <w:autoSpaceDN/>
              <w:adjustRightInd/>
              <w:rPr>
                <w:rFonts w:ascii="Arial" w:hAnsi="Arial"/>
                <w:b/>
                <w:sz w:val="20"/>
                <w:szCs w:val="20"/>
              </w:rPr>
            </w:pPr>
            <w:r w:rsidRPr="00FA69C7">
              <w:rPr>
                <w:rFonts w:ascii="Arial" w:hAnsi="Arial"/>
                <w:b/>
                <w:sz w:val="20"/>
                <w:szCs w:val="20"/>
              </w:rPr>
              <w:t>Prenatal antibiotics administered within 30 days of delivery</w:t>
            </w:r>
          </w:p>
        </w:tc>
        <w:tc>
          <w:tcPr>
            <w:tcW w:w="5786" w:type="dxa"/>
          </w:tcPr>
          <w:p w14:paraId="5CE41525"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 xml:space="preserve">Antibiotic name, start date, end date, reason   </w:t>
            </w:r>
          </w:p>
        </w:tc>
      </w:tr>
      <w:tr w:rsidR="00FA69C7" w:rsidRPr="00FA69C7" w14:paraId="3AD806C1" w14:textId="77777777" w:rsidTr="00346DFC">
        <w:tblPrEx>
          <w:tblLook w:val="04A0" w:firstRow="1" w:lastRow="0" w:firstColumn="1" w:lastColumn="0" w:noHBand="0" w:noVBand="1"/>
        </w:tblPrEx>
        <w:trPr>
          <w:trHeight w:val="613"/>
        </w:trPr>
        <w:tc>
          <w:tcPr>
            <w:tcW w:w="1347" w:type="dxa"/>
            <w:vMerge/>
          </w:tcPr>
          <w:p w14:paraId="2BA42F72" w14:textId="77777777" w:rsidR="00FA69C7" w:rsidRPr="00FA69C7" w:rsidRDefault="00FA69C7" w:rsidP="00FA69C7">
            <w:pPr>
              <w:autoSpaceDE/>
              <w:autoSpaceDN/>
              <w:adjustRightInd/>
              <w:rPr>
                <w:rFonts w:ascii="Arial" w:hAnsi="Arial"/>
                <w:sz w:val="20"/>
                <w:szCs w:val="20"/>
              </w:rPr>
            </w:pPr>
          </w:p>
        </w:tc>
        <w:tc>
          <w:tcPr>
            <w:tcW w:w="3200" w:type="dxa"/>
          </w:tcPr>
          <w:p w14:paraId="54BD0519" w14:textId="77777777" w:rsidR="00FA69C7" w:rsidRPr="00FA69C7" w:rsidRDefault="00FA69C7" w:rsidP="00FA69C7">
            <w:pPr>
              <w:autoSpaceDE/>
              <w:autoSpaceDN/>
              <w:adjustRightInd/>
              <w:rPr>
                <w:rFonts w:ascii="Arial" w:hAnsi="Arial"/>
                <w:b/>
                <w:sz w:val="20"/>
                <w:szCs w:val="20"/>
              </w:rPr>
            </w:pPr>
            <w:r w:rsidRPr="00FA69C7">
              <w:rPr>
                <w:rFonts w:ascii="Arial" w:hAnsi="Arial"/>
                <w:b/>
                <w:sz w:val="20"/>
                <w:szCs w:val="20"/>
              </w:rPr>
              <w:t xml:space="preserve">Other drugs administered during current pregnancy </w:t>
            </w:r>
          </w:p>
        </w:tc>
        <w:tc>
          <w:tcPr>
            <w:tcW w:w="5786" w:type="dxa"/>
          </w:tcPr>
          <w:p w14:paraId="7279845E"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Tocolytic therapy, preoperative prophylactic antibiotics, betamethasone, antenatal corticosteroids</w:t>
            </w:r>
          </w:p>
        </w:tc>
      </w:tr>
      <w:tr w:rsidR="00FA69C7" w:rsidRPr="00FA69C7" w14:paraId="4442E6AA" w14:textId="77777777" w:rsidTr="00346DFC">
        <w:tblPrEx>
          <w:tblLook w:val="04A0" w:firstRow="1" w:lastRow="0" w:firstColumn="1" w:lastColumn="0" w:noHBand="0" w:noVBand="1"/>
        </w:tblPrEx>
        <w:trPr>
          <w:trHeight w:val="493"/>
        </w:trPr>
        <w:tc>
          <w:tcPr>
            <w:tcW w:w="1347" w:type="dxa"/>
            <w:vMerge w:val="restart"/>
            <w:vAlign w:val="center"/>
          </w:tcPr>
          <w:p w14:paraId="0C87F6A7" w14:textId="77777777" w:rsidR="00FA69C7" w:rsidRPr="00FA69C7" w:rsidRDefault="00FA69C7" w:rsidP="00FA69C7">
            <w:pPr>
              <w:autoSpaceDE/>
              <w:autoSpaceDN/>
              <w:adjustRightInd/>
              <w:jc w:val="center"/>
              <w:rPr>
                <w:rFonts w:ascii="Arial" w:hAnsi="Arial"/>
                <w:b/>
                <w:sz w:val="20"/>
                <w:szCs w:val="20"/>
              </w:rPr>
            </w:pPr>
            <w:r w:rsidRPr="00FA69C7">
              <w:rPr>
                <w:rFonts w:ascii="Arial" w:hAnsi="Arial"/>
                <w:b/>
                <w:sz w:val="20"/>
                <w:szCs w:val="20"/>
              </w:rPr>
              <w:t>Infant Baseline</w:t>
            </w:r>
          </w:p>
        </w:tc>
        <w:tc>
          <w:tcPr>
            <w:tcW w:w="3200" w:type="dxa"/>
          </w:tcPr>
          <w:p w14:paraId="570E24A8" w14:textId="77777777" w:rsidR="00FA69C7" w:rsidRPr="00FA69C7" w:rsidRDefault="00FA69C7" w:rsidP="00FA69C7">
            <w:pPr>
              <w:autoSpaceDE/>
              <w:autoSpaceDN/>
              <w:adjustRightInd/>
              <w:rPr>
                <w:rFonts w:ascii="Arial" w:hAnsi="Arial"/>
                <w:b/>
                <w:sz w:val="20"/>
                <w:szCs w:val="20"/>
              </w:rPr>
            </w:pPr>
            <w:r w:rsidRPr="00FA69C7">
              <w:rPr>
                <w:rFonts w:ascii="Arial" w:hAnsi="Arial"/>
                <w:b/>
                <w:sz w:val="20"/>
                <w:szCs w:val="20"/>
              </w:rPr>
              <w:t>Delivery</w:t>
            </w:r>
          </w:p>
        </w:tc>
        <w:tc>
          <w:tcPr>
            <w:tcW w:w="5786" w:type="dxa"/>
          </w:tcPr>
          <w:p w14:paraId="54A11F84"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Date, time, gestational age (weeks/days), sex, birth weight (kg), birth length (cm)</w:t>
            </w:r>
          </w:p>
        </w:tc>
      </w:tr>
      <w:tr w:rsidR="00FA69C7" w:rsidRPr="00FA69C7" w14:paraId="7193CDA7" w14:textId="77777777" w:rsidTr="00346DFC">
        <w:tblPrEx>
          <w:tblLook w:val="04A0" w:firstRow="1" w:lastRow="0" w:firstColumn="1" w:lastColumn="0" w:noHBand="0" w:noVBand="1"/>
        </w:tblPrEx>
        <w:trPr>
          <w:trHeight w:val="493"/>
        </w:trPr>
        <w:tc>
          <w:tcPr>
            <w:tcW w:w="1347" w:type="dxa"/>
            <w:vMerge/>
          </w:tcPr>
          <w:p w14:paraId="5597EE2F" w14:textId="77777777" w:rsidR="00FA69C7" w:rsidRPr="00FA69C7" w:rsidRDefault="00FA69C7" w:rsidP="00FA69C7">
            <w:pPr>
              <w:autoSpaceDE/>
              <w:autoSpaceDN/>
              <w:adjustRightInd/>
              <w:rPr>
                <w:rFonts w:ascii="Arial" w:hAnsi="Arial"/>
                <w:sz w:val="20"/>
                <w:szCs w:val="20"/>
              </w:rPr>
            </w:pPr>
          </w:p>
        </w:tc>
        <w:tc>
          <w:tcPr>
            <w:tcW w:w="3200" w:type="dxa"/>
          </w:tcPr>
          <w:p w14:paraId="40996687" w14:textId="77777777" w:rsidR="00FA69C7" w:rsidRPr="00FA69C7" w:rsidRDefault="00FA69C7" w:rsidP="00FA69C7">
            <w:pPr>
              <w:autoSpaceDE/>
              <w:autoSpaceDN/>
              <w:adjustRightInd/>
              <w:rPr>
                <w:rFonts w:ascii="Arial" w:hAnsi="Arial"/>
                <w:b/>
                <w:sz w:val="20"/>
                <w:szCs w:val="20"/>
              </w:rPr>
            </w:pPr>
            <w:r w:rsidRPr="00FA69C7">
              <w:rPr>
                <w:rFonts w:ascii="Arial" w:hAnsi="Arial"/>
                <w:b/>
                <w:sz w:val="20"/>
                <w:szCs w:val="20"/>
              </w:rPr>
              <w:t>Randomization</w:t>
            </w:r>
          </w:p>
        </w:tc>
        <w:tc>
          <w:tcPr>
            <w:tcW w:w="5786" w:type="dxa"/>
          </w:tcPr>
          <w:p w14:paraId="57FF20A2"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Inclusion/exclusion criteria, PHI</w:t>
            </w:r>
          </w:p>
        </w:tc>
      </w:tr>
      <w:tr w:rsidR="00FA69C7" w:rsidRPr="00FA69C7" w14:paraId="2B6C5B9F" w14:textId="77777777" w:rsidTr="00346DFC">
        <w:tblPrEx>
          <w:tblLook w:val="04A0" w:firstRow="1" w:lastRow="0" w:firstColumn="1" w:lastColumn="0" w:noHBand="0" w:noVBand="1"/>
        </w:tblPrEx>
        <w:trPr>
          <w:trHeight w:val="853"/>
        </w:trPr>
        <w:tc>
          <w:tcPr>
            <w:tcW w:w="1347" w:type="dxa"/>
            <w:vMerge w:val="restart"/>
            <w:vAlign w:val="center"/>
          </w:tcPr>
          <w:p w14:paraId="4E456199" w14:textId="77777777" w:rsidR="00FA69C7" w:rsidRPr="00FA69C7" w:rsidRDefault="00FA69C7" w:rsidP="00FA69C7">
            <w:pPr>
              <w:autoSpaceDE/>
              <w:autoSpaceDN/>
              <w:adjustRightInd/>
              <w:jc w:val="center"/>
              <w:rPr>
                <w:rFonts w:ascii="Arial" w:hAnsi="Arial"/>
                <w:b/>
                <w:sz w:val="20"/>
                <w:szCs w:val="20"/>
              </w:rPr>
            </w:pPr>
            <w:r w:rsidRPr="00FA69C7">
              <w:rPr>
                <w:rFonts w:ascii="Arial" w:hAnsi="Arial"/>
                <w:b/>
                <w:sz w:val="20"/>
                <w:szCs w:val="20"/>
              </w:rPr>
              <w:t>Infant Hospital Course</w:t>
            </w:r>
          </w:p>
        </w:tc>
        <w:tc>
          <w:tcPr>
            <w:tcW w:w="3200" w:type="dxa"/>
          </w:tcPr>
          <w:p w14:paraId="56BE1401" w14:textId="77777777" w:rsidR="00FA69C7" w:rsidRPr="00FA69C7" w:rsidRDefault="00FA69C7" w:rsidP="00FA69C7">
            <w:pPr>
              <w:autoSpaceDE/>
              <w:autoSpaceDN/>
              <w:adjustRightInd/>
              <w:rPr>
                <w:rFonts w:ascii="Arial" w:hAnsi="Arial"/>
                <w:b/>
                <w:sz w:val="20"/>
                <w:szCs w:val="20"/>
              </w:rPr>
            </w:pPr>
            <w:r w:rsidRPr="00FA69C7">
              <w:rPr>
                <w:rFonts w:ascii="Arial" w:hAnsi="Arial"/>
                <w:b/>
                <w:sz w:val="20"/>
                <w:szCs w:val="20"/>
              </w:rPr>
              <w:t>Outcomes at 1 week of age</w:t>
            </w:r>
          </w:p>
        </w:tc>
        <w:tc>
          <w:tcPr>
            <w:tcW w:w="5786" w:type="dxa"/>
          </w:tcPr>
          <w:p w14:paraId="55125A01"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Culture positive EOS diagnosis</w:t>
            </w:r>
          </w:p>
          <w:p w14:paraId="3C13CAEE" w14:textId="77777777" w:rsidR="00FA69C7" w:rsidRPr="00FA69C7" w:rsidRDefault="00FA69C7" w:rsidP="00FA69C7">
            <w:pPr>
              <w:numPr>
                <w:ilvl w:val="0"/>
                <w:numId w:val="29"/>
              </w:numPr>
              <w:autoSpaceDE/>
              <w:autoSpaceDN/>
              <w:adjustRightInd/>
              <w:rPr>
                <w:rFonts w:ascii="Arial" w:eastAsia="Calibri" w:hAnsi="Arial"/>
                <w:sz w:val="20"/>
                <w:szCs w:val="20"/>
              </w:rPr>
            </w:pPr>
            <w:r w:rsidRPr="00FA69C7">
              <w:rPr>
                <w:rFonts w:ascii="Arial" w:eastAsia="Calibri" w:hAnsi="Arial"/>
                <w:sz w:val="20"/>
                <w:szCs w:val="20"/>
              </w:rPr>
              <w:t>If Yes: causative organism</w:t>
            </w:r>
          </w:p>
          <w:p w14:paraId="5E5CDBE2"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 xml:space="preserve">Days of antibiotics received during Week 1 of life </w:t>
            </w:r>
          </w:p>
        </w:tc>
      </w:tr>
      <w:tr w:rsidR="00FA69C7" w:rsidRPr="00FA69C7" w14:paraId="3850422A" w14:textId="77777777" w:rsidTr="00346DFC">
        <w:tblPrEx>
          <w:tblLook w:val="04A0" w:firstRow="1" w:lastRow="0" w:firstColumn="1" w:lastColumn="0" w:noHBand="0" w:noVBand="1"/>
        </w:tblPrEx>
        <w:trPr>
          <w:trHeight w:val="745"/>
        </w:trPr>
        <w:tc>
          <w:tcPr>
            <w:tcW w:w="1347" w:type="dxa"/>
            <w:vMerge/>
          </w:tcPr>
          <w:p w14:paraId="7703B987" w14:textId="77777777" w:rsidR="00FA69C7" w:rsidRPr="00FA69C7" w:rsidRDefault="00FA69C7" w:rsidP="00FA69C7">
            <w:pPr>
              <w:autoSpaceDE/>
              <w:autoSpaceDN/>
              <w:adjustRightInd/>
              <w:rPr>
                <w:rFonts w:ascii="Arial" w:hAnsi="Arial"/>
                <w:sz w:val="20"/>
                <w:szCs w:val="20"/>
              </w:rPr>
            </w:pPr>
          </w:p>
        </w:tc>
        <w:tc>
          <w:tcPr>
            <w:tcW w:w="3200" w:type="dxa"/>
          </w:tcPr>
          <w:p w14:paraId="64F156EB" w14:textId="77777777" w:rsidR="00FA69C7" w:rsidRPr="00FA69C7" w:rsidRDefault="00FA69C7" w:rsidP="00FA69C7">
            <w:pPr>
              <w:autoSpaceDE/>
              <w:autoSpaceDN/>
              <w:adjustRightInd/>
              <w:rPr>
                <w:rFonts w:ascii="Arial" w:hAnsi="Arial"/>
                <w:b/>
                <w:sz w:val="20"/>
                <w:szCs w:val="20"/>
              </w:rPr>
            </w:pPr>
            <w:r w:rsidRPr="00FA69C7">
              <w:rPr>
                <w:rFonts w:ascii="Arial" w:hAnsi="Arial"/>
                <w:b/>
                <w:sz w:val="20"/>
                <w:szCs w:val="20"/>
              </w:rPr>
              <w:t>Weekly</w:t>
            </w:r>
          </w:p>
        </w:tc>
        <w:tc>
          <w:tcPr>
            <w:tcW w:w="5786" w:type="dxa"/>
          </w:tcPr>
          <w:p w14:paraId="19A05E59" w14:textId="77777777" w:rsidR="00FA69C7" w:rsidRPr="00FA69C7" w:rsidRDefault="00FA69C7" w:rsidP="00FA69C7">
            <w:pPr>
              <w:autoSpaceDE/>
              <w:autoSpaceDN/>
              <w:adjustRightInd/>
              <w:rPr>
                <w:rFonts w:ascii="Arial" w:hAnsi="Arial"/>
                <w:sz w:val="20"/>
                <w:szCs w:val="20"/>
              </w:rPr>
            </w:pPr>
            <w:r w:rsidRPr="00FA69C7">
              <w:rPr>
                <w:rFonts w:ascii="Arial" w:hAnsi="Arial"/>
                <w:sz w:val="20"/>
                <w:szCs w:val="20"/>
              </w:rPr>
              <w:t>Weight (kg), length (cm), LOS diagnosis (Yes/No), NEC diagnosis (Yes/No)antibiotic administration</w:t>
            </w:r>
          </w:p>
        </w:tc>
      </w:tr>
      <w:tr w:rsidR="00FA69C7" w:rsidRPr="00FA69C7" w14:paraId="7E5B7CE9" w14:textId="77777777" w:rsidTr="00346DFC">
        <w:trPr>
          <w:trHeight w:val="232"/>
        </w:trPr>
        <w:tc>
          <w:tcPr>
            <w:tcW w:w="1347" w:type="dxa"/>
            <w:vMerge/>
          </w:tcPr>
          <w:p w14:paraId="7A072A2F" w14:textId="77777777" w:rsidR="00FA69C7" w:rsidRPr="00FA69C7" w:rsidRDefault="00FA69C7" w:rsidP="00FA69C7">
            <w:pPr>
              <w:autoSpaceDE/>
              <w:autoSpaceDN/>
              <w:adjustRightInd/>
              <w:ind w:left="-5"/>
              <w:rPr>
                <w:rFonts w:ascii="Arial" w:hAnsi="Arial"/>
                <w:sz w:val="20"/>
                <w:szCs w:val="20"/>
              </w:rPr>
            </w:pPr>
          </w:p>
        </w:tc>
        <w:tc>
          <w:tcPr>
            <w:tcW w:w="3200" w:type="dxa"/>
          </w:tcPr>
          <w:p w14:paraId="7FEA409C" w14:textId="77777777" w:rsidR="00FA69C7" w:rsidRPr="00FA69C7" w:rsidRDefault="00FA69C7" w:rsidP="00FA69C7">
            <w:pPr>
              <w:autoSpaceDE/>
              <w:autoSpaceDN/>
              <w:adjustRightInd/>
              <w:ind w:left="-5"/>
              <w:rPr>
                <w:rFonts w:ascii="Arial" w:hAnsi="Arial"/>
                <w:b/>
                <w:sz w:val="20"/>
                <w:szCs w:val="20"/>
              </w:rPr>
            </w:pPr>
            <w:r w:rsidRPr="00FA69C7">
              <w:rPr>
                <w:rFonts w:ascii="Arial" w:hAnsi="Arial"/>
                <w:b/>
                <w:sz w:val="20"/>
                <w:szCs w:val="20"/>
              </w:rPr>
              <w:t>Nutrition (Days 3, 7, 14, 28, 60)</w:t>
            </w:r>
          </w:p>
        </w:tc>
        <w:tc>
          <w:tcPr>
            <w:tcW w:w="5786" w:type="dxa"/>
          </w:tcPr>
          <w:p w14:paraId="58BDA478" w14:textId="77777777" w:rsidR="00FA69C7" w:rsidRPr="00FA69C7" w:rsidRDefault="00FA69C7" w:rsidP="00FA69C7">
            <w:pPr>
              <w:autoSpaceDE/>
              <w:autoSpaceDN/>
              <w:adjustRightInd/>
              <w:ind w:left="-5"/>
              <w:rPr>
                <w:rFonts w:ascii="Arial" w:hAnsi="Arial"/>
                <w:sz w:val="20"/>
                <w:szCs w:val="20"/>
              </w:rPr>
            </w:pPr>
            <w:r w:rsidRPr="00FA69C7">
              <w:rPr>
                <w:rFonts w:ascii="Arial" w:hAnsi="Arial"/>
                <w:sz w:val="20"/>
                <w:szCs w:val="20"/>
              </w:rPr>
              <w:t xml:space="preserve">Enteral nutrition, type of milk received, date subject reached full enteral feedings </w:t>
            </w:r>
          </w:p>
        </w:tc>
      </w:tr>
      <w:tr w:rsidR="00FA69C7" w:rsidRPr="00FA69C7" w14:paraId="75A89B09" w14:textId="77777777" w:rsidTr="00346DFC">
        <w:trPr>
          <w:trHeight w:val="232"/>
        </w:trPr>
        <w:tc>
          <w:tcPr>
            <w:tcW w:w="1347" w:type="dxa"/>
            <w:vMerge/>
          </w:tcPr>
          <w:p w14:paraId="16D3F760" w14:textId="77777777" w:rsidR="00FA69C7" w:rsidRPr="00FA69C7" w:rsidRDefault="00FA69C7" w:rsidP="00FA69C7">
            <w:pPr>
              <w:autoSpaceDE/>
              <w:autoSpaceDN/>
              <w:adjustRightInd/>
              <w:ind w:left="-5"/>
              <w:rPr>
                <w:rFonts w:ascii="Arial" w:hAnsi="Arial"/>
                <w:sz w:val="20"/>
                <w:szCs w:val="20"/>
              </w:rPr>
            </w:pPr>
          </w:p>
        </w:tc>
        <w:tc>
          <w:tcPr>
            <w:tcW w:w="3200" w:type="dxa"/>
          </w:tcPr>
          <w:p w14:paraId="5CC5D3BF" w14:textId="77777777" w:rsidR="00FA69C7" w:rsidRPr="00FA69C7" w:rsidRDefault="00FA69C7" w:rsidP="00FA69C7">
            <w:pPr>
              <w:autoSpaceDE/>
              <w:autoSpaceDN/>
              <w:adjustRightInd/>
              <w:ind w:left="-5"/>
              <w:rPr>
                <w:rFonts w:ascii="Arial" w:hAnsi="Arial"/>
                <w:b/>
                <w:sz w:val="20"/>
                <w:szCs w:val="20"/>
              </w:rPr>
            </w:pPr>
            <w:r w:rsidRPr="00FA69C7">
              <w:rPr>
                <w:rFonts w:ascii="Arial" w:hAnsi="Arial"/>
                <w:b/>
                <w:sz w:val="20"/>
                <w:szCs w:val="20"/>
              </w:rPr>
              <w:t xml:space="preserve">Hospitalization </w:t>
            </w:r>
          </w:p>
        </w:tc>
        <w:tc>
          <w:tcPr>
            <w:tcW w:w="5786" w:type="dxa"/>
          </w:tcPr>
          <w:p w14:paraId="2C59373B" w14:textId="77777777" w:rsidR="00FA69C7" w:rsidRPr="00FA69C7" w:rsidRDefault="00FA69C7" w:rsidP="00FA69C7">
            <w:pPr>
              <w:autoSpaceDE/>
              <w:autoSpaceDN/>
              <w:adjustRightInd/>
              <w:ind w:left="-5"/>
              <w:rPr>
                <w:rFonts w:ascii="Arial" w:hAnsi="Arial"/>
                <w:sz w:val="20"/>
                <w:szCs w:val="20"/>
              </w:rPr>
            </w:pPr>
            <w:r w:rsidRPr="00FA69C7">
              <w:rPr>
                <w:rFonts w:ascii="Arial" w:hAnsi="Arial"/>
                <w:sz w:val="20"/>
                <w:szCs w:val="20"/>
              </w:rPr>
              <w:t>Hospital admission date, NICU admission date</w:t>
            </w:r>
          </w:p>
        </w:tc>
      </w:tr>
      <w:tr w:rsidR="00FA69C7" w:rsidRPr="00FA69C7" w14:paraId="53979EFA" w14:textId="77777777" w:rsidTr="00346DFC">
        <w:trPr>
          <w:trHeight w:val="214"/>
        </w:trPr>
        <w:tc>
          <w:tcPr>
            <w:tcW w:w="1347" w:type="dxa"/>
            <w:vMerge/>
          </w:tcPr>
          <w:p w14:paraId="6050A8D8" w14:textId="77777777" w:rsidR="00FA69C7" w:rsidRPr="00FA69C7" w:rsidRDefault="00FA69C7" w:rsidP="00FA69C7">
            <w:pPr>
              <w:autoSpaceDE/>
              <w:autoSpaceDN/>
              <w:adjustRightInd/>
              <w:ind w:left="-5"/>
              <w:rPr>
                <w:rFonts w:ascii="Arial" w:hAnsi="Arial"/>
                <w:sz w:val="20"/>
                <w:szCs w:val="20"/>
              </w:rPr>
            </w:pPr>
          </w:p>
        </w:tc>
        <w:tc>
          <w:tcPr>
            <w:tcW w:w="3200" w:type="dxa"/>
          </w:tcPr>
          <w:p w14:paraId="116A5AFC" w14:textId="77777777" w:rsidR="00FA69C7" w:rsidRPr="00FA69C7" w:rsidRDefault="00FA69C7" w:rsidP="00FA69C7">
            <w:pPr>
              <w:autoSpaceDE/>
              <w:autoSpaceDN/>
              <w:adjustRightInd/>
              <w:ind w:left="-5"/>
              <w:rPr>
                <w:rFonts w:ascii="Arial" w:hAnsi="Arial"/>
                <w:b/>
                <w:sz w:val="20"/>
                <w:szCs w:val="20"/>
              </w:rPr>
            </w:pPr>
            <w:r w:rsidRPr="00FA69C7">
              <w:rPr>
                <w:rFonts w:ascii="Arial" w:hAnsi="Arial"/>
                <w:b/>
                <w:sz w:val="20"/>
                <w:szCs w:val="20"/>
              </w:rPr>
              <w:t>Discharge</w:t>
            </w:r>
          </w:p>
        </w:tc>
        <w:tc>
          <w:tcPr>
            <w:tcW w:w="5786" w:type="dxa"/>
          </w:tcPr>
          <w:p w14:paraId="38313A55" w14:textId="77777777" w:rsidR="00FA69C7" w:rsidRPr="00FA69C7" w:rsidRDefault="00FA69C7" w:rsidP="00FA69C7">
            <w:pPr>
              <w:autoSpaceDE/>
              <w:autoSpaceDN/>
              <w:adjustRightInd/>
              <w:ind w:left="-5"/>
              <w:rPr>
                <w:rFonts w:ascii="Arial" w:hAnsi="Arial"/>
                <w:sz w:val="20"/>
                <w:szCs w:val="20"/>
              </w:rPr>
            </w:pPr>
            <w:r w:rsidRPr="00FA69C7">
              <w:rPr>
                <w:rFonts w:ascii="Arial" w:hAnsi="Arial"/>
                <w:sz w:val="20"/>
                <w:szCs w:val="20"/>
              </w:rPr>
              <w:t>Date of discharge, diagnoses: (Grade 3 or 4 IVH, ROP, CLD, PDA), days of endotracheal intubation, positive blood cultures, positive respiratory cultures, positive urine cultures, positive cerebrospinal fluid cultures), total number of days antibiotics, total number of days of oral or IV antifungal medications, antibiotics within first 72 hours of life</w:t>
            </w:r>
          </w:p>
        </w:tc>
      </w:tr>
      <w:tr w:rsidR="00FA69C7" w:rsidRPr="00FA69C7" w14:paraId="395C96D2" w14:textId="77777777" w:rsidTr="00346DFC">
        <w:trPr>
          <w:trHeight w:val="214"/>
        </w:trPr>
        <w:tc>
          <w:tcPr>
            <w:tcW w:w="1347" w:type="dxa"/>
            <w:vMerge/>
          </w:tcPr>
          <w:p w14:paraId="7ABABD53" w14:textId="77777777" w:rsidR="00FA69C7" w:rsidRPr="00FA69C7" w:rsidRDefault="00FA69C7" w:rsidP="00FA69C7">
            <w:pPr>
              <w:autoSpaceDE/>
              <w:autoSpaceDN/>
              <w:adjustRightInd/>
              <w:ind w:left="-5"/>
              <w:rPr>
                <w:rFonts w:ascii="Arial" w:hAnsi="Arial"/>
                <w:sz w:val="20"/>
                <w:szCs w:val="20"/>
              </w:rPr>
            </w:pPr>
          </w:p>
        </w:tc>
        <w:tc>
          <w:tcPr>
            <w:tcW w:w="3200" w:type="dxa"/>
          </w:tcPr>
          <w:p w14:paraId="68FE178E" w14:textId="77777777" w:rsidR="00FA69C7" w:rsidRPr="00FA69C7" w:rsidRDefault="00FA69C7" w:rsidP="00FA69C7">
            <w:pPr>
              <w:autoSpaceDE/>
              <w:autoSpaceDN/>
              <w:adjustRightInd/>
              <w:ind w:left="-5"/>
              <w:rPr>
                <w:rFonts w:ascii="Arial" w:hAnsi="Arial"/>
                <w:b/>
                <w:sz w:val="20"/>
                <w:szCs w:val="20"/>
              </w:rPr>
            </w:pPr>
            <w:r w:rsidRPr="00FA69C7">
              <w:rPr>
                <w:rFonts w:ascii="Arial" w:hAnsi="Arial"/>
                <w:b/>
                <w:sz w:val="20"/>
                <w:szCs w:val="20"/>
              </w:rPr>
              <w:t>Events</w:t>
            </w:r>
          </w:p>
        </w:tc>
        <w:tc>
          <w:tcPr>
            <w:tcW w:w="5786" w:type="dxa"/>
          </w:tcPr>
          <w:p w14:paraId="76DA8CE8" w14:textId="77777777" w:rsidR="00FA69C7" w:rsidRPr="00FA69C7" w:rsidRDefault="00FA69C7" w:rsidP="00FA69C7">
            <w:pPr>
              <w:autoSpaceDE/>
              <w:autoSpaceDN/>
              <w:adjustRightInd/>
              <w:ind w:left="-5"/>
              <w:rPr>
                <w:rFonts w:ascii="Arial" w:hAnsi="Arial"/>
                <w:sz w:val="20"/>
                <w:szCs w:val="20"/>
              </w:rPr>
            </w:pPr>
            <w:r w:rsidRPr="00FA69C7">
              <w:rPr>
                <w:rFonts w:ascii="Arial" w:hAnsi="Arial"/>
                <w:sz w:val="20"/>
                <w:szCs w:val="20"/>
              </w:rPr>
              <w:t xml:space="preserve">AE, SAEs UAP, protocol deviations reporting </w:t>
            </w:r>
          </w:p>
        </w:tc>
      </w:tr>
      <w:tr w:rsidR="00FA69C7" w:rsidRPr="00FA69C7" w14:paraId="569151BC" w14:textId="77777777" w:rsidTr="00346DFC">
        <w:trPr>
          <w:trHeight w:val="214"/>
        </w:trPr>
        <w:tc>
          <w:tcPr>
            <w:tcW w:w="1347" w:type="dxa"/>
            <w:vMerge/>
          </w:tcPr>
          <w:p w14:paraId="3012B78E" w14:textId="77777777" w:rsidR="00FA69C7" w:rsidRPr="00FA69C7" w:rsidRDefault="00FA69C7" w:rsidP="00FA69C7">
            <w:pPr>
              <w:autoSpaceDE/>
              <w:autoSpaceDN/>
              <w:adjustRightInd/>
              <w:ind w:left="-5"/>
              <w:rPr>
                <w:rFonts w:ascii="Arial" w:hAnsi="Arial"/>
                <w:sz w:val="20"/>
                <w:szCs w:val="20"/>
              </w:rPr>
            </w:pPr>
          </w:p>
        </w:tc>
        <w:tc>
          <w:tcPr>
            <w:tcW w:w="3200" w:type="dxa"/>
          </w:tcPr>
          <w:p w14:paraId="59187E14" w14:textId="77777777" w:rsidR="00FA69C7" w:rsidRPr="00FA69C7" w:rsidRDefault="00FA69C7" w:rsidP="00FA69C7">
            <w:pPr>
              <w:autoSpaceDE/>
              <w:autoSpaceDN/>
              <w:adjustRightInd/>
              <w:ind w:left="-5"/>
              <w:rPr>
                <w:rFonts w:ascii="Arial" w:hAnsi="Arial"/>
                <w:b/>
                <w:sz w:val="20"/>
                <w:szCs w:val="20"/>
              </w:rPr>
            </w:pPr>
            <w:r w:rsidRPr="00FA69C7">
              <w:rPr>
                <w:rFonts w:ascii="Arial" w:hAnsi="Arial"/>
                <w:b/>
                <w:sz w:val="20"/>
                <w:szCs w:val="20"/>
              </w:rPr>
              <w:t>Antibiotics prescribed</w:t>
            </w:r>
          </w:p>
        </w:tc>
        <w:tc>
          <w:tcPr>
            <w:tcW w:w="5786" w:type="dxa"/>
          </w:tcPr>
          <w:p w14:paraId="1BA9A7A6" w14:textId="77777777" w:rsidR="00FA69C7" w:rsidRPr="00FA69C7" w:rsidRDefault="00FA69C7" w:rsidP="00FA69C7">
            <w:pPr>
              <w:autoSpaceDE/>
              <w:autoSpaceDN/>
              <w:adjustRightInd/>
              <w:ind w:left="-5"/>
              <w:rPr>
                <w:rFonts w:ascii="Arial" w:hAnsi="Arial"/>
                <w:sz w:val="20"/>
                <w:szCs w:val="20"/>
              </w:rPr>
            </w:pPr>
            <w:r w:rsidRPr="00FA69C7">
              <w:rPr>
                <w:rFonts w:ascii="Arial" w:hAnsi="Arial"/>
                <w:sz w:val="20"/>
                <w:szCs w:val="20"/>
              </w:rPr>
              <w:t>Antibiotic used, start and end date, reason</w:t>
            </w:r>
          </w:p>
        </w:tc>
      </w:tr>
      <w:tr w:rsidR="00FA69C7" w:rsidRPr="00FA69C7" w14:paraId="471FE056" w14:textId="77777777" w:rsidTr="00346DFC">
        <w:trPr>
          <w:trHeight w:val="214"/>
        </w:trPr>
        <w:tc>
          <w:tcPr>
            <w:tcW w:w="1347" w:type="dxa"/>
            <w:vMerge/>
          </w:tcPr>
          <w:p w14:paraId="1FF98F9C" w14:textId="77777777" w:rsidR="00FA69C7" w:rsidRPr="00FA69C7" w:rsidRDefault="00FA69C7" w:rsidP="00FA69C7">
            <w:pPr>
              <w:autoSpaceDE/>
              <w:autoSpaceDN/>
              <w:adjustRightInd/>
              <w:ind w:left="-5"/>
              <w:rPr>
                <w:rFonts w:ascii="Arial" w:hAnsi="Arial"/>
                <w:sz w:val="20"/>
                <w:szCs w:val="20"/>
              </w:rPr>
            </w:pPr>
          </w:p>
        </w:tc>
        <w:tc>
          <w:tcPr>
            <w:tcW w:w="3200" w:type="dxa"/>
          </w:tcPr>
          <w:p w14:paraId="4407263E" w14:textId="77777777" w:rsidR="00FA69C7" w:rsidRPr="00FA69C7" w:rsidRDefault="00FA69C7" w:rsidP="00FA69C7">
            <w:pPr>
              <w:autoSpaceDE/>
              <w:autoSpaceDN/>
              <w:adjustRightInd/>
              <w:ind w:left="-5"/>
              <w:rPr>
                <w:rFonts w:ascii="Arial" w:hAnsi="Arial"/>
                <w:b/>
                <w:sz w:val="20"/>
                <w:szCs w:val="20"/>
              </w:rPr>
            </w:pPr>
            <w:r w:rsidRPr="00FA69C7">
              <w:rPr>
                <w:rFonts w:ascii="Arial" w:hAnsi="Arial"/>
                <w:b/>
                <w:sz w:val="20"/>
                <w:szCs w:val="20"/>
              </w:rPr>
              <w:t>Positive Cultures (&gt;5 days of antibiotic treatment)</w:t>
            </w:r>
          </w:p>
        </w:tc>
        <w:tc>
          <w:tcPr>
            <w:tcW w:w="5786" w:type="dxa"/>
          </w:tcPr>
          <w:p w14:paraId="6152F8CE" w14:textId="77777777" w:rsidR="00FA69C7" w:rsidRPr="00FA69C7" w:rsidDel="00BE2994" w:rsidRDefault="00FA69C7" w:rsidP="00FA69C7">
            <w:pPr>
              <w:autoSpaceDE/>
              <w:autoSpaceDN/>
              <w:adjustRightInd/>
              <w:ind w:left="-5"/>
              <w:rPr>
                <w:rFonts w:ascii="Arial" w:hAnsi="Arial"/>
                <w:sz w:val="20"/>
                <w:szCs w:val="20"/>
              </w:rPr>
            </w:pPr>
            <w:r w:rsidRPr="00FA69C7">
              <w:rPr>
                <w:rFonts w:ascii="Arial" w:hAnsi="Arial"/>
                <w:sz w:val="20"/>
                <w:szCs w:val="20"/>
              </w:rPr>
              <w:t>Date, source of culture, isolated organism</w:t>
            </w:r>
          </w:p>
        </w:tc>
      </w:tr>
      <w:tr w:rsidR="00FA69C7" w:rsidRPr="00FA69C7" w14:paraId="0BB31B0F" w14:textId="77777777" w:rsidTr="00346DFC">
        <w:trPr>
          <w:trHeight w:val="242"/>
        </w:trPr>
        <w:tc>
          <w:tcPr>
            <w:tcW w:w="1347" w:type="dxa"/>
            <w:vMerge/>
          </w:tcPr>
          <w:p w14:paraId="2CEE137E" w14:textId="77777777" w:rsidR="00FA69C7" w:rsidRPr="00FA69C7" w:rsidRDefault="00FA69C7" w:rsidP="00FA69C7">
            <w:pPr>
              <w:autoSpaceDE/>
              <w:autoSpaceDN/>
              <w:adjustRightInd/>
              <w:ind w:left="-5"/>
              <w:rPr>
                <w:rFonts w:ascii="Arial" w:hAnsi="Arial"/>
                <w:sz w:val="20"/>
                <w:szCs w:val="20"/>
              </w:rPr>
            </w:pPr>
          </w:p>
        </w:tc>
        <w:tc>
          <w:tcPr>
            <w:tcW w:w="3200" w:type="dxa"/>
          </w:tcPr>
          <w:p w14:paraId="446E90DB" w14:textId="77777777" w:rsidR="00FA69C7" w:rsidRPr="00FA69C7" w:rsidRDefault="00FA69C7" w:rsidP="00FA69C7">
            <w:pPr>
              <w:autoSpaceDE/>
              <w:autoSpaceDN/>
              <w:adjustRightInd/>
              <w:ind w:left="-5"/>
              <w:rPr>
                <w:rFonts w:ascii="Arial" w:hAnsi="Arial"/>
                <w:b/>
                <w:sz w:val="20"/>
                <w:szCs w:val="20"/>
              </w:rPr>
            </w:pPr>
            <w:r w:rsidRPr="00FA69C7">
              <w:rPr>
                <w:rFonts w:ascii="Arial" w:hAnsi="Arial"/>
                <w:b/>
                <w:sz w:val="20"/>
                <w:szCs w:val="20"/>
              </w:rPr>
              <w:t>Study Drug</w:t>
            </w:r>
          </w:p>
        </w:tc>
        <w:tc>
          <w:tcPr>
            <w:tcW w:w="5786" w:type="dxa"/>
          </w:tcPr>
          <w:p w14:paraId="60B7F15B" w14:textId="77777777" w:rsidR="00FA69C7" w:rsidRPr="00FA69C7" w:rsidRDefault="00FA69C7" w:rsidP="00FA69C7">
            <w:pPr>
              <w:autoSpaceDE/>
              <w:autoSpaceDN/>
              <w:adjustRightInd/>
              <w:ind w:left="-5"/>
              <w:rPr>
                <w:rFonts w:ascii="Arial" w:hAnsi="Arial"/>
                <w:sz w:val="20"/>
                <w:szCs w:val="20"/>
              </w:rPr>
            </w:pPr>
            <w:r w:rsidRPr="00FA69C7">
              <w:rPr>
                <w:rFonts w:ascii="Arial" w:hAnsi="Arial"/>
                <w:sz w:val="20"/>
                <w:szCs w:val="20"/>
              </w:rPr>
              <w:t>Start date, end date, time</w:t>
            </w:r>
          </w:p>
        </w:tc>
      </w:tr>
    </w:tbl>
    <w:p w14:paraId="37EC9394" w14:textId="7047C834" w:rsidR="00086F75" w:rsidRDefault="00086F75" w:rsidP="00086F75"/>
    <w:p w14:paraId="5A45D3DC" w14:textId="77777777" w:rsidR="00E148A1" w:rsidRDefault="00E148A1" w:rsidP="00086F75">
      <w:pPr>
        <w:pStyle w:val="Heading1"/>
        <w:numPr>
          <w:ilvl w:val="0"/>
          <w:numId w:val="0"/>
        </w:numPr>
        <w:rPr>
          <w:b w:val="0"/>
          <w:bCs/>
          <w:sz w:val="24"/>
          <w:szCs w:val="24"/>
        </w:rPr>
      </w:pPr>
      <w:r w:rsidRPr="00117BEE">
        <w:rPr>
          <w:b w:val="0"/>
          <w:bCs/>
          <w:sz w:val="24"/>
          <w:szCs w:val="24"/>
          <w:u w:val="single"/>
        </w:rPr>
        <w:t>6.6 Sample Collection</w:t>
      </w:r>
      <w:r>
        <w:rPr>
          <w:b w:val="0"/>
          <w:bCs/>
          <w:sz w:val="24"/>
          <w:szCs w:val="24"/>
        </w:rPr>
        <w:t xml:space="preserve">. </w:t>
      </w:r>
    </w:p>
    <w:p w14:paraId="24574C87" w14:textId="77777777" w:rsidR="00E148A1" w:rsidRDefault="00E148A1" w:rsidP="00086F75">
      <w:pPr>
        <w:pStyle w:val="Heading1"/>
        <w:numPr>
          <w:ilvl w:val="0"/>
          <w:numId w:val="0"/>
        </w:numPr>
        <w:rPr>
          <w:b w:val="0"/>
          <w:bCs/>
          <w:sz w:val="24"/>
          <w:szCs w:val="24"/>
        </w:rPr>
      </w:pPr>
    </w:p>
    <w:p w14:paraId="2C35F504" w14:textId="203BB765" w:rsidR="00E148A1" w:rsidRPr="00117BEE" w:rsidRDefault="00E148A1" w:rsidP="00086F75">
      <w:pPr>
        <w:pStyle w:val="Heading1"/>
        <w:numPr>
          <w:ilvl w:val="0"/>
          <w:numId w:val="0"/>
        </w:numPr>
        <w:rPr>
          <w:bCs/>
          <w:sz w:val="24"/>
          <w:szCs w:val="24"/>
        </w:rPr>
      </w:pPr>
      <w:r w:rsidRPr="00117BEE">
        <w:rPr>
          <w:bCs/>
          <w:sz w:val="24"/>
          <w:szCs w:val="24"/>
        </w:rPr>
        <w:t>Infant</w:t>
      </w:r>
    </w:p>
    <w:p w14:paraId="55642C7F" w14:textId="3F7C52AE" w:rsidR="00581CBB" w:rsidRDefault="00514629" w:rsidP="00086F75">
      <w:pPr>
        <w:pStyle w:val="Heading1"/>
        <w:numPr>
          <w:ilvl w:val="0"/>
          <w:numId w:val="0"/>
        </w:numPr>
        <w:rPr>
          <w:b w:val="0"/>
          <w:bCs/>
          <w:sz w:val="24"/>
          <w:szCs w:val="24"/>
        </w:rPr>
      </w:pPr>
      <w:r>
        <w:rPr>
          <w:b w:val="0"/>
          <w:bCs/>
          <w:sz w:val="24"/>
          <w:szCs w:val="24"/>
        </w:rPr>
        <w:t>1-2 s</w:t>
      </w:r>
      <w:r w:rsidR="00EC5811" w:rsidRPr="007241C5">
        <w:rPr>
          <w:b w:val="0"/>
          <w:bCs/>
          <w:sz w:val="24"/>
          <w:szCs w:val="24"/>
        </w:rPr>
        <w:t xml:space="preserve">pontaneously expelled fecal samples for microbiome analyses will be obtained weekly from study subjects </w:t>
      </w:r>
      <w:r w:rsidR="00581CBB">
        <w:rPr>
          <w:b w:val="0"/>
          <w:bCs/>
          <w:sz w:val="24"/>
          <w:szCs w:val="24"/>
        </w:rPr>
        <w:t xml:space="preserve">up until 8 weeks of life. </w:t>
      </w:r>
      <w:r w:rsidR="00B84150">
        <w:rPr>
          <w:b w:val="0"/>
          <w:bCs/>
          <w:sz w:val="24"/>
          <w:szCs w:val="24"/>
        </w:rPr>
        <w:t>After 8 weeks of life,</w:t>
      </w:r>
      <w:r w:rsidR="00555209">
        <w:rPr>
          <w:b w:val="0"/>
          <w:bCs/>
          <w:sz w:val="24"/>
          <w:szCs w:val="24"/>
        </w:rPr>
        <w:t xml:space="preserve"> 1</w:t>
      </w:r>
      <w:r w:rsidR="00B84150">
        <w:rPr>
          <w:b w:val="0"/>
          <w:bCs/>
          <w:sz w:val="24"/>
          <w:szCs w:val="24"/>
        </w:rPr>
        <w:t xml:space="preserve"> spontaneously expelled fecal sample will be collected monthly</w:t>
      </w:r>
      <w:r w:rsidR="008D271C">
        <w:rPr>
          <w:b w:val="0"/>
          <w:bCs/>
          <w:sz w:val="24"/>
          <w:szCs w:val="24"/>
        </w:rPr>
        <w:t xml:space="preserve">. </w:t>
      </w:r>
      <w:r w:rsidR="008D359C">
        <w:rPr>
          <w:b w:val="0"/>
          <w:bCs/>
          <w:sz w:val="24"/>
          <w:szCs w:val="24"/>
        </w:rPr>
        <w:t xml:space="preserve">If </w:t>
      </w:r>
      <w:r w:rsidR="004A222C">
        <w:rPr>
          <w:b w:val="0"/>
          <w:bCs/>
          <w:sz w:val="24"/>
          <w:szCs w:val="24"/>
        </w:rPr>
        <w:t xml:space="preserve">a subject is diagnosed </w:t>
      </w:r>
      <w:r w:rsidR="004A222C">
        <w:rPr>
          <w:b w:val="0"/>
          <w:bCs/>
          <w:sz w:val="24"/>
          <w:szCs w:val="24"/>
        </w:rPr>
        <w:lastRenderedPageBreak/>
        <w:t xml:space="preserve">with NEC or LOS, additional stool samples </w:t>
      </w:r>
      <w:r w:rsidR="001E2AFF">
        <w:rPr>
          <w:b w:val="0"/>
          <w:bCs/>
          <w:sz w:val="24"/>
          <w:szCs w:val="24"/>
        </w:rPr>
        <w:t xml:space="preserve">may be requested, as available. </w:t>
      </w:r>
      <w:r w:rsidR="008D271C">
        <w:rPr>
          <w:b w:val="0"/>
          <w:bCs/>
          <w:sz w:val="24"/>
          <w:szCs w:val="24"/>
        </w:rPr>
        <w:t>SOP</w:t>
      </w:r>
      <w:r w:rsidR="00DC0EA7">
        <w:rPr>
          <w:b w:val="0"/>
          <w:bCs/>
          <w:sz w:val="24"/>
          <w:szCs w:val="24"/>
        </w:rPr>
        <w:t>s</w:t>
      </w:r>
      <w:r w:rsidR="008D271C">
        <w:rPr>
          <w:b w:val="0"/>
          <w:bCs/>
          <w:sz w:val="24"/>
          <w:szCs w:val="24"/>
        </w:rPr>
        <w:t xml:space="preserve"> will be distributed to all sites to ensure proper collection of fecal samples. </w:t>
      </w:r>
    </w:p>
    <w:p w14:paraId="06F9CD61" w14:textId="5A268F26" w:rsidR="00E148A1" w:rsidRDefault="00E148A1" w:rsidP="00E148A1"/>
    <w:p w14:paraId="38FBEA06" w14:textId="6F91AF39" w:rsidR="006E2E25" w:rsidRDefault="006E2E25" w:rsidP="00117BEE">
      <w:pPr>
        <w:pStyle w:val="Default"/>
      </w:pPr>
      <w:r w:rsidRPr="006E2E25">
        <w:t>An additional research blood sample</w:t>
      </w:r>
      <w:r w:rsidR="00DB5893">
        <w:t xml:space="preserve"> for genetic analysis</w:t>
      </w:r>
      <w:r w:rsidRPr="006E2E25">
        <w:t xml:space="preserve"> will be drawn one time and should be done at the time of clinical blood draws. However, if this blood draw is missed, it can be done in the neonate's first week of life. A volume of 0.3 to 0.4mL will be drawn in EDTA tubes and shaken well. </w:t>
      </w:r>
      <w:r w:rsidR="00DB5893">
        <w:t xml:space="preserve">After the sample is collected, it will be frozen for </w:t>
      </w:r>
      <w:r w:rsidR="00F73C1B">
        <w:t>s</w:t>
      </w:r>
      <w:r w:rsidR="00DB5893">
        <w:t xml:space="preserve">hipment. The </w:t>
      </w:r>
      <w:r w:rsidRPr="006E2E25">
        <w:t xml:space="preserve">blood draw will be </w:t>
      </w:r>
      <w:r w:rsidR="00F73C1B">
        <w:t xml:space="preserve">performed by </w:t>
      </w:r>
      <w:r w:rsidRPr="006E2E25">
        <w:t xml:space="preserve">NICU personnel who routinely draw blood on preterm babies. It will be either the bedside nurse or the respiratory therapist depending on whether the blood is drawn from an umbilical catheter or by </w:t>
      </w:r>
      <w:proofErr w:type="spellStart"/>
      <w:r w:rsidRPr="006E2E25">
        <w:t>heelstick</w:t>
      </w:r>
      <w:proofErr w:type="spellEnd"/>
      <w:r w:rsidRPr="006E2E25">
        <w:t xml:space="preserve">.  </w:t>
      </w:r>
    </w:p>
    <w:p w14:paraId="47F0F8CF" w14:textId="77777777" w:rsidR="006E2E25" w:rsidRDefault="006E2E25" w:rsidP="00117BEE">
      <w:pPr>
        <w:pStyle w:val="Default"/>
      </w:pPr>
    </w:p>
    <w:p w14:paraId="0812B1AF" w14:textId="2D055C8B" w:rsidR="00581CBB" w:rsidRDefault="00581CBB" w:rsidP="00086F75">
      <w:pPr>
        <w:pStyle w:val="Heading1"/>
        <w:numPr>
          <w:ilvl w:val="0"/>
          <w:numId w:val="0"/>
        </w:numPr>
        <w:rPr>
          <w:b w:val="0"/>
          <w:bCs/>
          <w:sz w:val="24"/>
          <w:szCs w:val="24"/>
        </w:rPr>
      </w:pPr>
    </w:p>
    <w:p w14:paraId="41BBFBEA" w14:textId="6A2172BD" w:rsidR="00E148A1" w:rsidRPr="00117BEE" w:rsidRDefault="00E148A1" w:rsidP="00117BEE">
      <w:pPr>
        <w:rPr>
          <w:b/>
        </w:rPr>
      </w:pPr>
      <w:r w:rsidRPr="00117BEE">
        <w:rPr>
          <w:b/>
        </w:rPr>
        <w:t>Maternal</w:t>
      </w:r>
    </w:p>
    <w:p w14:paraId="04A0ACC4" w14:textId="1F7CBBD9" w:rsidR="006654A6" w:rsidRPr="006654A6" w:rsidRDefault="000700EB" w:rsidP="006654A6">
      <w:pPr>
        <w:pStyle w:val="Heading1"/>
        <w:numPr>
          <w:ilvl w:val="0"/>
          <w:numId w:val="0"/>
        </w:numPr>
        <w:rPr>
          <w:b w:val="0"/>
          <w:bCs/>
          <w:sz w:val="24"/>
          <w:szCs w:val="24"/>
        </w:rPr>
      </w:pPr>
      <w:r>
        <w:rPr>
          <w:b w:val="0"/>
          <w:bCs/>
          <w:sz w:val="24"/>
          <w:szCs w:val="24"/>
        </w:rPr>
        <w:t>Intrapartum</w:t>
      </w:r>
      <w:r w:rsidR="00EC5811" w:rsidRPr="007241C5">
        <w:rPr>
          <w:b w:val="0"/>
          <w:bCs/>
          <w:sz w:val="24"/>
          <w:szCs w:val="24"/>
        </w:rPr>
        <w:t xml:space="preserve"> vaginal and rectal swabs</w:t>
      </w:r>
      <w:r>
        <w:rPr>
          <w:b w:val="0"/>
          <w:bCs/>
          <w:sz w:val="24"/>
          <w:szCs w:val="24"/>
        </w:rPr>
        <w:t xml:space="preserve"> will be collected</w:t>
      </w:r>
      <w:r w:rsidR="00EC5811" w:rsidRPr="007241C5">
        <w:rPr>
          <w:b w:val="0"/>
          <w:bCs/>
          <w:sz w:val="24"/>
          <w:szCs w:val="24"/>
        </w:rPr>
        <w:t xml:space="preserve"> </w:t>
      </w:r>
      <w:r w:rsidR="006F574E">
        <w:rPr>
          <w:b w:val="0"/>
          <w:bCs/>
          <w:sz w:val="24"/>
          <w:szCs w:val="24"/>
        </w:rPr>
        <w:t xml:space="preserve">on mother’s </w:t>
      </w:r>
      <w:r w:rsidR="004E34F7">
        <w:rPr>
          <w:b w:val="0"/>
          <w:bCs/>
          <w:sz w:val="24"/>
          <w:szCs w:val="24"/>
        </w:rPr>
        <w:t xml:space="preserve">at sites that have infrastructure </w:t>
      </w:r>
      <w:r w:rsidR="00075158">
        <w:rPr>
          <w:b w:val="0"/>
          <w:bCs/>
          <w:sz w:val="24"/>
          <w:szCs w:val="24"/>
        </w:rPr>
        <w:t>that allows them</w:t>
      </w:r>
      <w:r>
        <w:rPr>
          <w:b w:val="0"/>
          <w:bCs/>
          <w:sz w:val="24"/>
          <w:szCs w:val="24"/>
        </w:rPr>
        <w:t xml:space="preserve"> to do so</w:t>
      </w:r>
      <w:r w:rsidR="004E34F7">
        <w:rPr>
          <w:b w:val="0"/>
          <w:bCs/>
          <w:sz w:val="24"/>
          <w:szCs w:val="24"/>
        </w:rPr>
        <w:t>.</w:t>
      </w:r>
      <w:r>
        <w:rPr>
          <w:b w:val="0"/>
          <w:bCs/>
          <w:sz w:val="24"/>
          <w:szCs w:val="24"/>
        </w:rPr>
        <w:t xml:space="preserve"> </w:t>
      </w:r>
      <w:r w:rsidR="006654A6" w:rsidRPr="006654A6">
        <w:rPr>
          <w:b w:val="0"/>
          <w:sz w:val="24"/>
        </w:rPr>
        <w:t>We recognize maternal collections will not be feasible at all study sites and in all cases, and therefore anticipate collecting maternal fecal and vaginal samples from 25% of mothers participating in the study.</w:t>
      </w:r>
      <w:r w:rsidR="006654A6">
        <w:rPr>
          <w:b w:val="0"/>
          <w:sz w:val="24"/>
        </w:rPr>
        <w:t xml:space="preserve"> </w:t>
      </w:r>
      <w:r w:rsidR="006654A6" w:rsidRPr="006654A6">
        <w:rPr>
          <w:b w:val="0"/>
          <w:sz w:val="24"/>
        </w:rPr>
        <w:t xml:space="preserve">Sites that can collect these samples will be designated before </w:t>
      </w:r>
      <w:r w:rsidR="00B33E8D">
        <w:rPr>
          <w:b w:val="0"/>
          <w:sz w:val="24"/>
        </w:rPr>
        <w:t>e</w:t>
      </w:r>
      <w:r w:rsidR="006654A6" w:rsidRPr="006654A6">
        <w:rPr>
          <w:b w:val="0"/>
          <w:sz w:val="24"/>
        </w:rPr>
        <w:t>nrollment</w:t>
      </w:r>
      <w:r w:rsidR="00B33E8D">
        <w:rPr>
          <w:b w:val="0"/>
          <w:sz w:val="24"/>
        </w:rPr>
        <w:t xml:space="preserve"> of their first patient</w:t>
      </w:r>
      <w:r w:rsidR="006654A6" w:rsidRPr="006654A6">
        <w:rPr>
          <w:b w:val="0"/>
          <w:sz w:val="24"/>
        </w:rPr>
        <w:t>.  SOP</w:t>
      </w:r>
      <w:r w:rsidR="00F149F4">
        <w:rPr>
          <w:b w:val="0"/>
          <w:sz w:val="24"/>
        </w:rPr>
        <w:t>s</w:t>
      </w:r>
      <w:r w:rsidR="006654A6" w:rsidRPr="006654A6">
        <w:rPr>
          <w:b w:val="0"/>
          <w:sz w:val="24"/>
        </w:rPr>
        <w:t xml:space="preserve"> will be distributed to all sites to ensure proper collection of these samples.</w:t>
      </w:r>
    </w:p>
    <w:p w14:paraId="7400C0BA" w14:textId="77777777" w:rsidR="004D32F4" w:rsidRDefault="004D32F4" w:rsidP="00086F75">
      <w:pPr>
        <w:pStyle w:val="Heading1"/>
        <w:numPr>
          <w:ilvl w:val="0"/>
          <w:numId w:val="0"/>
        </w:numPr>
        <w:rPr>
          <w:b w:val="0"/>
          <w:bCs/>
          <w:sz w:val="24"/>
          <w:szCs w:val="24"/>
        </w:rPr>
      </w:pPr>
    </w:p>
    <w:p w14:paraId="04BCAC66" w14:textId="6BA5B20D" w:rsidR="00EC5811" w:rsidRPr="007241C5" w:rsidRDefault="00742ECD" w:rsidP="00086F75">
      <w:pPr>
        <w:pStyle w:val="Heading1"/>
        <w:numPr>
          <w:ilvl w:val="0"/>
          <w:numId w:val="0"/>
        </w:numPr>
        <w:rPr>
          <w:b w:val="0"/>
          <w:bCs/>
          <w:sz w:val="24"/>
          <w:szCs w:val="24"/>
        </w:rPr>
      </w:pPr>
      <w:r>
        <w:rPr>
          <w:b w:val="0"/>
          <w:bCs/>
          <w:sz w:val="24"/>
          <w:szCs w:val="24"/>
        </w:rPr>
        <w:t>If a vaginal and rectal swab cannot be obtained</w:t>
      </w:r>
      <w:r w:rsidR="0005556F">
        <w:rPr>
          <w:b w:val="0"/>
          <w:bCs/>
          <w:sz w:val="24"/>
          <w:szCs w:val="24"/>
        </w:rPr>
        <w:t xml:space="preserve"> due to lack of infrastructure or personnel</w:t>
      </w:r>
      <w:r>
        <w:rPr>
          <w:b w:val="0"/>
          <w:bCs/>
          <w:sz w:val="24"/>
          <w:szCs w:val="24"/>
        </w:rPr>
        <w:t>, a</w:t>
      </w:r>
      <w:r w:rsidR="00EC5811" w:rsidRPr="007241C5">
        <w:rPr>
          <w:b w:val="0"/>
          <w:bCs/>
          <w:sz w:val="24"/>
          <w:szCs w:val="24"/>
        </w:rPr>
        <w:t xml:space="preserve"> postpartum maternal fecal sample (self-collected)</w:t>
      </w:r>
      <w:r>
        <w:rPr>
          <w:b w:val="0"/>
          <w:bCs/>
          <w:sz w:val="24"/>
          <w:szCs w:val="24"/>
        </w:rPr>
        <w:t xml:space="preserve"> </w:t>
      </w:r>
      <w:r w:rsidR="0005556F">
        <w:rPr>
          <w:b w:val="0"/>
          <w:bCs/>
          <w:sz w:val="24"/>
          <w:szCs w:val="24"/>
        </w:rPr>
        <w:t xml:space="preserve">will </w:t>
      </w:r>
      <w:r>
        <w:rPr>
          <w:b w:val="0"/>
          <w:bCs/>
          <w:sz w:val="24"/>
          <w:szCs w:val="24"/>
        </w:rPr>
        <w:t>be collected</w:t>
      </w:r>
      <w:r w:rsidR="00EC5811" w:rsidRPr="007241C5">
        <w:rPr>
          <w:b w:val="0"/>
          <w:bCs/>
          <w:sz w:val="24"/>
          <w:szCs w:val="24"/>
        </w:rPr>
        <w:t xml:space="preserve">. </w:t>
      </w:r>
      <w:r w:rsidR="00F427A6">
        <w:rPr>
          <w:b w:val="0"/>
          <w:bCs/>
          <w:sz w:val="24"/>
          <w:szCs w:val="24"/>
        </w:rPr>
        <w:t xml:space="preserve">If a rectal swab is </w:t>
      </w:r>
      <w:r w:rsidR="00F427A6" w:rsidRPr="00380554">
        <w:rPr>
          <w:b w:val="0"/>
          <w:bCs/>
          <w:sz w:val="24"/>
          <w:szCs w:val="24"/>
          <w:u w:val="single"/>
        </w:rPr>
        <w:t>missed</w:t>
      </w:r>
      <w:r w:rsidR="00F427A6">
        <w:rPr>
          <w:b w:val="0"/>
          <w:bCs/>
          <w:sz w:val="24"/>
          <w:szCs w:val="24"/>
        </w:rPr>
        <w:t xml:space="preserve"> at sites that </w:t>
      </w:r>
      <w:r w:rsidR="00F84940">
        <w:rPr>
          <w:b w:val="0"/>
          <w:bCs/>
          <w:sz w:val="24"/>
          <w:szCs w:val="24"/>
        </w:rPr>
        <w:t xml:space="preserve">plan on </w:t>
      </w:r>
      <w:r w:rsidR="00F427A6">
        <w:rPr>
          <w:b w:val="0"/>
          <w:bCs/>
          <w:sz w:val="24"/>
          <w:szCs w:val="24"/>
        </w:rPr>
        <w:t>collect</w:t>
      </w:r>
      <w:r w:rsidR="00F84940">
        <w:rPr>
          <w:b w:val="0"/>
          <w:bCs/>
          <w:sz w:val="24"/>
          <w:szCs w:val="24"/>
        </w:rPr>
        <w:t xml:space="preserve">ing </w:t>
      </w:r>
      <w:r w:rsidR="00F427A6">
        <w:rPr>
          <w:b w:val="0"/>
          <w:bCs/>
          <w:sz w:val="24"/>
          <w:szCs w:val="24"/>
        </w:rPr>
        <w:t>maternal swabs, a fecal sample</w:t>
      </w:r>
      <w:r w:rsidR="00F84940">
        <w:rPr>
          <w:b w:val="0"/>
          <w:bCs/>
          <w:sz w:val="24"/>
          <w:szCs w:val="24"/>
        </w:rPr>
        <w:t xml:space="preserve"> </w:t>
      </w:r>
      <w:r w:rsidR="00BA2323">
        <w:rPr>
          <w:b w:val="0"/>
          <w:bCs/>
          <w:sz w:val="24"/>
          <w:szCs w:val="24"/>
        </w:rPr>
        <w:t>should be</w:t>
      </w:r>
      <w:r w:rsidR="00F84940">
        <w:rPr>
          <w:b w:val="0"/>
          <w:bCs/>
          <w:sz w:val="24"/>
          <w:szCs w:val="24"/>
        </w:rPr>
        <w:t xml:space="preserve"> collected.</w:t>
      </w:r>
      <w:r w:rsidR="0068248F">
        <w:rPr>
          <w:b w:val="0"/>
          <w:bCs/>
          <w:sz w:val="24"/>
          <w:szCs w:val="24"/>
        </w:rPr>
        <w:t xml:space="preserve"> </w:t>
      </w:r>
      <w:r w:rsidR="00C66F74">
        <w:rPr>
          <w:b w:val="0"/>
          <w:bCs/>
          <w:sz w:val="24"/>
          <w:szCs w:val="24"/>
        </w:rPr>
        <w:t xml:space="preserve">Fecal samples </w:t>
      </w:r>
      <w:r w:rsidR="009762C8">
        <w:rPr>
          <w:b w:val="0"/>
          <w:bCs/>
          <w:sz w:val="24"/>
          <w:szCs w:val="24"/>
        </w:rPr>
        <w:t>must</w:t>
      </w:r>
      <w:r w:rsidR="00C66F74">
        <w:rPr>
          <w:b w:val="0"/>
          <w:bCs/>
          <w:sz w:val="24"/>
          <w:szCs w:val="24"/>
        </w:rPr>
        <w:t xml:space="preserve"> be collected within </w:t>
      </w:r>
      <w:r w:rsidR="00BA2323">
        <w:rPr>
          <w:b w:val="0"/>
          <w:bCs/>
          <w:sz w:val="24"/>
          <w:szCs w:val="24"/>
        </w:rPr>
        <w:t>one week postpartum.</w:t>
      </w:r>
      <w:r w:rsidR="00F427A6">
        <w:rPr>
          <w:b w:val="0"/>
          <w:bCs/>
          <w:sz w:val="24"/>
          <w:szCs w:val="24"/>
        </w:rPr>
        <w:t xml:space="preserve"> </w:t>
      </w:r>
      <w:r w:rsidR="00EC5811" w:rsidRPr="007241C5">
        <w:rPr>
          <w:b w:val="0"/>
          <w:bCs/>
          <w:sz w:val="24"/>
          <w:szCs w:val="24"/>
        </w:rPr>
        <w:t xml:space="preserve">Samples will be obtained exclusively for research purposes, and there will be no testing of patients beyond obtaining stool </w:t>
      </w:r>
      <w:r w:rsidRPr="007241C5">
        <w:rPr>
          <w:b w:val="0"/>
          <w:bCs/>
          <w:sz w:val="24"/>
          <w:szCs w:val="24"/>
        </w:rPr>
        <w:t>samples and</w:t>
      </w:r>
      <w:r w:rsidR="00EC5811" w:rsidRPr="007241C5">
        <w:rPr>
          <w:b w:val="0"/>
          <w:bCs/>
          <w:sz w:val="24"/>
          <w:szCs w:val="24"/>
        </w:rPr>
        <w:t xml:space="preserve"> recording demographic data and clinical history.  An electronic database will be used to track sample collection and storage history.</w:t>
      </w:r>
      <w:r w:rsidR="00341C1E">
        <w:rPr>
          <w:b w:val="0"/>
          <w:bCs/>
          <w:sz w:val="24"/>
          <w:szCs w:val="24"/>
        </w:rPr>
        <w:t xml:space="preserve"> </w:t>
      </w:r>
    </w:p>
    <w:p w14:paraId="428DABBA" w14:textId="77777777" w:rsidR="00EC5811" w:rsidRPr="00EC5811" w:rsidRDefault="00EC5811" w:rsidP="00EC5811">
      <w:pPr>
        <w:pStyle w:val="Heading1"/>
        <w:numPr>
          <w:ilvl w:val="0"/>
          <w:numId w:val="0"/>
        </w:numPr>
        <w:ind w:left="720"/>
      </w:pPr>
    </w:p>
    <w:p w14:paraId="23550A96" w14:textId="4EAC8266" w:rsidR="007241C5" w:rsidRPr="00A55B27" w:rsidRDefault="00A549B1" w:rsidP="00A55B27">
      <w:pPr>
        <w:rPr>
          <w:rFonts w:ascii="Times New Roman" w:hAnsi="Times New Roman"/>
        </w:rPr>
      </w:pPr>
      <w:r w:rsidRPr="00A55B27">
        <w:rPr>
          <w:rFonts w:ascii="Times New Roman" w:hAnsi="Times New Roman"/>
          <w:u w:val="single"/>
        </w:rPr>
        <w:t>6.</w:t>
      </w:r>
      <w:r w:rsidR="009A57BE">
        <w:rPr>
          <w:rFonts w:ascii="Times New Roman" w:hAnsi="Times New Roman"/>
          <w:u w:val="single"/>
        </w:rPr>
        <w:t>8</w:t>
      </w:r>
      <w:r w:rsidRPr="00A55B27">
        <w:rPr>
          <w:rFonts w:ascii="Times New Roman" w:hAnsi="Times New Roman"/>
          <w:u w:val="single"/>
        </w:rPr>
        <w:t xml:space="preserve"> Follow Up.</w:t>
      </w:r>
      <w:r w:rsidRPr="00A55B27">
        <w:rPr>
          <w:rFonts w:ascii="Times New Roman" w:hAnsi="Times New Roman"/>
        </w:rPr>
        <w:t xml:space="preserve"> </w:t>
      </w:r>
      <w:r w:rsidR="00D6533D">
        <w:rPr>
          <w:rFonts w:ascii="Times New Roman" w:hAnsi="Times New Roman"/>
        </w:rPr>
        <w:t xml:space="preserve"> Currently, there are no plans for follow-up</w:t>
      </w:r>
      <w:r w:rsidR="009B7C16">
        <w:rPr>
          <w:rFonts w:ascii="Times New Roman" w:hAnsi="Times New Roman"/>
        </w:rPr>
        <w:t xml:space="preserve"> but there is a possibility for funding in the future.</w:t>
      </w:r>
    </w:p>
    <w:p w14:paraId="7E280B45" w14:textId="77777777" w:rsidR="0084517E" w:rsidRPr="0016289C" w:rsidRDefault="0084517E" w:rsidP="0084517E">
      <w:pPr>
        <w:pStyle w:val="Default"/>
      </w:pPr>
    </w:p>
    <w:p w14:paraId="01FB71DC" w14:textId="458F1804" w:rsidR="008E7F8E" w:rsidRPr="00346DFC" w:rsidRDefault="00A55B27" w:rsidP="00346DFC">
      <w:pPr>
        <w:spacing w:after="240"/>
        <w:jc w:val="both"/>
        <w:rPr>
          <w:rFonts w:ascii="Times New Roman" w:hAnsi="Times New Roman"/>
          <w:color w:val="000000" w:themeColor="text1"/>
        </w:rPr>
      </w:pPr>
      <w:r w:rsidRPr="00A55B27">
        <w:rPr>
          <w:rFonts w:ascii="Times New Roman" w:hAnsi="Times New Roman"/>
          <w:bCs/>
          <w:color w:val="000000" w:themeColor="text1"/>
          <w:u w:val="single"/>
        </w:rPr>
        <w:t>6.</w:t>
      </w:r>
      <w:r w:rsidR="009A57BE">
        <w:rPr>
          <w:rFonts w:ascii="Times New Roman" w:hAnsi="Times New Roman"/>
          <w:bCs/>
          <w:color w:val="000000" w:themeColor="text1"/>
          <w:u w:val="single"/>
        </w:rPr>
        <w:t>9</w:t>
      </w:r>
      <w:r w:rsidRPr="00A55B27">
        <w:rPr>
          <w:rFonts w:ascii="Times New Roman" w:hAnsi="Times New Roman"/>
          <w:bCs/>
          <w:color w:val="000000" w:themeColor="text1"/>
          <w:u w:val="single"/>
        </w:rPr>
        <w:t xml:space="preserve"> </w:t>
      </w:r>
      <w:r w:rsidR="00A549B1" w:rsidRPr="00A55B27">
        <w:rPr>
          <w:rFonts w:ascii="Times New Roman" w:hAnsi="Times New Roman"/>
          <w:bCs/>
          <w:color w:val="000000" w:themeColor="text1"/>
          <w:u w:val="single"/>
        </w:rPr>
        <w:t>C</w:t>
      </w:r>
      <w:r w:rsidR="008E7F8E" w:rsidRPr="00A55B27">
        <w:rPr>
          <w:rFonts w:ascii="Times New Roman" w:hAnsi="Times New Roman"/>
          <w:bCs/>
          <w:color w:val="000000" w:themeColor="text1"/>
          <w:u w:val="single"/>
        </w:rPr>
        <w:t>onsent</w:t>
      </w:r>
      <w:r w:rsidRPr="00A55B27">
        <w:rPr>
          <w:rFonts w:ascii="Times New Roman" w:hAnsi="Times New Roman"/>
          <w:bCs/>
          <w:color w:val="000000" w:themeColor="text1"/>
          <w:u w:val="single"/>
        </w:rPr>
        <w:t>.</w:t>
      </w:r>
      <w:r w:rsidR="00A549B1">
        <w:rPr>
          <w:rFonts w:ascii="Times New Roman" w:hAnsi="Times New Roman"/>
          <w:bCs/>
          <w:color w:val="000000" w:themeColor="text1"/>
        </w:rPr>
        <w:t xml:space="preserve"> </w:t>
      </w:r>
      <w:r w:rsidR="008E7F8E" w:rsidRPr="0016289C">
        <w:rPr>
          <w:rFonts w:ascii="Times New Roman" w:hAnsi="Times New Roman"/>
          <w:bCs/>
          <w:color w:val="000000" w:themeColor="text1"/>
        </w:rPr>
        <w:t>Sites will develop a</w:t>
      </w:r>
      <w:r w:rsidR="00A40F50">
        <w:rPr>
          <w:rFonts w:ascii="Times New Roman" w:hAnsi="Times New Roman"/>
          <w:bCs/>
          <w:color w:val="000000" w:themeColor="text1"/>
        </w:rPr>
        <w:t xml:space="preserve">n SOP </w:t>
      </w:r>
      <w:r w:rsidR="008E7F8E" w:rsidRPr="0016289C">
        <w:rPr>
          <w:rFonts w:ascii="Times New Roman" w:hAnsi="Times New Roman"/>
          <w:bCs/>
          <w:color w:val="000000" w:themeColor="text1"/>
        </w:rPr>
        <w:t xml:space="preserve">to identify women as early as possible that are admitted to participating hospitals and expected to deliver an infant at or before 28 weeks gestation. </w:t>
      </w:r>
      <w:r w:rsidR="008E7F8E" w:rsidRPr="0016289C">
        <w:rPr>
          <w:rFonts w:ascii="Times New Roman" w:hAnsi="Times New Roman"/>
          <w:color w:val="000000" w:themeColor="text1"/>
        </w:rPr>
        <w:t xml:space="preserve">If eligible, and if the attending obstetrician provides permission, then </w:t>
      </w:r>
      <w:r w:rsidR="00A91F4E">
        <w:rPr>
          <w:rFonts w:ascii="Times New Roman" w:hAnsi="Times New Roman"/>
          <w:color w:val="000000" w:themeColor="text1"/>
        </w:rPr>
        <w:t xml:space="preserve">trained research personnel </w:t>
      </w:r>
      <w:r w:rsidR="008E7F8E" w:rsidRPr="0016289C">
        <w:rPr>
          <w:rFonts w:ascii="Times New Roman" w:hAnsi="Times New Roman"/>
          <w:color w:val="000000" w:themeColor="text1"/>
        </w:rPr>
        <w:t>will explain the research protocol and the process of informed consent.</w:t>
      </w:r>
      <w:r w:rsidR="00411495">
        <w:rPr>
          <w:rFonts w:ascii="Times New Roman" w:hAnsi="Times New Roman"/>
          <w:color w:val="000000" w:themeColor="text1"/>
        </w:rPr>
        <w:t xml:space="preserve"> </w:t>
      </w:r>
      <w:r w:rsidR="005C37CF">
        <w:rPr>
          <w:rFonts w:ascii="Times New Roman" w:hAnsi="Times New Roman"/>
          <w:color w:val="000000" w:themeColor="text1"/>
        </w:rPr>
        <w:t>Research staff</w:t>
      </w:r>
      <w:r w:rsidR="00411495">
        <w:rPr>
          <w:rFonts w:ascii="Times New Roman" w:hAnsi="Times New Roman"/>
          <w:color w:val="000000" w:themeColor="text1"/>
        </w:rPr>
        <w:t xml:space="preserve"> will also have the option of showing an IRB approved video to </w:t>
      </w:r>
      <w:r w:rsidR="00C17A9D">
        <w:rPr>
          <w:rFonts w:ascii="Times New Roman" w:hAnsi="Times New Roman"/>
          <w:color w:val="000000" w:themeColor="text1"/>
        </w:rPr>
        <w:t xml:space="preserve">parents. This video </w:t>
      </w:r>
      <w:r w:rsidR="009968EF">
        <w:rPr>
          <w:rFonts w:ascii="Times New Roman" w:hAnsi="Times New Roman"/>
          <w:color w:val="000000" w:themeColor="text1"/>
        </w:rPr>
        <w:t>has been</w:t>
      </w:r>
      <w:r w:rsidR="00C17A9D">
        <w:rPr>
          <w:rFonts w:ascii="Times New Roman" w:hAnsi="Times New Roman"/>
          <w:color w:val="000000" w:themeColor="text1"/>
        </w:rPr>
        <w:t xml:space="preserve"> created to provide a brief background</w:t>
      </w:r>
      <w:r w:rsidR="004C5F97">
        <w:rPr>
          <w:rFonts w:ascii="Times New Roman" w:hAnsi="Times New Roman"/>
          <w:color w:val="000000" w:themeColor="text1"/>
        </w:rPr>
        <w:t xml:space="preserve"> about the trial, discuss the procedures involved and touch upon the risks associated with participating in this trial. This video is not required to be shown at </w:t>
      </w:r>
      <w:r w:rsidR="002B459F">
        <w:rPr>
          <w:rFonts w:ascii="Times New Roman" w:hAnsi="Times New Roman"/>
          <w:color w:val="000000" w:themeColor="text1"/>
        </w:rPr>
        <w:t>sites but</w:t>
      </w:r>
      <w:r w:rsidR="004C5F97">
        <w:rPr>
          <w:rFonts w:ascii="Times New Roman" w:hAnsi="Times New Roman"/>
          <w:color w:val="000000" w:themeColor="text1"/>
        </w:rPr>
        <w:t xml:space="preserve"> is recommended. </w:t>
      </w:r>
      <w:r w:rsidR="00C17A9D">
        <w:rPr>
          <w:rFonts w:ascii="Times New Roman" w:hAnsi="Times New Roman"/>
          <w:color w:val="000000" w:themeColor="text1"/>
        </w:rPr>
        <w:t xml:space="preserve"> </w:t>
      </w:r>
      <w:r w:rsidR="008E7F8E" w:rsidRPr="0016289C">
        <w:rPr>
          <w:rFonts w:ascii="Times New Roman" w:hAnsi="Times New Roman"/>
          <w:color w:val="000000" w:themeColor="text1"/>
        </w:rPr>
        <w:t xml:space="preserve">Informed consent requires that the </w:t>
      </w:r>
      <w:r w:rsidR="00EE7DFB">
        <w:rPr>
          <w:rFonts w:ascii="Times New Roman" w:hAnsi="Times New Roman"/>
          <w:color w:val="000000" w:themeColor="text1"/>
        </w:rPr>
        <w:t>mother</w:t>
      </w:r>
      <w:r w:rsidR="008E7F8E" w:rsidRPr="0016289C">
        <w:rPr>
          <w:rFonts w:ascii="Times New Roman" w:hAnsi="Times New Roman"/>
          <w:color w:val="000000" w:themeColor="text1"/>
        </w:rPr>
        <w:t xml:space="preserve"> of the study subject understand the details of the study and agree</w:t>
      </w:r>
      <w:r w:rsidR="00EA0912">
        <w:rPr>
          <w:rFonts w:ascii="Times New Roman" w:hAnsi="Times New Roman"/>
          <w:color w:val="000000" w:themeColor="text1"/>
        </w:rPr>
        <w:t>s</w:t>
      </w:r>
      <w:r w:rsidR="008E7F8E" w:rsidRPr="0016289C">
        <w:rPr>
          <w:rFonts w:ascii="Times New Roman" w:hAnsi="Times New Roman"/>
          <w:color w:val="000000" w:themeColor="text1"/>
        </w:rPr>
        <w:t xml:space="preserve">, without coercion, to participation in the study. Study representatives at each site will introduce and explain the study to the </w:t>
      </w:r>
      <w:r w:rsidR="00EE7DFB">
        <w:rPr>
          <w:rFonts w:ascii="Times New Roman" w:hAnsi="Times New Roman"/>
          <w:color w:val="000000" w:themeColor="text1"/>
        </w:rPr>
        <w:t>mothers</w:t>
      </w:r>
      <w:r w:rsidR="008E7F8E" w:rsidRPr="0016289C">
        <w:rPr>
          <w:rFonts w:ascii="Times New Roman" w:hAnsi="Times New Roman"/>
          <w:color w:val="000000" w:themeColor="text1"/>
        </w:rPr>
        <w:t xml:space="preserve"> and present them with the detailed consent form to read and review. It will be the responsibility of the site investigator to ensure that </w:t>
      </w:r>
      <w:r w:rsidR="00DA717C">
        <w:rPr>
          <w:rFonts w:ascii="Times New Roman" w:hAnsi="Times New Roman"/>
          <w:color w:val="000000" w:themeColor="text1"/>
        </w:rPr>
        <w:t>the mother</w:t>
      </w:r>
      <w:r w:rsidR="008E7F8E" w:rsidRPr="0016289C">
        <w:rPr>
          <w:rFonts w:ascii="Times New Roman" w:hAnsi="Times New Roman"/>
          <w:color w:val="000000" w:themeColor="text1"/>
        </w:rPr>
        <w:t xml:space="preserve"> is given full and adequate verbal and written information about the nature, purpose, benefit, and the potential risks of the study. A copy of signed informed consent document will be provided to </w:t>
      </w:r>
      <w:r w:rsidR="00BD685A">
        <w:rPr>
          <w:rFonts w:ascii="Times New Roman" w:hAnsi="Times New Roman"/>
          <w:color w:val="000000" w:themeColor="text1"/>
        </w:rPr>
        <w:t>the mother</w:t>
      </w:r>
      <w:r w:rsidR="008E7F8E" w:rsidRPr="0016289C">
        <w:rPr>
          <w:rFonts w:ascii="Times New Roman" w:hAnsi="Times New Roman"/>
          <w:color w:val="000000" w:themeColor="text1"/>
        </w:rPr>
        <w:t xml:space="preserve"> and another will be placed in the medical chart. The original document will </w:t>
      </w:r>
      <w:r w:rsidR="008E7F8E" w:rsidRPr="0016289C">
        <w:rPr>
          <w:rFonts w:ascii="Times New Roman" w:hAnsi="Times New Roman"/>
          <w:color w:val="000000" w:themeColor="text1"/>
        </w:rPr>
        <w:lastRenderedPageBreak/>
        <w:t xml:space="preserve">be placed in the study files. </w:t>
      </w:r>
      <w:bookmarkStart w:id="7" w:name="_Hlk24448874"/>
      <w:r w:rsidR="004F0DE9">
        <w:rPr>
          <w:rFonts w:ascii="Times New Roman" w:hAnsi="Times New Roman"/>
          <w:color w:val="000000" w:themeColor="text1"/>
        </w:rPr>
        <w:t>P</w:t>
      </w:r>
      <w:r w:rsidR="00031B93">
        <w:rPr>
          <w:rFonts w:ascii="Times New Roman" w:hAnsi="Times New Roman"/>
          <w:color w:val="000000" w:themeColor="text1"/>
        </w:rPr>
        <w:t>ermission</w:t>
      </w:r>
      <w:r w:rsidR="004F0DE9">
        <w:rPr>
          <w:rFonts w:ascii="Times New Roman" w:hAnsi="Times New Roman"/>
          <w:color w:val="000000" w:themeColor="text1"/>
        </w:rPr>
        <w:t xml:space="preserve"> </w:t>
      </w:r>
      <w:r w:rsidR="008E7F8E" w:rsidRPr="0016289C">
        <w:rPr>
          <w:rFonts w:ascii="Times New Roman" w:hAnsi="Times New Roman"/>
          <w:color w:val="000000" w:themeColor="text1"/>
        </w:rPr>
        <w:t xml:space="preserve">for study participation will be obtained from </w:t>
      </w:r>
      <w:r w:rsidR="004F0DE9">
        <w:rPr>
          <w:rFonts w:ascii="Times New Roman" w:hAnsi="Times New Roman"/>
          <w:color w:val="000000" w:themeColor="text1"/>
        </w:rPr>
        <w:t xml:space="preserve">one parent. </w:t>
      </w:r>
      <w:bookmarkEnd w:id="7"/>
      <w:r w:rsidR="0056788C">
        <w:rPr>
          <w:rFonts w:ascii="Times New Roman" w:hAnsi="Times New Roman"/>
          <w:color w:val="000000" w:themeColor="text1"/>
        </w:rPr>
        <w:t xml:space="preserve">If </w:t>
      </w:r>
      <w:r w:rsidR="008B4395">
        <w:rPr>
          <w:rFonts w:ascii="Times New Roman" w:hAnsi="Times New Roman"/>
          <w:color w:val="000000" w:themeColor="text1"/>
        </w:rPr>
        <w:t xml:space="preserve">there are multiples, a consent document must be obtained for each child. </w:t>
      </w:r>
    </w:p>
    <w:p w14:paraId="301CA2C1" w14:textId="77777777" w:rsidR="00534968" w:rsidRPr="0016289C" w:rsidRDefault="00534968" w:rsidP="008E7F8E">
      <w:pPr>
        <w:pStyle w:val="Default"/>
      </w:pPr>
    </w:p>
    <w:p w14:paraId="42F85795" w14:textId="78A132CC" w:rsidR="00DF25D2" w:rsidRPr="00424CD8" w:rsidRDefault="00DF25D2" w:rsidP="00DF25D2">
      <w:pPr>
        <w:pStyle w:val="Heading1"/>
        <w:rPr>
          <w:sz w:val="24"/>
        </w:rPr>
      </w:pPr>
      <w:bookmarkStart w:id="8" w:name="_Toc496162135"/>
      <w:r w:rsidRPr="00424CD8">
        <w:rPr>
          <w:sz w:val="24"/>
        </w:rPr>
        <w:t>Data and Specimen Banking</w:t>
      </w:r>
      <w:bookmarkEnd w:id="8"/>
    </w:p>
    <w:p w14:paraId="1F135B93" w14:textId="7F195A3C" w:rsidR="000A7CEB" w:rsidRDefault="00246A1C" w:rsidP="00A33983">
      <w:pPr>
        <w:pStyle w:val="Heading1"/>
        <w:numPr>
          <w:ilvl w:val="0"/>
          <w:numId w:val="0"/>
        </w:numPr>
        <w:tabs>
          <w:tab w:val="left" w:pos="2300"/>
        </w:tabs>
        <w:rPr>
          <w:b w:val="0"/>
          <w:bCs/>
          <w:sz w:val="24"/>
          <w:szCs w:val="24"/>
        </w:rPr>
      </w:pPr>
      <w:r>
        <w:rPr>
          <w:b w:val="0"/>
          <w:bCs/>
          <w:sz w:val="24"/>
          <w:szCs w:val="24"/>
        </w:rPr>
        <w:tab/>
      </w:r>
    </w:p>
    <w:p w14:paraId="351E6597" w14:textId="188B0169" w:rsidR="007241C5" w:rsidRDefault="007241C5" w:rsidP="007241C5">
      <w:pPr>
        <w:pStyle w:val="Heading1"/>
        <w:numPr>
          <w:ilvl w:val="0"/>
          <w:numId w:val="0"/>
        </w:numPr>
        <w:rPr>
          <w:b w:val="0"/>
          <w:bCs/>
          <w:sz w:val="24"/>
          <w:szCs w:val="24"/>
        </w:rPr>
      </w:pPr>
      <w:r w:rsidRPr="007241C5">
        <w:rPr>
          <w:b w:val="0"/>
          <w:bCs/>
          <w:sz w:val="24"/>
          <w:szCs w:val="24"/>
        </w:rPr>
        <w:t>A single sample of blood from each study subject will be cryopreserved at The University of Pittsburgh for genotyping and/or exome sequencing at a later date. They will be housed in the CRISMA Clinical Research Biospecimen Core Laboratory at Pitt</w:t>
      </w:r>
      <w:r w:rsidR="00C00BE8">
        <w:rPr>
          <w:b w:val="0"/>
          <w:bCs/>
          <w:sz w:val="24"/>
          <w:szCs w:val="24"/>
        </w:rPr>
        <w:t>.</w:t>
      </w:r>
      <w:r w:rsidRPr="00117BEE">
        <w:rPr>
          <w:b w:val="0"/>
          <w:bCs/>
          <w:color w:val="FF0000"/>
          <w:sz w:val="24"/>
          <w:szCs w:val="24"/>
        </w:rPr>
        <w:t xml:space="preserve"> </w:t>
      </w:r>
      <w:r w:rsidR="001B1923">
        <w:rPr>
          <w:b w:val="0"/>
          <w:bCs/>
          <w:sz w:val="24"/>
          <w:szCs w:val="24"/>
        </w:rPr>
        <w:t xml:space="preserve">All sites will receive </w:t>
      </w:r>
      <w:r w:rsidR="00402145">
        <w:rPr>
          <w:b w:val="0"/>
          <w:bCs/>
          <w:sz w:val="24"/>
          <w:szCs w:val="24"/>
        </w:rPr>
        <w:t xml:space="preserve">shipping supplies </w:t>
      </w:r>
      <w:r w:rsidR="001B1923">
        <w:rPr>
          <w:b w:val="0"/>
          <w:bCs/>
          <w:sz w:val="24"/>
          <w:szCs w:val="24"/>
        </w:rPr>
        <w:t xml:space="preserve">and instructions on how to </w:t>
      </w:r>
      <w:r w:rsidR="00402145">
        <w:rPr>
          <w:b w:val="0"/>
          <w:bCs/>
          <w:sz w:val="24"/>
          <w:szCs w:val="24"/>
        </w:rPr>
        <w:t xml:space="preserve">properly </w:t>
      </w:r>
      <w:r w:rsidR="001B1923">
        <w:rPr>
          <w:b w:val="0"/>
          <w:bCs/>
          <w:sz w:val="24"/>
          <w:szCs w:val="24"/>
        </w:rPr>
        <w:t xml:space="preserve">ship samples </w:t>
      </w:r>
      <w:r w:rsidR="00402145">
        <w:rPr>
          <w:b w:val="0"/>
          <w:bCs/>
          <w:sz w:val="24"/>
          <w:szCs w:val="24"/>
        </w:rPr>
        <w:t>back to the University of Pittsburgh</w:t>
      </w:r>
      <w:r w:rsidR="0078355E">
        <w:rPr>
          <w:b w:val="0"/>
          <w:bCs/>
          <w:sz w:val="24"/>
          <w:szCs w:val="24"/>
        </w:rPr>
        <w:t xml:space="preserve"> for proper storage</w:t>
      </w:r>
      <w:r w:rsidR="00402145">
        <w:rPr>
          <w:b w:val="0"/>
          <w:bCs/>
          <w:sz w:val="24"/>
          <w:szCs w:val="24"/>
        </w:rPr>
        <w:t xml:space="preserve">. </w:t>
      </w:r>
    </w:p>
    <w:p w14:paraId="01A8224A" w14:textId="2A382D80" w:rsidR="009E695A" w:rsidRDefault="009E695A" w:rsidP="009E695A"/>
    <w:p w14:paraId="74B98E79" w14:textId="1B40FFE2" w:rsidR="009E695A" w:rsidRPr="009015FD" w:rsidRDefault="007E64BB" w:rsidP="001F79E7">
      <w:pPr>
        <w:pStyle w:val="Default"/>
      </w:pPr>
      <w:r>
        <w:t>I</w:t>
      </w:r>
      <w:r w:rsidR="009E695A">
        <w:t xml:space="preserve">nfant stool samples and </w:t>
      </w:r>
      <w:r w:rsidR="00094375">
        <w:t>self-collected</w:t>
      </w:r>
      <w:r w:rsidR="009E695A">
        <w:t xml:space="preserve"> maternal stool samples will be collected, de-identified and stored for microbiome analyses. </w:t>
      </w:r>
      <w:r w:rsidR="00512BB4">
        <w:t>Maternal vaginal and rectal swabs</w:t>
      </w:r>
      <w:r w:rsidR="00BF6F52">
        <w:t xml:space="preserve"> </w:t>
      </w:r>
      <w:r w:rsidR="009E695A">
        <w:t>will be collected by the obstetrics team and stored for paired microbiome analyses.</w:t>
      </w:r>
      <w:r w:rsidR="009E695A" w:rsidRPr="009015FD">
        <w:t xml:space="preserve"> </w:t>
      </w:r>
    </w:p>
    <w:p w14:paraId="146B6B47" w14:textId="77FF49BF" w:rsidR="003B51A4" w:rsidRDefault="003B51A4" w:rsidP="001F79E7"/>
    <w:p w14:paraId="37B9D15C" w14:textId="5659F55C" w:rsidR="007241C5" w:rsidRPr="007241C5" w:rsidRDefault="007241C5" w:rsidP="00837ADD">
      <w:pPr>
        <w:pStyle w:val="Heading1"/>
        <w:numPr>
          <w:ilvl w:val="0"/>
          <w:numId w:val="0"/>
        </w:numPr>
        <w:rPr>
          <w:b w:val="0"/>
          <w:bCs/>
          <w:sz w:val="32"/>
          <w:szCs w:val="32"/>
        </w:rPr>
      </w:pPr>
      <w:r w:rsidRPr="007241C5">
        <w:rPr>
          <w:b w:val="0"/>
          <w:bCs/>
          <w:color w:val="000000" w:themeColor="text1"/>
          <w:sz w:val="24"/>
          <w:szCs w:val="24"/>
        </w:rPr>
        <w:t xml:space="preserve">Cryopreserved patient samples will be de-identified such that no patient identifier information is accessible. A key of de-identified samples will be preserved on a secure password protected institutional server.  Patient identifiers will be preserved in this protected environment until the study is completed, and then they will be de-identified.  </w:t>
      </w:r>
    </w:p>
    <w:p w14:paraId="21A10DD9" w14:textId="77777777" w:rsidR="007201E7" w:rsidRDefault="007201E7" w:rsidP="00C00BE8">
      <w:pPr>
        <w:pStyle w:val="Heading1"/>
        <w:numPr>
          <w:ilvl w:val="0"/>
          <w:numId w:val="0"/>
        </w:numPr>
        <w:rPr>
          <w:b w:val="0"/>
          <w:bCs/>
          <w:sz w:val="24"/>
          <w:szCs w:val="24"/>
        </w:rPr>
      </w:pPr>
    </w:p>
    <w:p w14:paraId="5CD8DD46" w14:textId="12622A42" w:rsidR="00C00BE8" w:rsidRDefault="00C00BE8" w:rsidP="00C00BE8">
      <w:pPr>
        <w:pStyle w:val="Heading1"/>
        <w:numPr>
          <w:ilvl w:val="0"/>
          <w:numId w:val="0"/>
        </w:numPr>
        <w:rPr>
          <w:b w:val="0"/>
          <w:bCs/>
          <w:sz w:val="24"/>
          <w:szCs w:val="24"/>
        </w:rPr>
      </w:pPr>
      <w:r>
        <w:rPr>
          <w:b w:val="0"/>
          <w:bCs/>
          <w:sz w:val="24"/>
          <w:szCs w:val="24"/>
        </w:rPr>
        <w:t>De-identified patient samples</w:t>
      </w:r>
      <w:r w:rsidRPr="007241C5">
        <w:rPr>
          <w:b w:val="0"/>
          <w:bCs/>
          <w:sz w:val="24"/>
          <w:szCs w:val="24"/>
        </w:rPr>
        <w:t xml:space="preserve"> may be released or studied only with the </w:t>
      </w:r>
      <w:r>
        <w:rPr>
          <w:b w:val="0"/>
          <w:bCs/>
          <w:sz w:val="24"/>
          <w:szCs w:val="24"/>
        </w:rPr>
        <w:t xml:space="preserve">express </w:t>
      </w:r>
      <w:r w:rsidRPr="007241C5">
        <w:rPr>
          <w:b w:val="0"/>
          <w:bCs/>
          <w:sz w:val="24"/>
          <w:szCs w:val="24"/>
        </w:rPr>
        <w:t xml:space="preserve">written </w:t>
      </w:r>
      <w:r>
        <w:rPr>
          <w:b w:val="0"/>
          <w:bCs/>
          <w:sz w:val="24"/>
          <w:szCs w:val="24"/>
        </w:rPr>
        <w:t>consent</w:t>
      </w:r>
      <w:r w:rsidRPr="007241C5">
        <w:rPr>
          <w:b w:val="0"/>
          <w:bCs/>
          <w:sz w:val="24"/>
          <w:szCs w:val="24"/>
        </w:rPr>
        <w:t xml:space="preserve"> of the NANO Steering Committee.</w:t>
      </w:r>
    </w:p>
    <w:p w14:paraId="5AFBE271" w14:textId="0C2AF94C" w:rsidR="00CF5ABF" w:rsidRPr="001F79E7" w:rsidRDefault="00CF5ABF" w:rsidP="00CF5ABF"/>
    <w:p w14:paraId="67AA8FD4" w14:textId="27C1DA2F" w:rsidR="00CF5ABF" w:rsidRPr="00CF5ABF" w:rsidRDefault="00CF5ABF" w:rsidP="00CF5ABF">
      <w:pPr>
        <w:pStyle w:val="Default"/>
      </w:pPr>
      <w:r>
        <w:t xml:space="preserve">All banked biological specimens will be stored indefinitely. </w:t>
      </w:r>
    </w:p>
    <w:p w14:paraId="214D9C49" w14:textId="74226F22" w:rsidR="00671A82" w:rsidRDefault="00671A82" w:rsidP="00671A82">
      <w:pPr>
        <w:rPr>
          <w:rFonts w:ascii="Times New Roman" w:hAnsi="Times New Roman"/>
        </w:rPr>
      </w:pPr>
    </w:p>
    <w:p w14:paraId="635E4168" w14:textId="163A141C" w:rsidR="00671A82" w:rsidRPr="0016289C" w:rsidRDefault="00671A82" w:rsidP="00671A82">
      <w:pPr>
        <w:pStyle w:val="Default"/>
      </w:pPr>
    </w:p>
    <w:p w14:paraId="0CD42BB5" w14:textId="369D0913" w:rsidR="00297491" w:rsidRPr="0016289C" w:rsidRDefault="00297491" w:rsidP="00297491">
      <w:pPr>
        <w:pStyle w:val="Heading1"/>
        <w:rPr>
          <w:sz w:val="24"/>
          <w:szCs w:val="24"/>
        </w:rPr>
      </w:pPr>
      <w:bookmarkStart w:id="9" w:name="_Toc496162136"/>
      <w:r w:rsidRPr="0016289C">
        <w:rPr>
          <w:sz w:val="24"/>
          <w:szCs w:val="24"/>
        </w:rPr>
        <w:t>Sharing of Results with Subjects</w:t>
      </w:r>
      <w:bookmarkEnd w:id="9"/>
    </w:p>
    <w:p w14:paraId="46E756E1" w14:textId="77777777" w:rsidR="003E21EF" w:rsidRPr="0016289C" w:rsidRDefault="003E21EF" w:rsidP="003E21EF">
      <w:pPr>
        <w:rPr>
          <w:rFonts w:ascii="Times New Roman" w:hAnsi="Times New Roman"/>
        </w:rPr>
      </w:pPr>
      <w:bookmarkStart w:id="10" w:name="_Toc496162137"/>
    </w:p>
    <w:p w14:paraId="170AEF92" w14:textId="7181B13E" w:rsidR="003E21EF" w:rsidRDefault="003E21EF" w:rsidP="003E21EF">
      <w:pPr>
        <w:rPr>
          <w:rFonts w:ascii="Times New Roman" w:hAnsi="Times New Roman"/>
        </w:rPr>
      </w:pPr>
      <w:r w:rsidRPr="0016289C">
        <w:rPr>
          <w:rFonts w:ascii="Times New Roman" w:hAnsi="Times New Roman"/>
        </w:rPr>
        <w:t>Parents of study subjects will not be informed of results of genetic or microbiome analyses that may be performed on samples collected from their children.</w:t>
      </w:r>
      <w:r w:rsidR="000A7CEB">
        <w:rPr>
          <w:rFonts w:ascii="Times New Roman" w:hAnsi="Times New Roman"/>
        </w:rPr>
        <w:t xml:space="preserve"> </w:t>
      </w:r>
    </w:p>
    <w:p w14:paraId="73724646" w14:textId="4D0D02D9" w:rsidR="00A21356" w:rsidRDefault="00A21356" w:rsidP="00117BEE">
      <w:pPr>
        <w:pStyle w:val="Default"/>
      </w:pPr>
    </w:p>
    <w:p w14:paraId="1723CA3D" w14:textId="77777777" w:rsidR="003E21EF" w:rsidRPr="0016289C" w:rsidRDefault="003E21EF" w:rsidP="003E21EF">
      <w:pPr>
        <w:pStyle w:val="Default"/>
      </w:pPr>
    </w:p>
    <w:p w14:paraId="3EECA4BC" w14:textId="4A48BC11" w:rsidR="00C336D4" w:rsidRPr="0016289C" w:rsidRDefault="00C336D4" w:rsidP="00C336D4">
      <w:pPr>
        <w:pStyle w:val="Heading1"/>
        <w:rPr>
          <w:sz w:val="24"/>
          <w:szCs w:val="24"/>
        </w:rPr>
      </w:pPr>
      <w:r w:rsidRPr="0016289C">
        <w:rPr>
          <w:sz w:val="24"/>
          <w:szCs w:val="24"/>
        </w:rPr>
        <w:t>Study Timelines</w:t>
      </w:r>
      <w:bookmarkEnd w:id="10"/>
    </w:p>
    <w:p w14:paraId="69B64B29" w14:textId="77777777" w:rsidR="00C00BE8" w:rsidRPr="00C00BE8" w:rsidRDefault="00C00BE8" w:rsidP="00C00BE8">
      <w:pPr>
        <w:pStyle w:val="Default"/>
      </w:pPr>
    </w:p>
    <w:p w14:paraId="74CB84B5" w14:textId="2CBA385D" w:rsidR="003E21EF" w:rsidRPr="0016289C" w:rsidRDefault="003E21EF" w:rsidP="003E21EF">
      <w:pPr>
        <w:pStyle w:val="Default"/>
      </w:pPr>
      <w:r w:rsidRPr="0016289C">
        <w:t>The duration of study participation for each individual study subject will be identical to the duration of his/her index NICU hospitalization.</w:t>
      </w:r>
      <w:r w:rsidR="00CB6A30">
        <w:t xml:space="preserve"> </w:t>
      </w:r>
      <w:r w:rsidRPr="0016289C">
        <w:t>Enrollment in the NANO Trial is anticipated to begin in</w:t>
      </w:r>
      <w:r w:rsidR="00624397">
        <w:t xml:space="preserve"> </w:t>
      </w:r>
      <w:r w:rsidRPr="0016289C">
        <w:t>2020 and conclude in 202</w:t>
      </w:r>
      <w:r w:rsidR="00701FB7">
        <w:t>4</w:t>
      </w:r>
      <w:r w:rsidRPr="0016289C">
        <w:t>.</w:t>
      </w:r>
      <w:r w:rsidR="00C20074">
        <w:t xml:space="preserve"> </w:t>
      </w:r>
      <w:r w:rsidRPr="0016289C">
        <w:t xml:space="preserve">Primary analyses of study data </w:t>
      </w:r>
      <w:r w:rsidR="00831EA2">
        <w:t>are</w:t>
      </w:r>
      <w:r w:rsidR="00AE6482">
        <w:t xml:space="preserve"> anticipated </w:t>
      </w:r>
      <w:r w:rsidR="00AA2439">
        <w:t>to be</w:t>
      </w:r>
      <w:r w:rsidRPr="0016289C">
        <w:t xml:space="preserve"> completed by 202</w:t>
      </w:r>
      <w:r w:rsidR="00701FB7">
        <w:t>5</w:t>
      </w:r>
      <w:r w:rsidRPr="0016289C">
        <w:t>.</w:t>
      </w:r>
    </w:p>
    <w:p w14:paraId="5F74579C" w14:textId="77777777" w:rsidR="00831EA2" w:rsidRPr="001F79E7" w:rsidRDefault="00831EA2" w:rsidP="003E21EF">
      <w:pPr>
        <w:pStyle w:val="Default"/>
        <w:rPr>
          <w:color w:val="000000" w:themeColor="text1"/>
        </w:rPr>
      </w:pPr>
    </w:p>
    <w:p w14:paraId="3D0109A6" w14:textId="5396E8F8" w:rsidR="00E37830" w:rsidRDefault="000A184B" w:rsidP="003E21EF">
      <w:pPr>
        <w:pStyle w:val="Default"/>
        <w:rPr>
          <w:color w:val="000000" w:themeColor="text1"/>
        </w:rPr>
      </w:pPr>
      <w:r w:rsidRPr="0016289C">
        <w:rPr>
          <w:color w:val="000000" w:themeColor="text1"/>
        </w:rPr>
        <w:t>Major annual milestones are also listed here</w:t>
      </w:r>
      <w:r w:rsidR="00E37830">
        <w:rPr>
          <w:color w:val="000000" w:themeColor="text1"/>
        </w:rPr>
        <w:t>:</w:t>
      </w:r>
    </w:p>
    <w:p w14:paraId="155FB2FB" w14:textId="77777777" w:rsidR="00E37830" w:rsidRPr="00E37830" w:rsidRDefault="000A184B" w:rsidP="00D52C26">
      <w:pPr>
        <w:pStyle w:val="Default"/>
        <w:numPr>
          <w:ilvl w:val="0"/>
          <w:numId w:val="12"/>
        </w:numPr>
      </w:pPr>
      <w:r w:rsidRPr="0016289C">
        <w:rPr>
          <w:b/>
          <w:color w:val="000000" w:themeColor="text1"/>
        </w:rPr>
        <w:t xml:space="preserve">Year 1: </w:t>
      </w:r>
      <w:r w:rsidRPr="0016289C">
        <w:rPr>
          <w:color w:val="000000" w:themeColor="text1"/>
        </w:rPr>
        <w:t xml:space="preserve">IRB approval at the coordinating center and all study sites; completion of web-based data collection form; negotiation and execution of contracts between study sites; completion of two pre-launch site visits; initial study rollout. </w:t>
      </w:r>
    </w:p>
    <w:p w14:paraId="34802D09" w14:textId="77777777" w:rsidR="00E37830" w:rsidRPr="00E37830" w:rsidRDefault="000A184B" w:rsidP="00D52C26">
      <w:pPr>
        <w:pStyle w:val="Default"/>
        <w:numPr>
          <w:ilvl w:val="0"/>
          <w:numId w:val="12"/>
        </w:numPr>
      </w:pPr>
      <w:r w:rsidRPr="0016289C">
        <w:rPr>
          <w:b/>
          <w:color w:val="000000" w:themeColor="text1"/>
        </w:rPr>
        <w:lastRenderedPageBreak/>
        <w:t xml:space="preserve">Year 2: </w:t>
      </w:r>
      <w:r w:rsidRPr="0016289C">
        <w:rPr>
          <w:color w:val="000000" w:themeColor="text1"/>
        </w:rPr>
        <w:t xml:space="preserve">Study launched at all sites; 30% enrollment completed; data from first interim analysis sent to DSMB; microbiome sequencing and analysis begins. </w:t>
      </w:r>
    </w:p>
    <w:p w14:paraId="7817FACC" w14:textId="77777777" w:rsidR="00E37830" w:rsidRPr="00E37830" w:rsidRDefault="000A184B" w:rsidP="00D52C26">
      <w:pPr>
        <w:pStyle w:val="Default"/>
        <w:numPr>
          <w:ilvl w:val="0"/>
          <w:numId w:val="12"/>
        </w:numPr>
      </w:pPr>
      <w:r w:rsidRPr="0016289C">
        <w:rPr>
          <w:b/>
          <w:color w:val="000000" w:themeColor="text1"/>
        </w:rPr>
        <w:t xml:space="preserve">Year 3: </w:t>
      </w:r>
      <w:r w:rsidRPr="0016289C">
        <w:rPr>
          <w:color w:val="000000" w:themeColor="text1"/>
        </w:rPr>
        <w:t xml:space="preserve">Data from second interim analysis sent to DSMB after 60% enrollment completed. </w:t>
      </w:r>
    </w:p>
    <w:p w14:paraId="74D6100D" w14:textId="77777777" w:rsidR="00E37830" w:rsidRPr="00E37830" w:rsidRDefault="000A184B" w:rsidP="00D52C26">
      <w:pPr>
        <w:pStyle w:val="Default"/>
        <w:numPr>
          <w:ilvl w:val="0"/>
          <w:numId w:val="12"/>
        </w:numPr>
      </w:pPr>
      <w:r w:rsidRPr="0016289C">
        <w:rPr>
          <w:b/>
          <w:color w:val="000000" w:themeColor="text1"/>
        </w:rPr>
        <w:t xml:space="preserve">Year 4: </w:t>
      </w:r>
      <w:r w:rsidRPr="0016289C">
        <w:rPr>
          <w:color w:val="000000" w:themeColor="text1"/>
        </w:rPr>
        <w:t xml:space="preserve">90% enrollment completed. </w:t>
      </w:r>
    </w:p>
    <w:p w14:paraId="74C6F2C0" w14:textId="4AFD5C98" w:rsidR="000A184B" w:rsidRPr="0016289C" w:rsidRDefault="000A184B" w:rsidP="00D52C26">
      <w:pPr>
        <w:pStyle w:val="Default"/>
        <w:numPr>
          <w:ilvl w:val="0"/>
          <w:numId w:val="12"/>
        </w:numPr>
      </w:pPr>
      <w:r w:rsidRPr="0016289C">
        <w:rPr>
          <w:b/>
          <w:color w:val="000000" w:themeColor="text1"/>
        </w:rPr>
        <w:t xml:space="preserve">Year 5: </w:t>
      </w:r>
      <w:r w:rsidRPr="0016289C">
        <w:rPr>
          <w:color w:val="000000" w:themeColor="text1"/>
        </w:rPr>
        <w:t>100% enrollment completed; completion of data querying and cleaning; data lock achieved; microbiome analysis completed; submission of abstracts/manuscripts for publication; submission of final study report to NICHD.</w:t>
      </w:r>
    </w:p>
    <w:p w14:paraId="7C9039CE" w14:textId="77777777" w:rsidR="003E21EF" w:rsidRPr="0016289C" w:rsidRDefault="003E21EF" w:rsidP="003E21EF">
      <w:pPr>
        <w:pStyle w:val="Default"/>
      </w:pPr>
    </w:p>
    <w:p w14:paraId="4AA11331" w14:textId="7F111329" w:rsidR="00DF25D2" w:rsidRPr="00424CD8" w:rsidRDefault="00DF25D2" w:rsidP="00DF25D2">
      <w:pPr>
        <w:pStyle w:val="Heading1"/>
        <w:rPr>
          <w:bCs/>
          <w:sz w:val="24"/>
        </w:rPr>
      </w:pPr>
      <w:bookmarkStart w:id="11" w:name="_Toc496162138"/>
      <w:r w:rsidRPr="00424CD8">
        <w:rPr>
          <w:sz w:val="24"/>
        </w:rPr>
        <w:t>Inclusion and Exclusion Criteria</w:t>
      </w:r>
      <w:bookmarkEnd w:id="11"/>
    </w:p>
    <w:p w14:paraId="49C85CCC" w14:textId="77777777" w:rsidR="00F9218C" w:rsidRDefault="00F9218C" w:rsidP="00F9218C">
      <w:pPr>
        <w:pStyle w:val="Heading1"/>
        <w:numPr>
          <w:ilvl w:val="0"/>
          <w:numId w:val="0"/>
        </w:numPr>
        <w:rPr>
          <w:b w:val="0"/>
          <w:bCs/>
          <w:sz w:val="24"/>
          <w:szCs w:val="24"/>
        </w:rPr>
      </w:pPr>
    </w:p>
    <w:p w14:paraId="3FA08536" w14:textId="1F939E52" w:rsidR="00C00BE8" w:rsidRPr="00C00BE8" w:rsidRDefault="00C00BE8" w:rsidP="00F9218C">
      <w:pPr>
        <w:pStyle w:val="Heading1"/>
        <w:numPr>
          <w:ilvl w:val="0"/>
          <w:numId w:val="0"/>
        </w:numPr>
        <w:rPr>
          <w:b w:val="0"/>
          <w:bCs/>
          <w:sz w:val="24"/>
          <w:szCs w:val="24"/>
        </w:rPr>
      </w:pPr>
      <w:r w:rsidRPr="00C00BE8">
        <w:rPr>
          <w:b w:val="0"/>
          <w:bCs/>
          <w:sz w:val="24"/>
          <w:szCs w:val="24"/>
        </w:rPr>
        <w:t xml:space="preserve">Labor and delivery antenatal units will be screened for all admissions of mothers with pregnancies </w:t>
      </w:r>
      <w:r w:rsidR="00454E26">
        <w:rPr>
          <w:b w:val="0"/>
          <w:bCs/>
          <w:sz w:val="24"/>
          <w:szCs w:val="24"/>
        </w:rPr>
        <w:t>≤</w:t>
      </w:r>
      <w:r w:rsidR="006F6DB9">
        <w:rPr>
          <w:b w:val="0"/>
          <w:bCs/>
          <w:sz w:val="24"/>
          <w:szCs w:val="24"/>
        </w:rPr>
        <w:t>28</w:t>
      </w:r>
      <w:r w:rsidRPr="00C00BE8">
        <w:rPr>
          <w:b w:val="0"/>
          <w:bCs/>
          <w:sz w:val="24"/>
          <w:szCs w:val="24"/>
        </w:rPr>
        <w:t xml:space="preserve"> weeks GA. </w:t>
      </w:r>
    </w:p>
    <w:p w14:paraId="1C8FB506" w14:textId="1B1BC1DF" w:rsidR="00C00BE8" w:rsidRDefault="00C00BE8" w:rsidP="00C00BE8">
      <w:pPr>
        <w:pStyle w:val="Heading1"/>
        <w:numPr>
          <w:ilvl w:val="0"/>
          <w:numId w:val="0"/>
        </w:numPr>
        <w:ind w:left="720"/>
      </w:pPr>
    </w:p>
    <w:p w14:paraId="12E9387E" w14:textId="77777777" w:rsidR="00FF34A0" w:rsidRPr="00FF34A0" w:rsidRDefault="00FF34A0" w:rsidP="001F79E7"/>
    <w:p w14:paraId="451145E2" w14:textId="77777777" w:rsidR="00CB6A30" w:rsidRDefault="00F9218C" w:rsidP="00C00BE8">
      <w:pPr>
        <w:pStyle w:val="Heading1"/>
        <w:numPr>
          <w:ilvl w:val="0"/>
          <w:numId w:val="0"/>
        </w:numPr>
        <w:ind w:left="720" w:hanging="720"/>
        <w:rPr>
          <w:b w:val="0"/>
          <w:bCs/>
          <w:sz w:val="24"/>
          <w:szCs w:val="24"/>
          <w:u w:val="single"/>
        </w:rPr>
      </w:pPr>
      <w:r>
        <w:rPr>
          <w:b w:val="0"/>
          <w:bCs/>
          <w:sz w:val="24"/>
          <w:szCs w:val="24"/>
        </w:rPr>
        <w:t xml:space="preserve">10.1 </w:t>
      </w:r>
      <w:r w:rsidR="00CB6A30">
        <w:rPr>
          <w:b w:val="0"/>
          <w:bCs/>
          <w:sz w:val="24"/>
          <w:szCs w:val="24"/>
          <w:u w:val="single"/>
        </w:rPr>
        <w:t>Inclusion/Exclusion Criteria.</w:t>
      </w:r>
    </w:p>
    <w:p w14:paraId="232A21C5" w14:textId="77777777" w:rsidR="00CB6A30" w:rsidRDefault="00CB6A30" w:rsidP="00C00BE8">
      <w:pPr>
        <w:pStyle w:val="Heading1"/>
        <w:numPr>
          <w:ilvl w:val="0"/>
          <w:numId w:val="0"/>
        </w:numPr>
        <w:ind w:left="720" w:hanging="720"/>
        <w:rPr>
          <w:b w:val="0"/>
          <w:bCs/>
          <w:sz w:val="24"/>
          <w:szCs w:val="24"/>
        </w:rPr>
      </w:pPr>
    </w:p>
    <w:p w14:paraId="2BC06640" w14:textId="3C1F987F" w:rsidR="00C00BE8" w:rsidRPr="00C00BE8" w:rsidRDefault="00C00BE8" w:rsidP="00C00BE8">
      <w:pPr>
        <w:pStyle w:val="Heading1"/>
        <w:numPr>
          <w:ilvl w:val="0"/>
          <w:numId w:val="0"/>
        </w:numPr>
        <w:ind w:left="720" w:hanging="720"/>
        <w:rPr>
          <w:b w:val="0"/>
          <w:bCs/>
          <w:sz w:val="24"/>
          <w:szCs w:val="24"/>
        </w:rPr>
      </w:pPr>
      <w:r w:rsidRPr="00C00BE8">
        <w:rPr>
          <w:b w:val="0"/>
          <w:bCs/>
          <w:sz w:val="24"/>
          <w:szCs w:val="24"/>
        </w:rPr>
        <w:t>Participant Inclusion Criteria</w:t>
      </w:r>
      <w:r w:rsidR="00F9218C">
        <w:rPr>
          <w:b w:val="0"/>
          <w:bCs/>
          <w:sz w:val="24"/>
          <w:szCs w:val="24"/>
        </w:rPr>
        <w:t>:</w:t>
      </w:r>
    </w:p>
    <w:p w14:paraId="0F1F816A" w14:textId="77777777" w:rsidR="00C00BE8" w:rsidRPr="00C00BE8" w:rsidRDefault="00C00BE8" w:rsidP="00D52C26">
      <w:pPr>
        <w:pStyle w:val="ListParagraph"/>
        <w:numPr>
          <w:ilvl w:val="0"/>
          <w:numId w:val="11"/>
        </w:numPr>
        <w:pBdr>
          <w:top w:val="nil"/>
          <w:left w:val="nil"/>
          <w:bottom w:val="nil"/>
          <w:right w:val="nil"/>
          <w:between w:val="nil"/>
        </w:pBdr>
        <w:autoSpaceDE/>
        <w:autoSpaceDN/>
        <w:adjustRightInd/>
        <w:rPr>
          <w:rFonts w:ascii="Times New Roman" w:hAnsi="Times New Roman"/>
        </w:rPr>
      </w:pPr>
      <w:r w:rsidRPr="00C00BE8">
        <w:rPr>
          <w:rFonts w:ascii="Times New Roman" w:hAnsi="Times New Roman"/>
        </w:rPr>
        <w:t>Newborn infants born with gestational age of 23-28 weeks</w:t>
      </w:r>
    </w:p>
    <w:p w14:paraId="46B48305" w14:textId="3CC81331" w:rsidR="00C00BE8" w:rsidRDefault="00C00BE8" w:rsidP="00D52C26">
      <w:pPr>
        <w:pStyle w:val="ListParagraph"/>
        <w:numPr>
          <w:ilvl w:val="0"/>
          <w:numId w:val="11"/>
        </w:numPr>
        <w:pBdr>
          <w:top w:val="nil"/>
          <w:left w:val="nil"/>
          <w:bottom w:val="nil"/>
          <w:right w:val="nil"/>
          <w:between w:val="nil"/>
        </w:pBdr>
        <w:autoSpaceDE/>
        <w:autoSpaceDN/>
        <w:adjustRightInd/>
        <w:rPr>
          <w:rFonts w:ascii="Times New Roman" w:hAnsi="Times New Roman"/>
        </w:rPr>
      </w:pPr>
      <w:r w:rsidRPr="00C00BE8">
        <w:rPr>
          <w:rFonts w:ascii="Times New Roman" w:hAnsi="Times New Roman"/>
        </w:rPr>
        <w:t>Inborn infants at participating study sites</w:t>
      </w:r>
    </w:p>
    <w:p w14:paraId="62950E99" w14:textId="7762DE06" w:rsidR="00ED6C87" w:rsidRPr="00C00BE8" w:rsidRDefault="00ED6C87" w:rsidP="00D52C26">
      <w:pPr>
        <w:pStyle w:val="ListParagraph"/>
        <w:numPr>
          <w:ilvl w:val="0"/>
          <w:numId w:val="11"/>
        </w:numPr>
        <w:pBdr>
          <w:top w:val="nil"/>
          <w:left w:val="nil"/>
          <w:bottom w:val="nil"/>
          <w:right w:val="nil"/>
          <w:between w:val="nil"/>
        </w:pBdr>
        <w:autoSpaceDE/>
        <w:autoSpaceDN/>
        <w:adjustRightInd/>
        <w:rPr>
          <w:rFonts w:ascii="Times New Roman" w:hAnsi="Times New Roman"/>
        </w:rPr>
      </w:pPr>
      <w:r>
        <w:rPr>
          <w:rFonts w:ascii="Times New Roman" w:hAnsi="Times New Roman"/>
        </w:rPr>
        <w:t>Mothers of babies (23-28 weeks) that were not approached prenatally may be approached within 4 hours of delivery if they are inborn and do not present with any maternal or infant exclusion criteria</w:t>
      </w:r>
    </w:p>
    <w:p w14:paraId="02D28F8D" w14:textId="77777777" w:rsidR="005E737E" w:rsidRDefault="005E737E">
      <w:pPr>
        <w:pStyle w:val="Heading1"/>
        <w:numPr>
          <w:ilvl w:val="0"/>
          <w:numId w:val="0"/>
        </w:numPr>
        <w:rPr>
          <w:b w:val="0"/>
          <w:sz w:val="24"/>
          <w:szCs w:val="24"/>
        </w:rPr>
      </w:pPr>
    </w:p>
    <w:p w14:paraId="579E11E6" w14:textId="77777777" w:rsidR="005E737E" w:rsidRDefault="005E737E" w:rsidP="00CB6A30">
      <w:pPr>
        <w:pStyle w:val="Heading1"/>
        <w:numPr>
          <w:ilvl w:val="0"/>
          <w:numId w:val="0"/>
        </w:numPr>
        <w:ind w:left="720" w:hanging="720"/>
        <w:rPr>
          <w:b w:val="0"/>
          <w:sz w:val="24"/>
          <w:szCs w:val="24"/>
        </w:rPr>
      </w:pPr>
    </w:p>
    <w:p w14:paraId="77476555" w14:textId="62D9C66C" w:rsidR="00C00BE8" w:rsidRPr="00F9218C" w:rsidRDefault="00C00BE8" w:rsidP="00CB6A30">
      <w:pPr>
        <w:pStyle w:val="Heading1"/>
        <w:numPr>
          <w:ilvl w:val="0"/>
          <w:numId w:val="0"/>
        </w:numPr>
        <w:ind w:left="720" w:hanging="720"/>
        <w:rPr>
          <w:b w:val="0"/>
          <w:sz w:val="24"/>
          <w:szCs w:val="24"/>
        </w:rPr>
      </w:pPr>
      <w:r w:rsidRPr="00F9218C">
        <w:rPr>
          <w:b w:val="0"/>
          <w:sz w:val="24"/>
          <w:szCs w:val="24"/>
        </w:rPr>
        <w:t>Participant Exclusion Criteria</w:t>
      </w:r>
      <w:r w:rsidR="00F9218C">
        <w:rPr>
          <w:b w:val="0"/>
          <w:sz w:val="24"/>
          <w:szCs w:val="24"/>
        </w:rPr>
        <w:t>:</w:t>
      </w:r>
    </w:p>
    <w:p w14:paraId="090765EB" w14:textId="77777777" w:rsidR="00C00BE8" w:rsidRP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Infants at low risk for EOS – born for maternal indications via caesarean section with ROM within 6 hours of delivery, no attempts to induce labor, and no concern for maternal infection</w:t>
      </w:r>
    </w:p>
    <w:p w14:paraId="7BDD9B8B" w14:textId="77777777" w:rsidR="00C00BE8" w:rsidRP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Infants at high risk of EOS born to mothers with intrapartum fever (</w:t>
      </w:r>
      <w:r w:rsidRPr="00C00BE8">
        <w:rPr>
          <w:rFonts w:ascii="Times New Roman" w:hAnsi="Times New Roman"/>
          <w:u w:val="single"/>
        </w:rPr>
        <w:t>&gt;</w:t>
      </w:r>
      <w:r w:rsidRPr="00C00BE8">
        <w:rPr>
          <w:rFonts w:ascii="Times New Roman" w:hAnsi="Times New Roman"/>
        </w:rPr>
        <w:t> 38ºC) or clinical diagnosis of chorioamnionitis (suspected or definite)</w:t>
      </w:r>
    </w:p>
    <w:p w14:paraId="7FA52605" w14:textId="74B8F8A1" w:rsidR="00C00BE8" w:rsidRP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Infants with respiratory insufficiency requiring invasive mechanical ventilation and FiO</w:t>
      </w:r>
      <w:r w:rsidRPr="00C00BE8">
        <w:rPr>
          <w:rFonts w:ascii="Times New Roman" w:hAnsi="Times New Roman"/>
          <w:vertAlign w:val="subscript"/>
        </w:rPr>
        <w:t>2</w:t>
      </w:r>
      <w:r w:rsidRPr="00C00BE8">
        <w:rPr>
          <w:rFonts w:ascii="Times New Roman" w:hAnsi="Times New Roman"/>
        </w:rPr>
        <w:t> &gt; 0.40 or non-invasive ventilation</w:t>
      </w:r>
      <w:r w:rsidR="00C422D2">
        <w:rPr>
          <w:rFonts w:ascii="Times New Roman" w:hAnsi="Times New Roman"/>
        </w:rPr>
        <w:t xml:space="preserve"> (i.e. CPAP)</w:t>
      </w:r>
      <w:r w:rsidRPr="00C00BE8">
        <w:rPr>
          <w:rFonts w:ascii="Times New Roman" w:hAnsi="Times New Roman"/>
        </w:rPr>
        <w:t xml:space="preserve"> and FiO</w:t>
      </w:r>
      <w:r w:rsidRPr="00C00BE8">
        <w:rPr>
          <w:rFonts w:ascii="Times New Roman" w:hAnsi="Times New Roman"/>
          <w:vertAlign w:val="subscript"/>
        </w:rPr>
        <w:t>2</w:t>
      </w:r>
      <w:r w:rsidRPr="00C00BE8">
        <w:rPr>
          <w:rFonts w:ascii="Times New Roman" w:hAnsi="Times New Roman"/>
        </w:rPr>
        <w:t> &gt; 0.60 </w:t>
      </w:r>
      <w:r w:rsidRPr="00C00BE8">
        <w:rPr>
          <w:rFonts w:ascii="Times New Roman" w:hAnsi="Times New Roman"/>
          <w:u w:val="single"/>
        </w:rPr>
        <w:t>at time of randomization</w:t>
      </w:r>
    </w:p>
    <w:p w14:paraId="7DB077D6" w14:textId="77777777" w:rsidR="00C00BE8" w:rsidRP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Infants with ongoing hemodynamic instability requiring vasopressors or more than one fluid bolus </w:t>
      </w:r>
      <w:r w:rsidRPr="00C00BE8">
        <w:rPr>
          <w:rFonts w:ascii="Times New Roman" w:hAnsi="Times New Roman"/>
          <w:u w:val="single"/>
        </w:rPr>
        <w:t>at time of randomization</w:t>
      </w:r>
    </w:p>
    <w:p w14:paraId="75F24DD7" w14:textId="77777777" w:rsidR="00C00BE8" w:rsidRP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Clinician concern for sepsis due to physical exam findings, e.g. lethargy</w:t>
      </w:r>
    </w:p>
    <w:p w14:paraId="6BA1301B" w14:textId="77777777" w:rsidR="00C00BE8" w:rsidRP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Major congenital anomalies</w:t>
      </w:r>
    </w:p>
    <w:p w14:paraId="21BF7784" w14:textId="77777777" w:rsidR="00C00BE8" w:rsidRP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Infants not anticipated to survive beyond 72 hours</w:t>
      </w:r>
    </w:p>
    <w:p w14:paraId="4958D899" w14:textId="042BBFDA" w:rsidR="00C00BE8" w:rsidRDefault="00C00BE8" w:rsidP="00D52C26">
      <w:pPr>
        <w:pStyle w:val="ListParagraph"/>
        <w:numPr>
          <w:ilvl w:val="0"/>
          <w:numId w:val="10"/>
        </w:numPr>
        <w:autoSpaceDE/>
        <w:autoSpaceDN/>
        <w:adjustRightInd/>
        <w:rPr>
          <w:rFonts w:ascii="Times New Roman" w:hAnsi="Times New Roman"/>
        </w:rPr>
      </w:pPr>
      <w:r w:rsidRPr="00C00BE8">
        <w:rPr>
          <w:rFonts w:ascii="Times New Roman" w:hAnsi="Times New Roman"/>
        </w:rPr>
        <w:t>Infants who have received antibiotics prior to randomization</w:t>
      </w:r>
    </w:p>
    <w:p w14:paraId="1D6BC904" w14:textId="3CEB9112" w:rsidR="00E103CD" w:rsidRPr="00C00BE8" w:rsidRDefault="00E103CD" w:rsidP="00D52C26">
      <w:pPr>
        <w:pStyle w:val="ListParagraph"/>
        <w:numPr>
          <w:ilvl w:val="0"/>
          <w:numId w:val="10"/>
        </w:numPr>
        <w:autoSpaceDE/>
        <w:autoSpaceDN/>
        <w:adjustRightInd/>
        <w:rPr>
          <w:rFonts w:ascii="Times New Roman" w:hAnsi="Times New Roman"/>
        </w:rPr>
      </w:pPr>
      <w:r>
        <w:rPr>
          <w:rFonts w:ascii="Times New Roman" w:hAnsi="Times New Roman"/>
        </w:rPr>
        <w:t>Mothers that are &lt;18 years old at time of enrollment</w:t>
      </w:r>
    </w:p>
    <w:p w14:paraId="0951A216" w14:textId="77777777" w:rsidR="00C00BE8" w:rsidRDefault="00C00BE8" w:rsidP="00C00BE8">
      <w:pPr>
        <w:pStyle w:val="Heading1"/>
        <w:numPr>
          <w:ilvl w:val="0"/>
          <w:numId w:val="0"/>
        </w:numPr>
        <w:ind w:left="720"/>
      </w:pPr>
    </w:p>
    <w:p w14:paraId="6FC0FF10" w14:textId="2ADA0898" w:rsidR="00C00BE8" w:rsidRPr="0016289C" w:rsidRDefault="00B81E6C" w:rsidP="00B81E6C">
      <w:pPr>
        <w:pStyle w:val="Heading1"/>
        <w:numPr>
          <w:ilvl w:val="0"/>
          <w:numId w:val="0"/>
        </w:numPr>
        <w:rPr>
          <w:b w:val="0"/>
          <w:bCs/>
          <w:sz w:val="24"/>
          <w:szCs w:val="24"/>
        </w:rPr>
      </w:pPr>
      <w:r w:rsidRPr="001F79E7">
        <w:rPr>
          <w:b w:val="0"/>
          <w:sz w:val="24"/>
          <w:u w:val="single"/>
        </w:rPr>
        <w:lastRenderedPageBreak/>
        <w:t xml:space="preserve">10.2 </w:t>
      </w:r>
      <w:r w:rsidR="00424CD8" w:rsidRPr="00FB1F39">
        <w:rPr>
          <w:b w:val="0"/>
          <w:bCs/>
          <w:sz w:val="24"/>
          <w:szCs w:val="24"/>
          <w:u w:val="single"/>
        </w:rPr>
        <w:t>Study</w:t>
      </w:r>
      <w:r w:rsidR="00424CD8">
        <w:rPr>
          <w:b w:val="0"/>
          <w:bCs/>
          <w:sz w:val="24"/>
          <w:szCs w:val="24"/>
          <w:u w:val="single"/>
        </w:rPr>
        <w:t xml:space="preserve"> Restriction.</w:t>
      </w:r>
      <w:r w:rsidR="00424CD8">
        <w:rPr>
          <w:b w:val="0"/>
          <w:bCs/>
          <w:sz w:val="24"/>
          <w:szCs w:val="24"/>
        </w:rPr>
        <w:t xml:space="preserve"> </w:t>
      </w:r>
      <w:r w:rsidR="00C00BE8" w:rsidRPr="0016289C">
        <w:rPr>
          <w:b w:val="0"/>
          <w:bCs/>
          <w:sz w:val="24"/>
          <w:szCs w:val="24"/>
        </w:rPr>
        <w:t xml:space="preserve">As detailed in the text, study participation will be restricted to premature newborns and sample collection will be limited to the first months of life.  This will enable us to test the hypothesis that EA increases the incidence of adverse outcomes after premature birth. For this reason, it is necessary to limit our study to this specific patient demographic. Prisoners and institutionalized women are excluded from the study. </w:t>
      </w:r>
    </w:p>
    <w:p w14:paraId="6E3A0AD5" w14:textId="77777777" w:rsidR="007B3638" w:rsidRPr="0016289C" w:rsidRDefault="007B3638" w:rsidP="007B3638">
      <w:pPr>
        <w:rPr>
          <w:rFonts w:ascii="Times New Roman" w:hAnsi="Times New Roman"/>
        </w:rPr>
      </w:pPr>
    </w:p>
    <w:p w14:paraId="43BE8E2E" w14:textId="35B59AE8" w:rsidR="007B3638" w:rsidRPr="0016289C" w:rsidRDefault="00424CD8" w:rsidP="007B3638">
      <w:pPr>
        <w:rPr>
          <w:rFonts w:ascii="Times New Roman" w:hAnsi="Times New Roman"/>
        </w:rPr>
      </w:pPr>
      <w:r>
        <w:rPr>
          <w:rFonts w:ascii="Times New Roman" w:hAnsi="Times New Roman"/>
          <w:u w:val="single"/>
        </w:rPr>
        <w:t>10.3 Screening Log.</w:t>
      </w:r>
      <w:r w:rsidR="00B81E6C">
        <w:rPr>
          <w:rFonts w:ascii="Times New Roman" w:hAnsi="Times New Roman"/>
        </w:rPr>
        <w:t xml:space="preserve"> </w:t>
      </w:r>
      <w:r w:rsidR="00CA31C5" w:rsidRPr="00CA31C5">
        <w:rPr>
          <w:rFonts w:ascii="Times New Roman" w:hAnsi="Times New Roman"/>
        </w:rPr>
        <w:t>Screening logs provide documentation of patients that are screened for study eligibility. NANO clinical sites will be instructed to maintain patient screening logs per standard practice. The CCC will provide a template for sites to use. At any time, the CCC can request copies of deidentified screening logs to track enrollment.</w:t>
      </w:r>
      <w:r w:rsidR="00CA31C5">
        <w:rPr>
          <w:rFonts w:ascii="Times New Roman" w:hAnsi="Times New Roman"/>
        </w:rPr>
        <w:t xml:space="preserve"> </w:t>
      </w:r>
    </w:p>
    <w:p w14:paraId="78CA4E16" w14:textId="77777777" w:rsidR="000E0D92" w:rsidRPr="0016289C" w:rsidRDefault="000E0D92" w:rsidP="000E0D92">
      <w:pPr>
        <w:rPr>
          <w:rFonts w:ascii="Times New Roman" w:hAnsi="Times New Roman"/>
        </w:rPr>
      </w:pPr>
      <w:bookmarkStart w:id="12" w:name="_Toc496162139"/>
    </w:p>
    <w:p w14:paraId="6B6D1C0E" w14:textId="77777777" w:rsidR="00DF25D2" w:rsidRPr="00424CD8" w:rsidRDefault="00DF25D2" w:rsidP="00DF25D2">
      <w:pPr>
        <w:pStyle w:val="Heading1"/>
        <w:rPr>
          <w:bCs/>
          <w:sz w:val="24"/>
        </w:rPr>
      </w:pPr>
      <w:bookmarkStart w:id="13" w:name="_Toc496162140"/>
      <w:bookmarkEnd w:id="12"/>
      <w:r w:rsidRPr="00424CD8">
        <w:rPr>
          <w:sz w:val="24"/>
        </w:rPr>
        <w:t>Local Number of Subjects</w:t>
      </w:r>
      <w:bookmarkEnd w:id="13"/>
    </w:p>
    <w:p w14:paraId="32C52408" w14:textId="50040FF6" w:rsidR="000A184B" w:rsidRPr="0016289C" w:rsidRDefault="000A184B" w:rsidP="000A184B">
      <w:pPr>
        <w:rPr>
          <w:rFonts w:ascii="Times New Roman" w:hAnsi="Times New Roman"/>
        </w:rPr>
      </w:pPr>
    </w:p>
    <w:p w14:paraId="174E3C90" w14:textId="7D28BA4D" w:rsidR="00896A38" w:rsidRDefault="00896A38" w:rsidP="00896A38">
      <w:pPr>
        <w:pStyle w:val="Default"/>
        <w:rPr>
          <w:rFonts w:eastAsia="Calibri"/>
        </w:rPr>
      </w:pPr>
      <w:r>
        <w:rPr>
          <w:rFonts w:eastAsia="Calibri"/>
        </w:rPr>
        <w:t>We an</w:t>
      </w:r>
      <w:r w:rsidRPr="0016289C">
        <w:rPr>
          <w:rFonts w:eastAsia="Calibri"/>
        </w:rPr>
        <w:t xml:space="preserve">ticipate 40% of enrollments to occur at The University of Pittsburgh, </w:t>
      </w:r>
      <w:r w:rsidR="00503FE7">
        <w:rPr>
          <w:rFonts w:eastAsia="Calibri"/>
        </w:rPr>
        <w:t xml:space="preserve">around 325 patients, </w:t>
      </w:r>
      <w:r w:rsidRPr="0016289C">
        <w:rPr>
          <w:rFonts w:eastAsia="Calibri"/>
        </w:rPr>
        <w:t xml:space="preserve">with the remainder distributed relatively even across the additional study sites. </w:t>
      </w:r>
    </w:p>
    <w:p w14:paraId="4FE2FFDF" w14:textId="77777777" w:rsidR="00E0212F" w:rsidRPr="0016289C" w:rsidRDefault="00E0212F" w:rsidP="000A184B">
      <w:pPr>
        <w:pStyle w:val="Default"/>
      </w:pPr>
    </w:p>
    <w:p w14:paraId="471F183A" w14:textId="5A0A310B" w:rsidR="00DF25D2" w:rsidRPr="00424CD8" w:rsidRDefault="00DF25D2" w:rsidP="00DF25D2">
      <w:pPr>
        <w:pStyle w:val="Heading1"/>
        <w:rPr>
          <w:sz w:val="24"/>
        </w:rPr>
      </w:pPr>
      <w:bookmarkStart w:id="14" w:name="_Toc496162141"/>
      <w:r w:rsidRPr="00424CD8">
        <w:rPr>
          <w:sz w:val="24"/>
        </w:rPr>
        <w:t>Recruitment Methods</w:t>
      </w:r>
      <w:bookmarkEnd w:id="14"/>
    </w:p>
    <w:p w14:paraId="540856E0" w14:textId="77777777" w:rsidR="00B81E6C" w:rsidRPr="00B81E6C" w:rsidRDefault="00B81E6C" w:rsidP="00B81E6C"/>
    <w:p w14:paraId="4BEA6F5C" w14:textId="47363C5B" w:rsidR="00896A38" w:rsidRPr="00896A38" w:rsidRDefault="00896A38" w:rsidP="00B81E6C">
      <w:pPr>
        <w:pStyle w:val="Heading1"/>
        <w:numPr>
          <w:ilvl w:val="0"/>
          <w:numId w:val="0"/>
        </w:numPr>
        <w:rPr>
          <w:b w:val="0"/>
          <w:bCs/>
          <w:sz w:val="24"/>
          <w:szCs w:val="24"/>
          <w:u w:val="single"/>
        </w:rPr>
      </w:pPr>
      <w:r w:rsidRPr="00896A38">
        <w:rPr>
          <w:b w:val="0"/>
          <w:bCs/>
          <w:sz w:val="24"/>
          <w:szCs w:val="24"/>
        </w:rPr>
        <w:t xml:space="preserve">Sites will develop protocols to identify women as early as possible that are admitted to participating hospitals and expected to deliver an infant at or before 28 weeks gestation. </w:t>
      </w:r>
      <w:r w:rsidR="00B8447E">
        <w:rPr>
          <w:b w:val="0"/>
          <w:bCs/>
          <w:sz w:val="24"/>
          <w:szCs w:val="24"/>
        </w:rPr>
        <w:t>Trained research personnel</w:t>
      </w:r>
      <w:r w:rsidR="00B8447E" w:rsidRPr="00896A38">
        <w:rPr>
          <w:b w:val="0"/>
          <w:bCs/>
          <w:sz w:val="24"/>
          <w:szCs w:val="24"/>
        </w:rPr>
        <w:t xml:space="preserve"> </w:t>
      </w:r>
      <w:r w:rsidRPr="00896A38">
        <w:rPr>
          <w:b w:val="0"/>
          <w:bCs/>
          <w:sz w:val="24"/>
          <w:szCs w:val="24"/>
        </w:rPr>
        <w:t xml:space="preserve">will identify and discuss informed consent with parent(s) of potential study subjects. Because variable amounts of time will have elapsed between consent and delivery, </w:t>
      </w:r>
      <w:r w:rsidR="00B8447E">
        <w:rPr>
          <w:b w:val="0"/>
          <w:bCs/>
          <w:sz w:val="24"/>
          <w:szCs w:val="24"/>
        </w:rPr>
        <w:t>re</w:t>
      </w:r>
      <w:r w:rsidRPr="00896A38">
        <w:rPr>
          <w:b w:val="0"/>
          <w:bCs/>
          <w:sz w:val="24"/>
          <w:szCs w:val="24"/>
        </w:rPr>
        <w:t>s</w:t>
      </w:r>
      <w:r w:rsidR="00B8447E">
        <w:rPr>
          <w:b w:val="0"/>
          <w:bCs/>
          <w:sz w:val="24"/>
          <w:szCs w:val="24"/>
        </w:rPr>
        <w:t>earch staff</w:t>
      </w:r>
      <w:r w:rsidRPr="00896A38">
        <w:rPr>
          <w:b w:val="0"/>
          <w:bCs/>
          <w:sz w:val="24"/>
          <w:szCs w:val="24"/>
        </w:rPr>
        <w:t xml:space="preserve"> will meet briefly on a regular basis with parents that have provided antenatal consent.  If antenatal consent is not possible, </w:t>
      </w:r>
      <w:r w:rsidR="00B8447E">
        <w:rPr>
          <w:b w:val="0"/>
          <w:bCs/>
          <w:sz w:val="24"/>
          <w:szCs w:val="24"/>
        </w:rPr>
        <w:t>research staff</w:t>
      </w:r>
      <w:r w:rsidR="00B8447E" w:rsidRPr="00896A38">
        <w:rPr>
          <w:b w:val="0"/>
          <w:bCs/>
          <w:sz w:val="24"/>
          <w:szCs w:val="24"/>
        </w:rPr>
        <w:t xml:space="preserve"> </w:t>
      </w:r>
      <w:r w:rsidRPr="00896A38">
        <w:rPr>
          <w:b w:val="0"/>
          <w:bCs/>
          <w:sz w:val="24"/>
          <w:szCs w:val="24"/>
        </w:rPr>
        <w:t>will seek postpartum consent as clinical circumstances permit. For each infant born to a mother that has provided consent, the coordinator will confirm eligibility of the infant</w:t>
      </w:r>
      <w:r w:rsidR="007417BC">
        <w:rPr>
          <w:b w:val="0"/>
          <w:bCs/>
          <w:sz w:val="24"/>
          <w:szCs w:val="24"/>
        </w:rPr>
        <w:t xml:space="preserve"> with IRB approved staff</w:t>
      </w:r>
      <w:r w:rsidRPr="00896A38">
        <w:rPr>
          <w:b w:val="0"/>
          <w:bCs/>
          <w:sz w:val="24"/>
          <w:szCs w:val="24"/>
        </w:rPr>
        <w:t xml:space="preserve">.  Thus, there will be a two-part review to first determine maternal eligibility, and then to determine infant eligibility. Only infants meeting eligibility criteria and consented for participation will be enrolled. </w:t>
      </w:r>
    </w:p>
    <w:p w14:paraId="0B136B08" w14:textId="77777777" w:rsidR="00896A38" w:rsidRDefault="00896A38" w:rsidP="00896A38">
      <w:pPr>
        <w:pStyle w:val="Heading1"/>
        <w:numPr>
          <w:ilvl w:val="0"/>
          <w:numId w:val="0"/>
        </w:numPr>
        <w:ind w:left="720"/>
      </w:pPr>
    </w:p>
    <w:p w14:paraId="5D1DDEA3" w14:textId="02FDC9F5" w:rsidR="00896A38" w:rsidRPr="00896A38" w:rsidRDefault="00896A38" w:rsidP="00B81E6C">
      <w:pPr>
        <w:pStyle w:val="Heading1"/>
        <w:numPr>
          <w:ilvl w:val="0"/>
          <w:numId w:val="0"/>
        </w:numPr>
        <w:rPr>
          <w:b w:val="0"/>
          <w:bCs/>
          <w:sz w:val="24"/>
          <w:szCs w:val="24"/>
        </w:rPr>
      </w:pPr>
      <w:r w:rsidRPr="00896A38">
        <w:rPr>
          <w:b w:val="0"/>
          <w:bCs/>
          <w:sz w:val="24"/>
          <w:szCs w:val="24"/>
        </w:rPr>
        <w:t xml:space="preserve">Our strategy to maximize enrollment and retention of study subjects relies upon continual communication with parents and providers of study subjects. We will adopt site-specific and centralized strategies designed to optimize retention.  At the time of informed consent and subsequently, we will strive to explain the details and the timeline of the study protocol as clearly as possible.  We will encourage parents of study subjects to contact research coordinators and/or site PIs with questions.  We will also attempt to be as flexible as possible regarding the timing of sample collections, respecting the privacy of NICU families and respecting the limited time and availability of NICU nursing staff. As often as possible, we will strive to convey to NICU providers and families that the motivation for this trial is to minimize antibiotic exposure and to improve outcomes for preterm infants. </w:t>
      </w:r>
      <w:r w:rsidRPr="00896A38">
        <w:rPr>
          <w:b w:val="0"/>
          <w:bCs/>
          <w:color w:val="000000"/>
          <w:sz w:val="24"/>
          <w:szCs w:val="24"/>
        </w:rPr>
        <w:t>Barriers to retention of infants should be minimal as the period during which research data are being collected is limited to the index NICU hospitalization.</w:t>
      </w:r>
    </w:p>
    <w:p w14:paraId="740FD283" w14:textId="77777777" w:rsidR="00475436" w:rsidRDefault="00475436" w:rsidP="00475436">
      <w:pPr>
        <w:pStyle w:val="Heading1"/>
        <w:numPr>
          <w:ilvl w:val="0"/>
          <w:numId w:val="0"/>
        </w:numPr>
        <w:ind w:left="720" w:hanging="720"/>
        <w:rPr>
          <w:b w:val="0"/>
          <w:bCs/>
          <w:sz w:val="24"/>
          <w:szCs w:val="24"/>
        </w:rPr>
      </w:pPr>
    </w:p>
    <w:p w14:paraId="051F4BD2" w14:textId="06B642C2" w:rsidR="00D510E1" w:rsidRPr="00D510E1" w:rsidRDefault="006F3B19" w:rsidP="006F3B19">
      <w:r>
        <w:t>L</w:t>
      </w:r>
      <w:r w:rsidR="00D510E1" w:rsidRPr="00C00BE8">
        <w:t xml:space="preserve">abor and delivery antenatal units will be screened for all admissions of mothers admitted with pregnancies </w:t>
      </w:r>
      <w:r w:rsidR="00DB482F">
        <w:rPr>
          <w:rFonts w:ascii="Times New Roman" w:hAnsi="Times New Roman"/>
        </w:rPr>
        <w:t>≤</w:t>
      </w:r>
      <w:r w:rsidR="008F3C40">
        <w:t xml:space="preserve">28 </w:t>
      </w:r>
      <w:r w:rsidR="00D510E1" w:rsidRPr="00C00BE8">
        <w:t xml:space="preserve">weeks GA. </w:t>
      </w:r>
    </w:p>
    <w:p w14:paraId="7BD7B3AB" w14:textId="77777777" w:rsidR="00475436" w:rsidRDefault="00475436" w:rsidP="009357A6">
      <w:pPr>
        <w:pStyle w:val="Default"/>
        <w:ind w:left="720"/>
      </w:pPr>
    </w:p>
    <w:p w14:paraId="1ECB35AB" w14:textId="56D5905E" w:rsidR="00475436" w:rsidRPr="00346DFC" w:rsidRDefault="000A184B" w:rsidP="000A184B">
      <w:pPr>
        <w:pStyle w:val="BodyText"/>
        <w:rPr>
          <w:b/>
          <w:lang w:val="en-US"/>
        </w:rPr>
      </w:pPr>
      <w:r w:rsidRPr="0016289C">
        <w:lastRenderedPageBreak/>
        <w:t xml:space="preserve">There is no reimbursement (payment) for participating in this study. </w:t>
      </w:r>
      <w:r w:rsidRPr="0016289C">
        <w:rPr>
          <w:b/>
          <w:lang w:val="en-US"/>
        </w:rPr>
        <w:t xml:space="preserve"> </w:t>
      </w:r>
    </w:p>
    <w:p w14:paraId="6114A1C4" w14:textId="192BBBD5" w:rsidR="00DF25D2" w:rsidRPr="00414609" w:rsidRDefault="00DF25D2" w:rsidP="00475436">
      <w:pPr>
        <w:pStyle w:val="Heading1"/>
        <w:rPr>
          <w:sz w:val="24"/>
        </w:rPr>
      </w:pPr>
      <w:bookmarkStart w:id="15" w:name="_Toc492992334"/>
      <w:bookmarkStart w:id="16" w:name="_Toc492992602"/>
      <w:bookmarkStart w:id="17" w:name="_Toc493022872"/>
      <w:bookmarkStart w:id="18" w:name="_Toc492992335"/>
      <w:bookmarkStart w:id="19" w:name="_Toc492992603"/>
      <w:bookmarkStart w:id="20" w:name="_Toc493022873"/>
      <w:bookmarkStart w:id="21" w:name="_Toc492992336"/>
      <w:bookmarkStart w:id="22" w:name="_Toc492992604"/>
      <w:bookmarkStart w:id="23" w:name="_Toc493022874"/>
      <w:bookmarkStart w:id="24" w:name="_Toc496162142"/>
      <w:bookmarkEnd w:id="15"/>
      <w:bookmarkEnd w:id="16"/>
      <w:bookmarkEnd w:id="17"/>
      <w:bookmarkEnd w:id="18"/>
      <w:bookmarkEnd w:id="19"/>
      <w:bookmarkEnd w:id="20"/>
      <w:bookmarkEnd w:id="21"/>
      <w:bookmarkEnd w:id="22"/>
      <w:bookmarkEnd w:id="23"/>
      <w:r w:rsidRPr="00414609">
        <w:rPr>
          <w:sz w:val="24"/>
        </w:rPr>
        <w:t>Withdrawal of Subjects</w:t>
      </w:r>
      <w:bookmarkEnd w:id="24"/>
    </w:p>
    <w:p w14:paraId="6AFD95FD" w14:textId="77777777" w:rsidR="00475436" w:rsidRPr="00475436" w:rsidRDefault="00475436" w:rsidP="00475436"/>
    <w:p w14:paraId="1B55B66C" w14:textId="77777777" w:rsidR="00AC12D7" w:rsidRDefault="00AC12D7" w:rsidP="007A7865">
      <w:pPr>
        <w:pStyle w:val="BlockText"/>
        <w:ind w:left="0"/>
        <w:rPr>
          <w:i w:val="0"/>
          <w:szCs w:val="28"/>
        </w:rPr>
      </w:pPr>
      <w:r w:rsidRPr="00AC12D7">
        <w:rPr>
          <w:i w:val="0"/>
          <w:szCs w:val="28"/>
        </w:rPr>
        <w:t>No subject will be withdrawn from the study unless his/her parent(s) elects to withdraw the infant from further participation and notifies the study team accordingly.</w:t>
      </w:r>
    </w:p>
    <w:p w14:paraId="1AC91AAE" w14:textId="579B64E7" w:rsidR="007A7865" w:rsidRPr="00346DFC" w:rsidRDefault="009357A6" w:rsidP="00346DFC">
      <w:pPr>
        <w:pStyle w:val="BlockText"/>
        <w:ind w:left="0"/>
        <w:rPr>
          <w:i w:val="0"/>
          <w:iCs/>
        </w:rPr>
      </w:pPr>
      <w:r>
        <w:rPr>
          <w:bCs/>
          <w:i w:val="0"/>
          <w:iCs/>
        </w:rPr>
        <w:t xml:space="preserve">For subjects that have </w:t>
      </w:r>
      <w:r w:rsidR="00E53339">
        <w:rPr>
          <w:bCs/>
          <w:i w:val="0"/>
          <w:iCs/>
        </w:rPr>
        <w:t xml:space="preserve">been </w:t>
      </w:r>
      <w:r>
        <w:rPr>
          <w:bCs/>
          <w:i w:val="0"/>
          <w:iCs/>
        </w:rPr>
        <w:t>withdrawn from the trial,</w:t>
      </w:r>
      <w:r w:rsidR="00241F44">
        <w:rPr>
          <w:bCs/>
          <w:i w:val="0"/>
          <w:iCs/>
        </w:rPr>
        <w:t xml:space="preserve"> </w:t>
      </w:r>
      <w:r>
        <w:rPr>
          <w:bCs/>
          <w:i w:val="0"/>
          <w:iCs/>
        </w:rPr>
        <w:t>data</w:t>
      </w:r>
      <w:r w:rsidR="009A291E">
        <w:rPr>
          <w:bCs/>
          <w:i w:val="0"/>
          <w:iCs/>
        </w:rPr>
        <w:t>, including samples</w:t>
      </w:r>
      <w:r>
        <w:rPr>
          <w:bCs/>
          <w:i w:val="0"/>
          <w:iCs/>
        </w:rPr>
        <w:t xml:space="preserve"> </w:t>
      </w:r>
      <w:r w:rsidR="007A7865" w:rsidRPr="00DF25D2">
        <w:rPr>
          <w:bCs/>
          <w:i w:val="0"/>
          <w:iCs/>
        </w:rPr>
        <w:t xml:space="preserve">obtained </w:t>
      </w:r>
      <w:r>
        <w:rPr>
          <w:bCs/>
          <w:i w:val="0"/>
          <w:iCs/>
        </w:rPr>
        <w:t>prior</w:t>
      </w:r>
      <w:r w:rsidR="007A7865" w:rsidRPr="00DF25D2">
        <w:rPr>
          <w:bCs/>
          <w:i w:val="0"/>
          <w:iCs/>
        </w:rPr>
        <w:t xml:space="preserve"> to th</w:t>
      </w:r>
      <w:r>
        <w:rPr>
          <w:bCs/>
          <w:i w:val="0"/>
          <w:iCs/>
        </w:rPr>
        <w:t>e</w:t>
      </w:r>
      <w:r w:rsidR="007A7865" w:rsidRPr="00DF25D2">
        <w:rPr>
          <w:bCs/>
          <w:i w:val="0"/>
          <w:iCs/>
        </w:rPr>
        <w:t xml:space="preserve"> point </w:t>
      </w:r>
      <w:r>
        <w:rPr>
          <w:bCs/>
          <w:i w:val="0"/>
          <w:iCs/>
        </w:rPr>
        <w:t xml:space="preserve">of withdrawal </w:t>
      </w:r>
      <w:r w:rsidR="007A7865" w:rsidRPr="00DF25D2">
        <w:rPr>
          <w:bCs/>
          <w:i w:val="0"/>
          <w:iCs/>
        </w:rPr>
        <w:t>can be used by the research team as originally described in the informed consent form.</w:t>
      </w:r>
    </w:p>
    <w:p w14:paraId="0EFC7FE4" w14:textId="48B700AB" w:rsidR="00DF25D2" w:rsidRPr="00414609" w:rsidRDefault="00DF25D2" w:rsidP="00DF25D2">
      <w:pPr>
        <w:pStyle w:val="Heading1"/>
        <w:rPr>
          <w:sz w:val="24"/>
        </w:rPr>
      </w:pPr>
      <w:bookmarkStart w:id="25" w:name="_Toc496162143"/>
      <w:r w:rsidRPr="00414609">
        <w:rPr>
          <w:sz w:val="24"/>
        </w:rPr>
        <w:t>Risks to Subjects</w:t>
      </w:r>
      <w:bookmarkEnd w:id="25"/>
    </w:p>
    <w:p w14:paraId="057A5C54" w14:textId="4234BF0F" w:rsidR="005918C0" w:rsidRPr="0016289C" w:rsidRDefault="005918C0" w:rsidP="005918C0">
      <w:pPr>
        <w:rPr>
          <w:rFonts w:ascii="Times New Roman" w:hAnsi="Times New Roman"/>
        </w:rPr>
      </w:pPr>
    </w:p>
    <w:p w14:paraId="195E0414" w14:textId="62A6610F" w:rsidR="005918C0" w:rsidRPr="0016289C" w:rsidRDefault="00475436" w:rsidP="005918C0">
      <w:pPr>
        <w:widowControl w:val="0"/>
        <w:spacing w:after="240"/>
        <w:jc w:val="both"/>
        <w:rPr>
          <w:rFonts w:ascii="Times New Roman" w:hAnsi="Times New Roman"/>
          <w:color w:val="000000"/>
        </w:rPr>
      </w:pPr>
      <w:r w:rsidRPr="00414609">
        <w:rPr>
          <w:rFonts w:ascii="Times New Roman" w:hAnsi="Times New Roman"/>
          <w:color w:val="000000" w:themeColor="text1"/>
          <w:u w:val="single"/>
        </w:rPr>
        <w:t xml:space="preserve">14.1 </w:t>
      </w:r>
      <w:r w:rsidR="005918C0" w:rsidRPr="00414609">
        <w:rPr>
          <w:rFonts w:ascii="Times New Roman" w:hAnsi="Times New Roman"/>
          <w:color w:val="000000" w:themeColor="text1"/>
          <w:u w:val="single"/>
        </w:rPr>
        <w:t>Potential risks</w:t>
      </w:r>
      <w:r w:rsidR="005918C0" w:rsidRPr="0016289C">
        <w:rPr>
          <w:rFonts w:ascii="Times New Roman" w:hAnsi="Times New Roman"/>
          <w:i/>
          <w:color w:val="000000" w:themeColor="text1"/>
        </w:rPr>
        <w:t xml:space="preserve">. </w:t>
      </w:r>
      <w:r w:rsidR="005918C0" w:rsidRPr="0016289C">
        <w:rPr>
          <w:rFonts w:ascii="Times New Roman" w:hAnsi="Times New Roman"/>
          <w:color w:val="000000" w:themeColor="text1"/>
        </w:rPr>
        <w:t xml:space="preserve">The trial may be associated with the following risks. Mechanisms to protect against these risks are specified below and will be detailed in the study consent document. </w:t>
      </w:r>
    </w:p>
    <w:p w14:paraId="6363E5F5" w14:textId="34D5E2C6" w:rsidR="00475436" w:rsidRPr="00E020FE" w:rsidRDefault="005918C0" w:rsidP="00D52C26">
      <w:pPr>
        <w:pStyle w:val="ListParagraph"/>
        <w:numPr>
          <w:ilvl w:val="0"/>
          <w:numId w:val="13"/>
        </w:numPr>
        <w:spacing w:after="240"/>
        <w:jc w:val="both"/>
        <w:rPr>
          <w:rFonts w:ascii="Times New Roman" w:hAnsi="Times New Roman"/>
          <w:color w:val="000000" w:themeColor="text1"/>
        </w:rPr>
      </w:pPr>
      <w:r w:rsidRPr="00475436">
        <w:rPr>
          <w:rFonts w:ascii="Times New Roman" w:hAnsi="Times New Roman"/>
          <w:color w:val="000000" w:themeColor="text1"/>
        </w:rPr>
        <w:t xml:space="preserve">Risk of not receiving EA therapy. As shown in our preliminary data, many or most ELBW infants currently receive EA after delivery.  </w:t>
      </w:r>
      <w:r w:rsidRPr="00475436">
        <w:rPr>
          <w:rFonts w:ascii="Times New Roman" w:hAnsi="Times New Roman"/>
          <w:b/>
          <w:color w:val="000000" w:themeColor="text1"/>
        </w:rPr>
        <w:t>We do not know if outcomes for these infants will be improved without antibiotics.  The study is designed to answer this question.</w:t>
      </w:r>
      <w:r w:rsidRPr="00475436">
        <w:rPr>
          <w:rFonts w:ascii="Times New Roman" w:hAnsi="Times New Roman"/>
          <w:color w:val="000000" w:themeColor="text1"/>
        </w:rPr>
        <w:t xml:space="preserve"> </w:t>
      </w:r>
      <w:r w:rsidRPr="00475436">
        <w:rPr>
          <w:rFonts w:ascii="Times New Roman" w:hAnsi="Times New Roman"/>
          <w:bCs/>
          <w:color w:val="000000" w:themeColor="text1"/>
        </w:rPr>
        <w:t>As with any placebo</w:t>
      </w:r>
      <w:r w:rsidR="00E2000E">
        <w:rPr>
          <w:rFonts w:ascii="Times New Roman" w:hAnsi="Times New Roman"/>
          <w:bCs/>
          <w:color w:val="000000" w:themeColor="text1"/>
        </w:rPr>
        <w:t xml:space="preserve"> </w:t>
      </w:r>
      <w:r w:rsidRPr="00475436">
        <w:rPr>
          <w:rFonts w:ascii="Times New Roman" w:hAnsi="Times New Roman"/>
          <w:bCs/>
          <w:color w:val="000000" w:themeColor="text1"/>
        </w:rPr>
        <w:t>controlled trial, it is possible</w:t>
      </w:r>
      <w:r w:rsidRPr="00475436">
        <w:rPr>
          <w:rFonts w:ascii="Times New Roman" w:hAnsi="Times New Roman"/>
          <w:color w:val="000000"/>
          <w:shd w:val="clear" w:color="auto" w:fill="FFFFFF"/>
        </w:rPr>
        <w:t xml:space="preserve"> that participants will be </w:t>
      </w:r>
      <w:r w:rsidRPr="00475436">
        <w:rPr>
          <w:rFonts w:ascii="Times New Roman" w:hAnsi="Times New Roman"/>
          <w:iCs/>
          <w:color w:val="000000"/>
        </w:rPr>
        <w:t>harmed </w:t>
      </w:r>
      <w:r w:rsidRPr="00475436">
        <w:rPr>
          <w:rFonts w:ascii="Times New Roman" w:hAnsi="Times New Roman"/>
          <w:color w:val="000000"/>
          <w:shd w:val="clear" w:color="auto" w:fill="FFFFFF"/>
        </w:rPr>
        <w:t xml:space="preserve">by receiving placebo instead of receiving active treatment. In this trial, the use of a placebo is in accordance with the Declaration of Helsinki since the efficacy and safety of EA therapy have not been clearly established. </w:t>
      </w:r>
      <w:r w:rsidRPr="00475436">
        <w:rPr>
          <w:rFonts w:ascii="Times New Roman" w:hAnsi="Times New Roman"/>
          <w:color w:val="000000" w:themeColor="text1"/>
        </w:rPr>
        <w:t xml:space="preserve">Because the study targets infants that are not critically ill, we believe that the risk of withholding antibiotic therapy is low. </w:t>
      </w:r>
      <w:r w:rsidRPr="00475436">
        <w:rPr>
          <w:rFonts w:ascii="Times New Roman" w:hAnsi="Times New Roman"/>
          <w:color w:val="000000"/>
          <w:shd w:val="clear" w:color="auto" w:fill="FFFFFF"/>
        </w:rPr>
        <w:t xml:space="preserve">Further, subjects receiving placebo will not be subject to additional risks of serious or irreversible harm as a result of receiving placebo rather than antibiotics, since </w:t>
      </w:r>
      <w:r w:rsidRPr="00475436">
        <w:rPr>
          <w:rFonts w:ascii="Times New Roman" w:hAnsi="Times New Roman"/>
        </w:rPr>
        <w:t xml:space="preserve">the trial will not hinder subjects from receiving any care or interventions necessary for their protection. Accordingly, both the plan for statistical analysis and the MOP anticipate and account for the small percentage of subjects that will be converted from EA to an extended, therapeutic course of antibiotics. </w:t>
      </w:r>
    </w:p>
    <w:p w14:paraId="2C2F517F" w14:textId="77777777" w:rsidR="00E020FE" w:rsidRPr="00376A83" w:rsidRDefault="00E020FE" w:rsidP="00E020FE">
      <w:pPr>
        <w:pStyle w:val="ListParagraph"/>
        <w:spacing w:after="240"/>
        <w:jc w:val="both"/>
        <w:rPr>
          <w:rFonts w:ascii="Times New Roman" w:hAnsi="Times New Roman"/>
          <w:color w:val="000000" w:themeColor="text1"/>
        </w:rPr>
      </w:pPr>
    </w:p>
    <w:p w14:paraId="2CCB22F9" w14:textId="7E7B75DF" w:rsidR="00376A83" w:rsidRDefault="00376A83" w:rsidP="00D52C26">
      <w:pPr>
        <w:pStyle w:val="ListParagraph"/>
        <w:numPr>
          <w:ilvl w:val="0"/>
          <w:numId w:val="13"/>
        </w:numPr>
        <w:spacing w:after="240"/>
        <w:jc w:val="both"/>
        <w:rPr>
          <w:rFonts w:ascii="Times New Roman" w:hAnsi="Times New Roman"/>
          <w:color w:val="000000" w:themeColor="text1"/>
        </w:rPr>
      </w:pPr>
      <w:r>
        <w:rPr>
          <w:rFonts w:ascii="Times New Roman" w:hAnsi="Times New Roman"/>
          <w:color w:val="000000" w:themeColor="text1"/>
        </w:rPr>
        <w:t xml:space="preserve">Risk of receiving EA therapy. </w:t>
      </w:r>
      <w:r w:rsidR="004852FB">
        <w:rPr>
          <w:rFonts w:ascii="Times New Roman" w:hAnsi="Times New Roman"/>
          <w:color w:val="000000" w:themeColor="text1"/>
        </w:rPr>
        <w:t>Studies suggest</w:t>
      </w:r>
      <w:r w:rsidR="00A92B87">
        <w:rPr>
          <w:rFonts w:ascii="Times New Roman" w:hAnsi="Times New Roman"/>
          <w:color w:val="000000" w:themeColor="text1"/>
        </w:rPr>
        <w:t xml:space="preserve"> that the following major medical problems </w:t>
      </w:r>
      <w:r w:rsidR="00A92B87" w:rsidRPr="00E51345">
        <w:rPr>
          <w:rFonts w:ascii="Times New Roman" w:hAnsi="Times New Roman"/>
          <w:color w:val="000000" w:themeColor="text1"/>
          <w:u w:val="single"/>
        </w:rPr>
        <w:t>may</w:t>
      </w:r>
      <w:r w:rsidR="00A92B87">
        <w:rPr>
          <w:rFonts w:ascii="Times New Roman" w:hAnsi="Times New Roman"/>
          <w:color w:val="000000" w:themeColor="text1"/>
        </w:rPr>
        <w:t xml:space="preserve"> be </w:t>
      </w:r>
      <w:r w:rsidR="00846D72">
        <w:rPr>
          <w:rFonts w:ascii="Times New Roman" w:hAnsi="Times New Roman"/>
          <w:color w:val="000000" w:themeColor="text1"/>
        </w:rPr>
        <w:t>significantly</w:t>
      </w:r>
      <w:r w:rsidR="00A92B87">
        <w:rPr>
          <w:rFonts w:ascii="Times New Roman" w:hAnsi="Times New Roman"/>
          <w:color w:val="000000" w:themeColor="text1"/>
        </w:rPr>
        <w:t xml:space="preserve"> more</w:t>
      </w:r>
      <w:r w:rsidR="0031467C">
        <w:rPr>
          <w:rFonts w:ascii="Times New Roman" w:hAnsi="Times New Roman"/>
          <w:color w:val="000000" w:themeColor="text1"/>
        </w:rPr>
        <w:t xml:space="preserve"> likely</w:t>
      </w:r>
      <w:r w:rsidR="008A3E22">
        <w:rPr>
          <w:rFonts w:ascii="Times New Roman" w:hAnsi="Times New Roman"/>
          <w:color w:val="000000" w:themeColor="text1"/>
        </w:rPr>
        <w:t xml:space="preserve"> in premature infants that receive antibiotics at birth when they do not demonstrate signs of a blood stream infection: </w:t>
      </w:r>
      <w:r w:rsidR="000D654A">
        <w:rPr>
          <w:rFonts w:ascii="Times New Roman" w:hAnsi="Times New Roman"/>
          <w:color w:val="000000" w:themeColor="text1"/>
        </w:rPr>
        <w:t>blood stream infections after 3 days of life, side effects from the antibiotics that include; skin rashes, hives, mild gastrointestinal upset with changes in stool, temporary changes in kidney function and rarely hearing loss</w:t>
      </w:r>
      <w:r w:rsidR="00E51345">
        <w:rPr>
          <w:rFonts w:ascii="Times New Roman" w:hAnsi="Times New Roman"/>
          <w:color w:val="000000" w:themeColor="text1"/>
        </w:rPr>
        <w:t xml:space="preserve">, severe intestinal problems (i.e. Necrotizing enterocolitis), serious long-term breathing problems, serious long-term eye problems and abnormal brain development. </w:t>
      </w:r>
      <w:r w:rsidR="00E3264F">
        <w:rPr>
          <w:rFonts w:ascii="Times New Roman" w:hAnsi="Times New Roman"/>
          <w:color w:val="000000" w:themeColor="text1"/>
        </w:rPr>
        <w:t xml:space="preserve">These side effects are usually seen </w:t>
      </w:r>
      <w:r w:rsidR="002D1632">
        <w:rPr>
          <w:rFonts w:ascii="Times New Roman" w:hAnsi="Times New Roman"/>
          <w:color w:val="000000" w:themeColor="text1"/>
        </w:rPr>
        <w:t xml:space="preserve">when high </w:t>
      </w:r>
      <w:r w:rsidR="00DB5B28">
        <w:rPr>
          <w:rFonts w:ascii="Times New Roman" w:hAnsi="Times New Roman"/>
          <w:color w:val="000000" w:themeColor="text1"/>
        </w:rPr>
        <w:t xml:space="preserve">doses of the antibiotics have been ordered or the drugs were given for an extended period of time. </w:t>
      </w:r>
    </w:p>
    <w:p w14:paraId="78E3EEC1" w14:textId="77777777" w:rsidR="00414609" w:rsidRDefault="00414609" w:rsidP="00414609">
      <w:pPr>
        <w:pStyle w:val="ListParagraph"/>
        <w:spacing w:after="240"/>
        <w:jc w:val="both"/>
        <w:rPr>
          <w:rFonts w:ascii="Times New Roman" w:hAnsi="Times New Roman"/>
          <w:color w:val="000000" w:themeColor="text1"/>
        </w:rPr>
      </w:pPr>
    </w:p>
    <w:p w14:paraId="6E6E632F" w14:textId="5F824C77" w:rsidR="00475436" w:rsidRDefault="005918C0" w:rsidP="00D52C26">
      <w:pPr>
        <w:pStyle w:val="ListParagraph"/>
        <w:numPr>
          <w:ilvl w:val="0"/>
          <w:numId w:val="13"/>
        </w:numPr>
        <w:spacing w:after="240"/>
        <w:jc w:val="both"/>
        <w:rPr>
          <w:rFonts w:ascii="Times New Roman" w:hAnsi="Times New Roman"/>
          <w:color w:val="000000" w:themeColor="text1"/>
        </w:rPr>
      </w:pPr>
      <w:r w:rsidRPr="00475436">
        <w:rPr>
          <w:rFonts w:ascii="Times New Roman" w:hAnsi="Times New Roman"/>
          <w:color w:val="000000" w:themeColor="text1"/>
        </w:rPr>
        <w:t>Risk from collection of fecal samples and vaginal</w:t>
      </w:r>
      <w:r w:rsidR="006E5CBF">
        <w:rPr>
          <w:rFonts w:ascii="Times New Roman" w:hAnsi="Times New Roman"/>
          <w:color w:val="000000" w:themeColor="text1"/>
        </w:rPr>
        <w:t xml:space="preserve"> and rectal</w:t>
      </w:r>
      <w:r w:rsidRPr="00475436">
        <w:rPr>
          <w:rFonts w:ascii="Times New Roman" w:hAnsi="Times New Roman"/>
          <w:color w:val="000000" w:themeColor="text1"/>
        </w:rPr>
        <w:t xml:space="preserve"> swabs. </w:t>
      </w:r>
      <w:r w:rsidR="009357A6" w:rsidRPr="00475436">
        <w:rPr>
          <w:rFonts w:ascii="Times New Roman" w:hAnsi="Times New Roman"/>
          <w:color w:val="000000" w:themeColor="text1"/>
        </w:rPr>
        <w:t xml:space="preserve">Infant stool samples will be collected by the bedside nurse from spontaneously expelled feces discovered in infant diapers. Maternal fecal samples will be self-collected. Maternal </w:t>
      </w:r>
      <w:r w:rsidR="009357A6" w:rsidRPr="00475436">
        <w:rPr>
          <w:rFonts w:ascii="Times New Roman" w:hAnsi="Times New Roman"/>
          <w:color w:val="000000" w:themeColor="text1"/>
        </w:rPr>
        <w:lastRenderedPageBreak/>
        <w:t>vaginal</w:t>
      </w:r>
      <w:r w:rsidR="0010438E">
        <w:rPr>
          <w:rFonts w:ascii="Times New Roman" w:hAnsi="Times New Roman"/>
          <w:color w:val="000000" w:themeColor="text1"/>
        </w:rPr>
        <w:t xml:space="preserve"> and rectal</w:t>
      </w:r>
      <w:r w:rsidR="009357A6" w:rsidRPr="00475436">
        <w:rPr>
          <w:rFonts w:ascii="Times New Roman" w:hAnsi="Times New Roman"/>
          <w:color w:val="000000" w:themeColor="text1"/>
        </w:rPr>
        <w:t xml:space="preserve"> swabs will be collected by obstetricians during delivery. </w:t>
      </w:r>
      <w:r w:rsidRPr="00475436">
        <w:rPr>
          <w:rFonts w:ascii="Times New Roman" w:hAnsi="Times New Roman"/>
          <w:color w:val="000000" w:themeColor="text1"/>
        </w:rPr>
        <w:t xml:space="preserve">There are no known risks to infants or their mothers associated with these collections. </w:t>
      </w:r>
    </w:p>
    <w:p w14:paraId="696D229E" w14:textId="77777777" w:rsidR="00AA79F4" w:rsidRPr="00AA79F4" w:rsidRDefault="00AA79F4" w:rsidP="00AA79F4">
      <w:pPr>
        <w:pStyle w:val="ListParagraph"/>
        <w:rPr>
          <w:rFonts w:ascii="Times New Roman" w:hAnsi="Times New Roman"/>
          <w:color w:val="000000" w:themeColor="text1"/>
        </w:rPr>
      </w:pPr>
    </w:p>
    <w:p w14:paraId="6030A67E" w14:textId="3AD53FC4" w:rsidR="00745E8F" w:rsidRPr="00346DFC" w:rsidRDefault="00AA79F4" w:rsidP="00346DFC">
      <w:pPr>
        <w:pStyle w:val="ListParagraph"/>
        <w:numPr>
          <w:ilvl w:val="0"/>
          <w:numId w:val="13"/>
        </w:numPr>
        <w:spacing w:after="240"/>
        <w:jc w:val="both"/>
        <w:rPr>
          <w:rFonts w:ascii="Times New Roman" w:hAnsi="Times New Roman"/>
          <w:color w:val="000000" w:themeColor="text1"/>
        </w:rPr>
      </w:pPr>
      <w:r>
        <w:rPr>
          <w:rFonts w:ascii="Times New Roman" w:hAnsi="Times New Roman"/>
          <w:color w:val="000000" w:themeColor="text1"/>
        </w:rPr>
        <w:t>Risk fro</w:t>
      </w:r>
      <w:r w:rsidRPr="003A453F">
        <w:rPr>
          <w:rFonts w:ascii="Times New Roman" w:hAnsi="Times New Roman"/>
          <w:color w:val="000000" w:themeColor="text1"/>
        </w:rPr>
        <w:t>m collection of blood samples.</w:t>
      </w:r>
      <w:r>
        <w:rPr>
          <w:rFonts w:ascii="Times New Roman" w:hAnsi="Times New Roman"/>
          <w:color w:val="000000" w:themeColor="text1"/>
        </w:rPr>
        <w:t xml:space="preserve"> </w:t>
      </w:r>
      <w:r w:rsidR="00745E8F" w:rsidRPr="00745E8F">
        <w:rPr>
          <w:rFonts w:ascii="Times New Roman" w:hAnsi="Times New Roman"/>
          <w:color w:val="000000" w:themeColor="text1"/>
        </w:rPr>
        <w:t xml:space="preserve">If </w:t>
      </w:r>
      <w:proofErr w:type="spellStart"/>
      <w:r w:rsidR="00745E8F" w:rsidRPr="00745E8F">
        <w:rPr>
          <w:rFonts w:ascii="Times New Roman" w:hAnsi="Times New Roman"/>
          <w:color w:val="000000" w:themeColor="text1"/>
        </w:rPr>
        <w:t>heel</w:t>
      </w:r>
      <w:proofErr w:type="spellEnd"/>
      <w:r w:rsidR="0065676D">
        <w:rPr>
          <w:rFonts w:ascii="Times New Roman" w:hAnsi="Times New Roman"/>
          <w:color w:val="000000" w:themeColor="text1"/>
        </w:rPr>
        <w:t xml:space="preserve"> </w:t>
      </w:r>
      <w:r w:rsidR="00745E8F" w:rsidRPr="00745E8F">
        <w:rPr>
          <w:rFonts w:ascii="Times New Roman" w:hAnsi="Times New Roman"/>
          <w:color w:val="000000" w:themeColor="text1"/>
        </w:rPr>
        <w:t xml:space="preserve">stick, then the added blood draw may very slightly increase the risk of bruising due to the addition time of squeezing the heel and sometimes even needing a second </w:t>
      </w:r>
      <w:r w:rsidR="00745E8F">
        <w:rPr>
          <w:rFonts w:ascii="Times New Roman" w:hAnsi="Times New Roman"/>
          <w:color w:val="000000" w:themeColor="text1"/>
        </w:rPr>
        <w:t>“</w:t>
      </w:r>
      <w:r w:rsidR="00745E8F" w:rsidRPr="00745E8F">
        <w:rPr>
          <w:rFonts w:ascii="Times New Roman" w:hAnsi="Times New Roman"/>
          <w:color w:val="000000" w:themeColor="text1"/>
        </w:rPr>
        <w:t>prick”.  If by venipuncture or through a line, then the risk is negligible since the risks are already assumed by the clinical lab draw.</w:t>
      </w:r>
    </w:p>
    <w:p w14:paraId="325E214F" w14:textId="77777777" w:rsidR="00745E8F" w:rsidRPr="00745E8F" w:rsidRDefault="00745E8F" w:rsidP="00745E8F">
      <w:pPr>
        <w:pStyle w:val="ListParagraph"/>
        <w:spacing w:after="240"/>
        <w:jc w:val="both"/>
        <w:rPr>
          <w:rFonts w:ascii="Times New Roman" w:hAnsi="Times New Roman"/>
          <w:color w:val="000000" w:themeColor="text1"/>
        </w:rPr>
      </w:pPr>
    </w:p>
    <w:p w14:paraId="4901AB1E" w14:textId="0CE5CC1D" w:rsidR="00B433C7" w:rsidRPr="008443CE" w:rsidRDefault="005918C0" w:rsidP="00117BEE">
      <w:pPr>
        <w:pStyle w:val="ListParagraph"/>
        <w:numPr>
          <w:ilvl w:val="0"/>
          <w:numId w:val="13"/>
        </w:numPr>
        <w:spacing w:after="240"/>
        <w:jc w:val="both"/>
        <w:rPr>
          <w:rFonts w:ascii="Times New Roman" w:hAnsi="Times New Roman"/>
          <w:color w:val="000000" w:themeColor="text1"/>
        </w:rPr>
      </w:pPr>
      <w:r w:rsidRPr="00475436">
        <w:rPr>
          <w:rFonts w:ascii="Times New Roman" w:hAnsi="Times New Roman"/>
          <w:color w:val="000000" w:themeColor="text1"/>
        </w:rPr>
        <w:t xml:space="preserve">Risk of loss of confidentiality. There is a risk of breach of confidentiality related to the demographic and clinical data that has been recorded. </w:t>
      </w:r>
      <w:r w:rsidR="00860FD9">
        <w:rPr>
          <w:rFonts w:ascii="Times New Roman" w:hAnsi="Times New Roman"/>
          <w:color w:val="000000" w:themeColor="text1"/>
        </w:rPr>
        <w:t xml:space="preserve">In order to minimize this risk, </w:t>
      </w:r>
      <w:r w:rsidR="001A590A">
        <w:rPr>
          <w:rFonts w:ascii="Times New Roman" w:hAnsi="Times New Roman"/>
          <w:color w:val="000000" w:themeColor="text1"/>
        </w:rPr>
        <w:t xml:space="preserve">all records pertaining to subject identifiable data will be stored in </w:t>
      </w:r>
      <w:r w:rsidR="00971EB0">
        <w:rPr>
          <w:rFonts w:ascii="Times New Roman" w:hAnsi="Times New Roman"/>
          <w:color w:val="000000" w:themeColor="text1"/>
        </w:rPr>
        <w:t xml:space="preserve">a locked file cabinet in the office of research staff and/or on password-protected </w:t>
      </w:r>
      <w:r w:rsidR="000D54D8">
        <w:rPr>
          <w:rFonts w:ascii="Times New Roman" w:hAnsi="Times New Roman"/>
          <w:color w:val="000000" w:themeColor="text1"/>
        </w:rPr>
        <w:t xml:space="preserve">computers behind a firewall. </w:t>
      </w:r>
      <w:r w:rsidR="00245FA7">
        <w:rPr>
          <w:rFonts w:ascii="Times New Roman" w:hAnsi="Times New Roman"/>
          <w:color w:val="000000" w:themeColor="text1"/>
        </w:rPr>
        <w:t xml:space="preserve">All study personnel who have contact with potential participants or data will have completed a course on human </w:t>
      </w:r>
      <w:r w:rsidR="00AB4312">
        <w:rPr>
          <w:rFonts w:ascii="Times New Roman" w:hAnsi="Times New Roman"/>
          <w:color w:val="000000" w:themeColor="text1"/>
        </w:rPr>
        <w:t>subjects’</w:t>
      </w:r>
      <w:r w:rsidR="00245FA7">
        <w:rPr>
          <w:rFonts w:ascii="Times New Roman" w:hAnsi="Times New Roman"/>
          <w:color w:val="000000" w:themeColor="text1"/>
        </w:rPr>
        <w:t xml:space="preserve"> protection that covers the importance of maintaining confidentiality. </w:t>
      </w:r>
      <w:r w:rsidR="00AB4312">
        <w:rPr>
          <w:rFonts w:ascii="Times New Roman" w:hAnsi="Times New Roman"/>
          <w:color w:val="000000" w:themeColor="text1"/>
        </w:rPr>
        <w:t xml:space="preserve">The PHI information collected </w:t>
      </w:r>
      <w:r w:rsidR="00290D49">
        <w:rPr>
          <w:rFonts w:ascii="Times New Roman" w:hAnsi="Times New Roman"/>
          <w:color w:val="000000" w:themeColor="text1"/>
        </w:rPr>
        <w:t xml:space="preserve">for the purposes of this research study will be assigned a research study code and any personal identifiers will be removed from this information. Personal identifiers will not be attached to research data. All subject information will be handled in compliance with HIPAA. </w:t>
      </w:r>
    </w:p>
    <w:p w14:paraId="6DEF9350" w14:textId="0C699AAD" w:rsidR="00C20074" w:rsidRDefault="00C336D4" w:rsidP="00414609">
      <w:pPr>
        <w:pStyle w:val="Heading1"/>
        <w:rPr>
          <w:sz w:val="24"/>
          <w:szCs w:val="24"/>
        </w:rPr>
      </w:pPr>
      <w:bookmarkStart w:id="26" w:name="_Toc496162144"/>
      <w:r w:rsidRPr="0016289C">
        <w:rPr>
          <w:sz w:val="24"/>
          <w:szCs w:val="24"/>
        </w:rPr>
        <w:t>Potential Benefits to Subjects</w:t>
      </w:r>
      <w:bookmarkStart w:id="27" w:name="_Toc496162145"/>
      <w:bookmarkEnd w:id="26"/>
    </w:p>
    <w:p w14:paraId="70008406" w14:textId="77777777" w:rsidR="00414609" w:rsidRPr="00414609" w:rsidRDefault="00414609" w:rsidP="00414609"/>
    <w:p w14:paraId="692E91A6" w14:textId="785EF525" w:rsidR="00993062" w:rsidRPr="0016289C" w:rsidRDefault="00993062" w:rsidP="00993062">
      <w:pPr>
        <w:spacing w:after="240"/>
        <w:jc w:val="both"/>
        <w:rPr>
          <w:rFonts w:ascii="Times New Roman" w:hAnsi="Times New Roman"/>
          <w:color w:val="000000" w:themeColor="text1"/>
        </w:rPr>
      </w:pPr>
      <w:r w:rsidRPr="0016289C">
        <w:rPr>
          <w:rFonts w:ascii="Times New Roman" w:hAnsi="Times New Roman"/>
          <w:color w:val="000000" w:themeColor="text1"/>
        </w:rPr>
        <w:t>Both the published literature and our preliminary data suggest that infants randomized to the placebo may enjoy improved health outcomes relative to infants that receive empiric antibiotics. These possible benefits include but are not limited to: 1) decreased incidence of NEC, LOS, and death, 2) improved postnatal growth, and 3) decreased incidence of common morbidities among preterm infants, e.g. retinopathy. We therefore believe it is plausible that the benefits of study participation will outweigh the risks of study participation.</w:t>
      </w:r>
    </w:p>
    <w:bookmarkEnd w:id="27"/>
    <w:p w14:paraId="79CBEEE2" w14:textId="523ECC70" w:rsidR="00DF25D2" w:rsidRPr="000A1876" w:rsidRDefault="00DF25D2" w:rsidP="00DF25D2">
      <w:pPr>
        <w:pStyle w:val="Heading1"/>
        <w:rPr>
          <w:sz w:val="24"/>
        </w:rPr>
      </w:pPr>
      <w:r w:rsidRPr="000A1876">
        <w:rPr>
          <w:sz w:val="24"/>
        </w:rPr>
        <w:t>Data Management and Confidentiality</w:t>
      </w:r>
    </w:p>
    <w:p w14:paraId="38B01F7F" w14:textId="77777777" w:rsidR="00C20074" w:rsidRDefault="00C20074" w:rsidP="00C20074">
      <w:pPr>
        <w:pStyle w:val="Heading1"/>
        <w:numPr>
          <w:ilvl w:val="0"/>
          <w:numId w:val="0"/>
        </w:numPr>
        <w:rPr>
          <w:b w:val="0"/>
          <w:bCs/>
          <w:sz w:val="24"/>
          <w:szCs w:val="24"/>
        </w:rPr>
      </w:pPr>
    </w:p>
    <w:p w14:paraId="2DE4AD55" w14:textId="4E35C4BF" w:rsidR="00A07D41" w:rsidRDefault="00A07D41" w:rsidP="00C20074">
      <w:pPr>
        <w:pStyle w:val="Heading1"/>
        <w:numPr>
          <w:ilvl w:val="0"/>
          <w:numId w:val="0"/>
        </w:numPr>
        <w:rPr>
          <w:rFonts w:eastAsiaTheme="minorEastAsia"/>
          <w:b w:val="0"/>
          <w:bCs/>
          <w:sz w:val="24"/>
          <w:szCs w:val="24"/>
          <w:lang w:eastAsia="zh-CN"/>
        </w:rPr>
      </w:pPr>
      <w:r w:rsidRPr="00A07D41">
        <w:rPr>
          <w:b w:val="0"/>
          <w:bCs/>
          <w:sz w:val="24"/>
          <w:szCs w:val="24"/>
        </w:rPr>
        <w:t xml:space="preserve">The hypothesis of the primary outcome is that the incidence of composite adverse events (NEC, LOS, or death) </w:t>
      </w:r>
      <w:r w:rsidRPr="00A07D41">
        <w:rPr>
          <w:rFonts w:eastAsiaTheme="minorEastAsia"/>
          <w:b w:val="0"/>
          <w:bCs/>
          <w:sz w:val="24"/>
          <w:szCs w:val="24"/>
          <w:lang w:eastAsia="zh-CN"/>
        </w:rPr>
        <w:t xml:space="preserve">is significantly different in </w:t>
      </w:r>
      <w:r w:rsidR="00467E85">
        <w:rPr>
          <w:rFonts w:eastAsiaTheme="minorEastAsia"/>
          <w:b w:val="0"/>
          <w:bCs/>
          <w:sz w:val="24"/>
          <w:szCs w:val="24"/>
          <w:lang w:eastAsia="zh-CN"/>
        </w:rPr>
        <w:t>E</w:t>
      </w:r>
      <w:r w:rsidRPr="00A07D41">
        <w:rPr>
          <w:rFonts w:eastAsiaTheme="minorEastAsia"/>
          <w:b w:val="0"/>
          <w:bCs/>
          <w:sz w:val="24"/>
          <w:szCs w:val="24"/>
          <w:lang w:eastAsia="zh-CN"/>
        </w:rPr>
        <w:t>LBW infants receiving EA and infants receiving placebo. Based on 1,000,000 simulations for the group-sequential test for comparing two proportions and O’Brien-Fleming alpha spending method for two interim analyses, we need</w:t>
      </w:r>
      <w:r w:rsidRPr="00A07D41">
        <w:rPr>
          <w:b w:val="0"/>
          <w:bCs/>
          <w:sz w:val="24"/>
          <w:szCs w:val="24"/>
        </w:rPr>
        <w:t xml:space="preserve"> 382 infants in each arm to reach 90% power to test the hypothesis of the primary outcome using a two-sided significance </w:t>
      </w:r>
      <w:r w:rsidRPr="00A07D41">
        <w:rPr>
          <w:rFonts w:eastAsiaTheme="minorEastAsia"/>
          <w:b w:val="0"/>
          <w:bCs/>
          <w:sz w:val="24"/>
          <w:szCs w:val="24"/>
          <w:lang w:eastAsia="zh-CN"/>
        </w:rPr>
        <w:t xml:space="preserve">level of 0.05. </w:t>
      </w:r>
      <w:r w:rsidRPr="00A07D41">
        <w:rPr>
          <w:rFonts w:eastAsia="Calibri"/>
          <w:b w:val="0"/>
          <w:bCs/>
          <w:sz w:val="24"/>
          <w:szCs w:val="24"/>
        </w:rPr>
        <w:t xml:space="preserve">We base our event rates for the standard of care (i.e. infants receiving EA) on published literature regarding risk of adverse events with each day of antibiotics, on recent data from the Vermont Oxford Network </w:t>
      </w:r>
      <w:r w:rsidRPr="00A07D41">
        <w:rPr>
          <w:rFonts w:eastAsia="Calibri"/>
          <w:b w:val="0"/>
          <w:bCs/>
          <w:sz w:val="24"/>
          <w:szCs w:val="24"/>
        </w:rPr>
        <w:fldChar w:fldCharType="begin"/>
      </w:r>
      <w:r w:rsidRPr="00A07D41">
        <w:rPr>
          <w:rFonts w:eastAsia="Calibri"/>
          <w:b w:val="0"/>
          <w:bCs/>
          <w:sz w:val="24"/>
          <w:szCs w:val="24"/>
        </w:rPr>
        <w:instrText xml:space="preserve"> ADDIN ZOTERO_ITEM CSL_CITATION {"citationID":"5sfZHQO3","properties":{"formattedCitation":"\\super 51\\nosupersub{}","plainCitation":"51","noteIndex":0},"citationItems":[{"id":5482,"uris":["http://zotero.org/users/1744593/items/MZSAEF6T"],"uri":["http://zotero.org/users/1744593/items/MZSAEF6T"],"itemData":{"id":5482,"type":"webpage","title":"About Us","URL":"https://public.vtoxford.org/about-us/","accessed":{"date-parts":[["2018",2,3]]}}}],"schema":"https://github.com/citation-style-language/schema/raw/master/csl-citation.json"} </w:instrText>
      </w:r>
      <w:r w:rsidRPr="00A07D41">
        <w:rPr>
          <w:rFonts w:eastAsia="Calibri"/>
          <w:b w:val="0"/>
          <w:bCs/>
          <w:sz w:val="24"/>
          <w:szCs w:val="24"/>
        </w:rPr>
        <w:fldChar w:fldCharType="separate"/>
      </w:r>
      <w:r w:rsidRPr="00A07D41">
        <w:rPr>
          <w:b w:val="0"/>
          <w:bCs/>
          <w:color w:val="000000"/>
          <w:sz w:val="24"/>
          <w:szCs w:val="24"/>
          <w:vertAlign w:val="superscript"/>
        </w:rPr>
        <w:t>51</w:t>
      </w:r>
      <w:r w:rsidRPr="00A07D41">
        <w:rPr>
          <w:rFonts w:eastAsia="Calibri"/>
          <w:b w:val="0"/>
          <w:bCs/>
          <w:sz w:val="24"/>
          <w:szCs w:val="24"/>
        </w:rPr>
        <w:fldChar w:fldCharType="end"/>
      </w:r>
      <w:r w:rsidRPr="00A07D41">
        <w:rPr>
          <w:rFonts w:eastAsia="Calibri"/>
          <w:b w:val="0"/>
          <w:bCs/>
          <w:sz w:val="24"/>
          <w:szCs w:val="24"/>
        </w:rPr>
        <w:t xml:space="preserve">, and upon data from the </w:t>
      </w:r>
      <w:proofErr w:type="spellStart"/>
      <w:r w:rsidRPr="00A07D41">
        <w:rPr>
          <w:rFonts w:eastAsia="Calibri"/>
          <w:b w:val="0"/>
          <w:bCs/>
          <w:sz w:val="24"/>
          <w:szCs w:val="24"/>
        </w:rPr>
        <w:t>Pediatrix</w:t>
      </w:r>
      <w:proofErr w:type="spellEnd"/>
      <w:r w:rsidRPr="00A07D41">
        <w:rPr>
          <w:rFonts w:eastAsia="Calibri"/>
          <w:b w:val="0"/>
          <w:bCs/>
          <w:sz w:val="24"/>
          <w:szCs w:val="24"/>
        </w:rPr>
        <w:t xml:space="preserve"> CDW</w:t>
      </w:r>
      <w:r w:rsidRPr="00A07D41">
        <w:rPr>
          <w:b w:val="0"/>
          <w:bCs/>
          <w:sz w:val="24"/>
          <w:szCs w:val="24"/>
        </w:rPr>
        <w:t xml:space="preserve">. </w:t>
      </w:r>
      <w:r w:rsidRPr="00A07D41">
        <w:rPr>
          <w:rFonts w:eastAsiaTheme="minorEastAsia"/>
          <w:b w:val="0"/>
          <w:bCs/>
          <w:sz w:val="24"/>
          <w:szCs w:val="24"/>
          <w:lang w:eastAsia="zh-CN"/>
        </w:rPr>
        <w:t xml:space="preserve">We used 13.5% and 22% for the placebo and EA groups, respectively in the sample size calculations. The effect size (odds ratio 1.35 </w:t>
      </w:r>
      <w:r w:rsidRPr="00A07D41">
        <w:rPr>
          <w:rFonts w:eastAsiaTheme="minorEastAsia"/>
          <w:b w:val="0"/>
          <w:bCs/>
          <w:i/>
          <w:sz w:val="24"/>
          <w:szCs w:val="24"/>
          <w:lang w:eastAsia="zh-CN"/>
        </w:rPr>
        <w:t xml:space="preserve">per day of </w:t>
      </w:r>
      <w:r w:rsidRPr="00A07D41">
        <w:rPr>
          <w:rFonts w:eastAsiaTheme="minorEastAsia"/>
          <w:b w:val="0"/>
          <w:bCs/>
          <w:sz w:val="24"/>
          <w:szCs w:val="24"/>
          <w:lang w:eastAsia="zh-CN"/>
        </w:rPr>
        <w:t xml:space="preserve">EA) is based on the scant literature available to assess the risk-benefit ratio of EA. Another assumption made in the calculation includes intraclass correlation (ICC) of 0.01. Based on </w:t>
      </w:r>
      <w:r>
        <w:rPr>
          <w:rFonts w:eastAsiaTheme="minorEastAsia"/>
          <w:b w:val="0"/>
          <w:bCs/>
          <w:sz w:val="24"/>
          <w:szCs w:val="24"/>
          <w:lang w:eastAsia="zh-CN"/>
        </w:rPr>
        <w:t xml:space="preserve">in-house </w:t>
      </w:r>
      <w:r w:rsidRPr="00A07D41">
        <w:rPr>
          <w:rFonts w:eastAsiaTheme="minorEastAsia"/>
          <w:b w:val="0"/>
          <w:bCs/>
          <w:sz w:val="24"/>
          <w:szCs w:val="24"/>
          <w:lang w:eastAsia="zh-CN"/>
        </w:rPr>
        <w:t>data for babies born at Magee-</w:t>
      </w:r>
      <w:proofErr w:type="spellStart"/>
      <w:r w:rsidRPr="00A07D41">
        <w:rPr>
          <w:rFonts w:eastAsiaTheme="minorEastAsia"/>
          <w:b w:val="0"/>
          <w:bCs/>
          <w:sz w:val="24"/>
          <w:szCs w:val="24"/>
          <w:lang w:eastAsia="zh-CN"/>
        </w:rPr>
        <w:t>Womens</w:t>
      </w:r>
      <w:proofErr w:type="spellEnd"/>
      <w:r w:rsidRPr="00A07D41">
        <w:rPr>
          <w:rFonts w:eastAsiaTheme="minorEastAsia"/>
          <w:b w:val="0"/>
          <w:bCs/>
          <w:sz w:val="24"/>
          <w:szCs w:val="24"/>
          <w:lang w:eastAsia="zh-CN"/>
        </w:rPr>
        <w:t xml:space="preserve"> Hospital in the past 4 years, we estimate that 20 out of 100 infants will be twins or </w:t>
      </w:r>
      <w:r w:rsidRPr="00A07D41">
        <w:rPr>
          <w:rFonts w:eastAsiaTheme="minorEastAsia"/>
          <w:b w:val="0"/>
          <w:bCs/>
          <w:sz w:val="24"/>
          <w:szCs w:val="24"/>
          <w:lang w:eastAsia="zh-CN"/>
        </w:rPr>
        <w:lastRenderedPageBreak/>
        <w:t>triplets. Anticipating a 5% attrition rate, we will recruit 802 infants (from ~670 families; 401 infants in each arm) to reach at least 90% power.</w:t>
      </w:r>
    </w:p>
    <w:p w14:paraId="234F4594" w14:textId="77777777" w:rsidR="00CA7DB3" w:rsidRPr="00CA7DB3" w:rsidRDefault="00CA7DB3" w:rsidP="00CA7DB3">
      <w:pPr>
        <w:rPr>
          <w:rFonts w:eastAsiaTheme="minorEastAsia"/>
          <w:lang w:eastAsia="zh-CN"/>
        </w:rPr>
      </w:pPr>
    </w:p>
    <w:p w14:paraId="47C9FECE" w14:textId="38B9E29F" w:rsidR="00A07D41" w:rsidRDefault="00A07D41" w:rsidP="00A07D41">
      <w:pPr>
        <w:snapToGrid w:val="0"/>
        <w:jc w:val="both"/>
        <w:rPr>
          <w:rFonts w:ascii="Times New Roman" w:eastAsia="Calibri" w:hAnsi="Times New Roman"/>
        </w:rPr>
      </w:pPr>
      <w:r w:rsidRPr="0016289C">
        <w:rPr>
          <w:rFonts w:ascii="Times New Roman" w:hAnsi="Times New Roman"/>
          <w:color w:val="000000" w:themeColor="text1"/>
        </w:rPr>
        <w:t>Given recent admission numbers and anticipated moderate growth at NANO study sites</w:t>
      </w:r>
      <w:r w:rsidR="00CA7DB3">
        <w:rPr>
          <w:rFonts w:ascii="Times New Roman" w:hAnsi="Times New Roman"/>
          <w:color w:val="000000" w:themeColor="text1"/>
        </w:rPr>
        <w:t>,</w:t>
      </w:r>
      <w:r w:rsidRPr="0016289C">
        <w:rPr>
          <w:rFonts w:ascii="Times New Roman" w:hAnsi="Times New Roman"/>
          <w:color w:val="000000" w:themeColor="text1"/>
        </w:rPr>
        <w:t xml:space="preserve"> we estimate that the 7 sites will admit 2700 infants ≤28 weeks GA over a 4-year period, allowing 6 months for trial rollout and 3-6 months in Year 5 for final analyses and preparation of manuscripts. </w:t>
      </w:r>
      <w:r>
        <w:rPr>
          <w:rFonts w:ascii="Times New Roman" w:hAnsi="Times New Roman"/>
          <w:color w:val="000000" w:themeColor="text1"/>
        </w:rPr>
        <w:t>We</w:t>
      </w:r>
      <w:r w:rsidRPr="0016289C">
        <w:rPr>
          <w:rFonts w:ascii="Times New Roman" w:hAnsi="Times New Roman"/>
          <w:color w:val="000000" w:themeColor="text1"/>
        </w:rPr>
        <w:t xml:space="preserve"> estimate that 1755 infants (65% of total) will meet eligibility criteria.  Based upon our surveys of recently delivered mothers (see above) and our experience with NICU RCTs</w:t>
      </w:r>
      <w:r w:rsidRPr="0016289C">
        <w:rPr>
          <w:rFonts w:ascii="Times New Roman" w:hAnsi="Times New Roman"/>
          <w:color w:val="000000" w:themeColor="text1"/>
        </w:rPr>
        <w:fldChar w:fldCharType="begin"/>
      </w:r>
      <w:r w:rsidRPr="0016289C">
        <w:rPr>
          <w:rFonts w:ascii="Times New Roman" w:hAnsi="Times New Roman"/>
          <w:color w:val="000000" w:themeColor="text1"/>
        </w:rPr>
        <w:instrText xml:space="preserve"> ADDIN ZOTERO_ITEM CSL_CITATION {"citationID":"DKrzfMfP","properties":{"formattedCitation":"\\super 173,174,176\\nosupersub{}","plainCitation":"173,174,176","noteIndex":0},"citationItems":[{"id":5417,"uris":["http://zotero.org/users/1744593/items/5KN6FINX"],"uri":["http://zotero.org/users/1744593/items/5KN6FINX"],"itemData":{"id":5417,"type":"article-journal","title":"Neonatal Resuscitation with an Intact Cord: A Randomized Clinical Trial","container-title":"The Journal of Pediatrics","page":"75-80.e3","volume":"178","source":"PubMed","abstract":"OBJECTIVE: To assess whether providing ventilation during delayed cord clamping (V-DCC) increases placental transfusion compared with delayed cord clamping alone (DCC only).\nSTUDY DESIGN: Inborn premature infants (230/7-316/7 weeks' gestational age) were randomized to receive at least 60 seconds of V-DCC (initial continuous positive airway pressure) with addition of positive pressure ventilation if needed) or without assisted ventilation (DCC only). For the DCC-only group, infants were dried and stimulated by gently rubbing the back if apneic. The primary outcome was the peak hematocrit in the first 24 hours of life. Delivery room outcomes were analyzed from video recordings and a data acquisition system. Hemodynamic measurements were performed with the use of functional echocardiography, near-infrared spectroscopy, and electrical cardiometry.\nRESULTS: There was no difference in the primary outcome of peak hematocrit in the first 24 hours of life. The onset of breathing was similar between both groups (25 ± 20 and 27 ± 28 seconds, P = .627); however, infants receiving DCC received a greater duration of stimulation than V-DCC (41 ± 19 and 20 ± 21 seconds P = .002). There were no differences in delivery room interventions, early hemodynamics (cerebral oxygenation by near-infrared spectroscopy, cardiac output and stroke volume by electrical cardiometry, or superior vena cava flow by of functional echocardiography), or neonatal outcomes.\nCONCLUSIONS: V-DCC was feasible but did not lead to any measurable clinical improvements immediately after delivery or reduce subsequent neonatal morbidity. Caretakers should consider providing adequate stimulation before cord clamping.\nTRIAL REGISTRATION: ClinicalTrials.gov: NCT02231411.","DOI":"10.1016/j.jpeds.2016.07.053","ISSN":"1097-6833","note":"PMID: 27574999\nPMCID: PMC5527831","shortTitle":"Neonatal Resuscitation with an Intact Cord","journalAbbreviation":"J. Pediatr.","language":"eng","author":[{"family":"Katheria","given":"Anup"},{"family":"Poeltler","given":"Debra"},{"family":"Durham","given":"Jayson"},{"family":"Steen","given":"Jane"},{"family":"Rich","given":"Wade"},{"family":"Arnell","given":"Kathy"},{"family":"Maldonado","given":"Mauricio"},{"family":"Cousins","given":"Larry"},{"family":"Finer","given":"Neil"}],"issued":{"date-parts":[["2016",11]]}}},{"id":5413,"uris":["http://zotero.org/users/1744593/items/ZC8MTX5D"],"uri":["http://zotero.org/users/1744593/items/ZC8MTX5D"],"itemData":{"id":5413,"type":"article-journal","title":"A Randomized Clinical Trial of Umbilical Cord Milking vs Delayed Cord Clamping in Preterm Infants: Neurodevelopmental Outcomes at 22-26 Months of Corrected Age","container-title":"The Journal of Pediatrics","source":"PubMed","abstract":"OBJECTIVE: To compare the effect of umbilical cord milking vs delayed cord clamping (DCC) on neurodevelopmental and health outcomes in very preterm infants at 22-26 months of corrected age.\nSTUDY DESIGN: Neurodevelopmental outcomes at 2 years of age were assessed using the Bayley Scales of Infant Development, third edition, and a standardized neurologic examination. Data regarding pulmonary morbidities, neurosensory impairments, and hospitalizations were obtained by parental interview. Intention-to-treat was used for primary analyses.\nRESULTS: Of the 197 infants enrolled in the original study there were 15 deaths, 5 in the umbilical cord milking group and 10 in DCC group. Of the remaining infants, 135 (74%) were assessed at 22-26 months of corrected age. Demographics in umbilical cord milking (n = 70) and DCC (n = 65) groups were similar. Infants randomized to umbilical cord milking at birth had significantly higher cognitive and language composite scores, and were less likely to have a cognitive composite score of &lt;85 (4% vs 15%; P = .04). Motor function was similar in both groups. There were no differences in the incidences of mild or moderate to severe neurodevelopmental impairment, hearing or visual impairments, pulmonary morbidities, or rehospitalizations between the 2 groups.\nCONCLUSIONS: Infants randomized to umbilical cord milking had higher language and cognitive scores compared with those randomized to DCC. There was no difference in rates of mild or moderate to severe neurodevelopmental impairment.\nTRIAL REGISTRATION: clinicaltrials.gov NCT01434732.","DOI":"10.1016/j.jpeds.2017.10.037","ISSN":"1097-6833","note":"PMID: 29246467","shortTitle":"A Randomized Clinical Trial of Umbilical Cord Milking vs Delayed Cord Clamping in Preterm Infants","journalAbbreviation":"J. Pediatr.","language":"eng","author":[{"family":"Katheria","given":"Anup"},{"family":"Garey","given":"Donna"},{"family":"Truong","given":"Giang"},{"family":"Akshoomoff","given":"Natacha"},{"family":"Steen","given":"Jane"},{"family":"Maldonado","given":"Mauricio"},{"family":"Poeltler","given":"Debra"},{"family":"Harbert","given":"Mary Jane"},{"family":"Vaucher","given":"Yvonne E."},{"family":"Finer","given":"Neil"}],"issued":{"date-parts":[["2017",12,7]]}}},{"id":5421,"uris":["http://zotero.org/users/1744593/items/84ZZXI2G"],"uri":["http://zotero.org/users/1744593/items/84ZZXI2G"],"itemData":{"id":5421,"type":"article-journal","title":"A Pilot Randomized Controlled Trial of Early versus Routine Caffeine in Extremely Premature Infants","container-title":"American Journal of Perinatology","page":"879-886","volume":"32","issue":"9","source":"PubMed","abstract":"OBJECTIVE: This study aims to compare the effects of early and late (routine) initiation of caffeine in nonintubated preterm neonates.\nSTUDY DESIGN: A total of 21 neonates &lt; 29 weeks gestational age were randomized to receive intravenous caffeine citrate (20 mg/kg) or placebo either before 2 hours of age (early) or at 12 hours of age (routine). This was an observational trial to determine the power needed to reduce the need for endotracheal intubation by 12 hours of age. Other outcomes included comparisons of cerebral oxygenation, systemic and pulmonary blood flow, hemodynamics, hypotension treatment, oxygen requirement, and head ultrasound findings.\nRESULTS: There was no difference in the need for intubation (p = 0.08), or vasopressors (p = 0.21) by 12 hours of age. Early caffeine was associated with improved blood pressure (p = 0.03) and systemic blood flow (superior vena cava flow, p = 0.04 and right ventricular output, p = 0.03). Heart rate, left ventricular output, and stroke volume were not significantly affected. Cerebral oxygenation transiently decreased 1 hour after caffeine administration. There were no differences in other outcomes.\nCONCLUSION: This pilot study demonstrated the feasibility of conducting such a trial in extremely preterm neonates. We found that early caffeine administration was associated with improved hemodynamics. Larger studies are needed to determine whether early caffeine reduces intubation, intraventricular hemorrhage, and related long-term outcomes.","DOI":"10.1055/s-0034-1543981","ISSN":"1098-8785","note":"PMID: 25607226","journalAbbreviation":"Am J Perinatol","language":"eng","author":[{"family":"Katheria","given":"Anup C."},{"family":"Sauberan","given":"Jason B."},{"family":"Akotia","given":"Devang"},{"family":"Rich","given":"Wade"},{"family":"Durham","given":"Jayson"},{"family":"Finer","given":"Neil N."}],"issued":{"date-parts":[["2015",7]]}}}],"schema":"https://github.com/citation-style-language/schema/raw/master/csl-citation.json"} </w:instrText>
      </w:r>
      <w:r w:rsidRPr="0016289C">
        <w:rPr>
          <w:rFonts w:ascii="Times New Roman" w:hAnsi="Times New Roman"/>
          <w:color w:val="000000" w:themeColor="text1"/>
        </w:rPr>
        <w:fldChar w:fldCharType="separate"/>
      </w:r>
      <w:r w:rsidRPr="0016289C">
        <w:rPr>
          <w:rFonts w:ascii="Times New Roman" w:hAnsi="Times New Roman"/>
          <w:color w:val="000000"/>
          <w:vertAlign w:val="superscript"/>
        </w:rPr>
        <w:t>173,174,176</w:t>
      </w:r>
      <w:r w:rsidRPr="0016289C">
        <w:rPr>
          <w:rFonts w:ascii="Times New Roman" w:hAnsi="Times New Roman"/>
          <w:color w:val="000000" w:themeColor="text1"/>
        </w:rPr>
        <w:fldChar w:fldCharType="end"/>
      </w:r>
      <w:r w:rsidRPr="0016289C">
        <w:rPr>
          <w:rFonts w:ascii="Times New Roman" w:hAnsi="Times New Roman"/>
          <w:color w:val="000000" w:themeColor="text1"/>
        </w:rPr>
        <w:t xml:space="preserve">, we believe it is reasonable to expect that parents of 30-50% of these 1755 infants will elect to participate. A 46% consent rate will yield approximately 807 study subjects (29.9% of total admissions ≤28 weeks GA).  </w:t>
      </w:r>
      <w:r w:rsidRPr="0016289C">
        <w:rPr>
          <w:rFonts w:ascii="Times New Roman" w:eastAsia="Calibri" w:hAnsi="Times New Roman"/>
        </w:rPr>
        <w:t>If the rate of missing outcome data is 5%, then the trial will have 766 subjects – yielding 383 patients per group. This randomized clinical trial will thus have excellent power to detect clinically meaningful differences between the EA and placebo groups with respect LOS/NEC/Death.  If the consent rate is lower than 46%, we will add enrollments at 1-2 additional sites.</w:t>
      </w:r>
    </w:p>
    <w:p w14:paraId="2B40FBAE" w14:textId="77777777" w:rsidR="00A07D41" w:rsidRPr="00A07D41" w:rsidRDefault="00A07D41" w:rsidP="00A07D41">
      <w:pPr>
        <w:pStyle w:val="Default"/>
        <w:rPr>
          <w:rFonts w:eastAsia="Calibri"/>
        </w:rPr>
      </w:pPr>
    </w:p>
    <w:p w14:paraId="70F4B014" w14:textId="6EAF5B15" w:rsidR="00A07D41" w:rsidRPr="0016289C" w:rsidRDefault="00B47785" w:rsidP="00A07D41">
      <w:pPr>
        <w:snapToGrid w:val="0"/>
        <w:spacing w:after="240"/>
        <w:jc w:val="both"/>
        <w:rPr>
          <w:rFonts w:ascii="Times New Roman" w:hAnsi="Times New Roman"/>
        </w:rPr>
      </w:pPr>
      <w:r w:rsidRPr="00B47785">
        <w:rPr>
          <w:rFonts w:ascii="Times New Roman" w:hAnsi="Times New Roman"/>
        </w:rPr>
        <w:t>We</w:t>
      </w:r>
      <w:r>
        <w:rPr>
          <w:rFonts w:ascii="Times New Roman" w:hAnsi="Times New Roman"/>
          <w:i/>
        </w:rPr>
        <w:t xml:space="preserve"> </w:t>
      </w:r>
      <w:r w:rsidR="00A07D41" w:rsidRPr="0016289C">
        <w:rPr>
          <w:rFonts w:ascii="Times New Roman" w:hAnsi="Times New Roman"/>
        </w:rPr>
        <w:t>will compare the distribution of baseline variables between study arms to assess randomization success. To summarize continuous variables, we will use means and standard deviations or medians and interquartile range, and will use frequencies and percentages for categorical variables. Graphical methods (e.g., histogram, boxplot) will be used for assessing the overall shape of a continuous variable.</w:t>
      </w:r>
      <w:r w:rsidR="008D0F6F">
        <w:rPr>
          <w:rFonts w:ascii="Times New Roman" w:hAnsi="Times New Roman"/>
        </w:rPr>
        <w:t xml:space="preserve"> No formal statistical hypothesis tests will be performed to avoid unnecessary testing.</w:t>
      </w:r>
    </w:p>
    <w:p w14:paraId="71DD0E1F" w14:textId="52B72CE2" w:rsidR="00A07D41" w:rsidRDefault="00A07D41" w:rsidP="00A07D41">
      <w:pPr>
        <w:snapToGrid w:val="0"/>
        <w:spacing w:after="240"/>
        <w:jc w:val="both"/>
        <w:rPr>
          <w:rFonts w:cstheme="minorHAnsi"/>
          <w:bCs/>
          <w:color w:val="000000" w:themeColor="text1"/>
          <w:lang w:eastAsia="zh-CN"/>
        </w:rPr>
      </w:pPr>
      <w:r w:rsidRPr="0016289C">
        <w:rPr>
          <w:rFonts w:ascii="Times New Roman" w:hAnsi="Times New Roman"/>
        </w:rPr>
        <w:t xml:space="preserve">The primary analysis is an intent-to-treat (ITT) analysis that includes two interim analyses at 1/3 and 2/3 enrollment, and a final analysis using O'Brien-Fleming stopping rules. The primary test for the primary outcome is that the </w:t>
      </w:r>
      <w:r w:rsidRPr="0016289C">
        <w:rPr>
          <w:rFonts w:ascii="Times New Roman" w:hAnsi="Times New Roman"/>
          <w:b/>
        </w:rPr>
        <w:t xml:space="preserve">incidence of composite adverse events </w:t>
      </w:r>
      <w:r w:rsidRPr="0016289C">
        <w:rPr>
          <w:rFonts w:ascii="Times New Roman" w:eastAsiaTheme="minorEastAsia" w:hAnsi="Times New Roman"/>
          <w:b/>
          <w:bCs/>
          <w:lang w:eastAsia="zh-CN"/>
        </w:rPr>
        <w:t>is significantly different in ELBW infants receiving EA compared to infants receiving placebo</w:t>
      </w:r>
      <w:r w:rsidRPr="0016289C">
        <w:rPr>
          <w:rFonts w:ascii="Times New Roman" w:hAnsi="Times New Roman"/>
        </w:rPr>
        <w:t xml:space="preserve">. </w:t>
      </w:r>
    </w:p>
    <w:p w14:paraId="6C6646D9" w14:textId="11EC2DA4" w:rsidR="00302EA7" w:rsidRDefault="00302EA7" w:rsidP="00302EA7">
      <w:pPr>
        <w:pStyle w:val="Default"/>
        <w:rPr>
          <w:lang w:eastAsia="zh-CN"/>
        </w:rPr>
      </w:pPr>
      <w:r>
        <w:rPr>
          <w:lang w:eastAsia="zh-CN"/>
        </w:rPr>
        <w:t>The primary outcome will be analyzed using a generalized linear model (GLM) with a log link fitted via generalized estimating equations (GEE) with exchangeable working correlation matrix and employ robust variance estimates. This will account for non-independence of observations due to clustering of infants within families. The exchangeable correlation was selected primarily due to parsimony. Furthermore, infants within a twin or triplet can be considered exchangeable (i.e., the assigned infant ID within a set is arbitrary). The model will include treatment as fixed effects adjusted for site and gestational age. The primary hypothesis will be tested via the Wald test of the treatment assignment and effect estimates will be presented using risk ratios (RR) with 95% confidence intervals (CI).</w:t>
      </w:r>
    </w:p>
    <w:p w14:paraId="2C9FA8F9" w14:textId="77777777" w:rsidR="00302EA7" w:rsidRDefault="00302EA7" w:rsidP="00302EA7">
      <w:pPr>
        <w:pStyle w:val="Default"/>
        <w:rPr>
          <w:lang w:eastAsia="zh-CN"/>
        </w:rPr>
      </w:pPr>
    </w:p>
    <w:p w14:paraId="0A17FAD5" w14:textId="04221B5F" w:rsidR="00302EA7" w:rsidRDefault="00302EA7" w:rsidP="00302EA7">
      <w:pPr>
        <w:pStyle w:val="Default"/>
        <w:rPr>
          <w:lang w:eastAsia="zh-CN"/>
        </w:rPr>
      </w:pPr>
      <w:r>
        <w:rPr>
          <w:lang w:eastAsia="zh-CN"/>
        </w:rPr>
        <w:t>In secondary analyses, we will examine each component (NEC, LOS, death) of the composite adverse outcome separately using the same analytic approach as the primary outcome.</w:t>
      </w:r>
    </w:p>
    <w:p w14:paraId="2B80C6DB" w14:textId="77777777" w:rsidR="00302EA7" w:rsidRPr="00D502E4" w:rsidRDefault="00302EA7" w:rsidP="00D502E4">
      <w:pPr>
        <w:pStyle w:val="Default"/>
        <w:rPr>
          <w:lang w:eastAsia="zh-CN"/>
        </w:rPr>
      </w:pPr>
    </w:p>
    <w:p w14:paraId="3639CB5F" w14:textId="628B97F0" w:rsidR="00E65D54" w:rsidRPr="0016289C" w:rsidRDefault="00E65D54" w:rsidP="00E65D54">
      <w:pPr>
        <w:snapToGrid w:val="0"/>
        <w:spacing w:after="240"/>
        <w:jc w:val="both"/>
        <w:rPr>
          <w:rFonts w:ascii="Times New Roman" w:eastAsiaTheme="minorEastAsia" w:hAnsi="Times New Roman"/>
          <w:bCs/>
          <w:color w:val="000000" w:themeColor="text1"/>
          <w:lang w:eastAsia="zh-CN"/>
        </w:rPr>
      </w:pPr>
      <w:r w:rsidRPr="0016289C">
        <w:rPr>
          <w:rFonts w:ascii="Times New Roman" w:eastAsia="Calibri" w:hAnsi="Times New Roman"/>
          <w:i/>
        </w:rPr>
        <w:t>Microbiome analysis</w:t>
      </w:r>
      <w:r w:rsidRPr="0016289C">
        <w:rPr>
          <w:rFonts w:ascii="Times New Roman" w:eastAsia="Calibri" w:hAnsi="Times New Roman"/>
        </w:rPr>
        <w:t>.</w:t>
      </w:r>
      <w:r w:rsidRPr="0016289C">
        <w:rPr>
          <w:rFonts w:ascii="Times New Roman" w:hAnsi="Times New Roman"/>
        </w:rPr>
        <w:t xml:space="preserve"> </w:t>
      </w:r>
      <w:r w:rsidRPr="0016289C">
        <w:rPr>
          <w:rFonts w:ascii="Times New Roman" w:eastAsiaTheme="minorEastAsia" w:hAnsi="Times New Roman"/>
          <w:bCs/>
          <w:color w:val="000000" w:themeColor="text1"/>
          <w:lang w:eastAsia="zh-CN"/>
        </w:rPr>
        <w:t xml:space="preserve">For microbiome analyses in </w:t>
      </w:r>
      <w:r w:rsidRPr="004E404D">
        <w:rPr>
          <w:rFonts w:ascii="Times New Roman" w:eastAsiaTheme="minorEastAsia" w:hAnsi="Times New Roman"/>
          <w:b/>
          <w:bCs/>
          <w:color w:val="000000" w:themeColor="text1"/>
          <w:lang w:eastAsia="zh-CN"/>
        </w:rPr>
        <w:t>Aims 2 and 3</w:t>
      </w:r>
      <w:r w:rsidRPr="0016289C">
        <w:rPr>
          <w:rFonts w:ascii="Times New Roman" w:eastAsiaTheme="minorEastAsia" w:hAnsi="Times New Roman"/>
          <w:bCs/>
          <w:color w:val="000000" w:themeColor="text1"/>
          <w:lang w:eastAsia="zh-CN"/>
        </w:rPr>
        <w:t xml:space="preserve">, </w:t>
      </w:r>
      <w:r w:rsidRPr="0016289C">
        <w:rPr>
          <w:rFonts w:ascii="Times New Roman" w:hAnsi="Times New Roman"/>
        </w:rPr>
        <w:t xml:space="preserve">assuming that the alpha diversity is normally distributed, we need a total samples size of 78 over two groups (39 per group) to detect a 43% reduction in alpha diversity (from 1.75 to 1) at the 14 day </w:t>
      </w:r>
      <w:r w:rsidRPr="0016289C">
        <w:rPr>
          <w:rFonts w:ascii="Times New Roman" w:hAnsi="Times New Roman"/>
        </w:rPr>
        <w:lastRenderedPageBreak/>
        <w:t>timepoint with a 5% level of significance and 90% power. This effect size is based upon our preliminary data and also published reports, as described in the Research Strategy. We will easily exceed power to discern differences in alpha diversity but will plan for much larger sample size to allow not only for taxonomic analyses across samples from EA and placebo groups, and also subgroups (as defined above for Aim 1 analysis).</w:t>
      </w:r>
    </w:p>
    <w:p w14:paraId="5C902039" w14:textId="623BDE1E" w:rsidR="00E65D54" w:rsidRPr="0016289C" w:rsidRDefault="00E65D54" w:rsidP="00E65D54">
      <w:pPr>
        <w:jc w:val="both"/>
        <w:rPr>
          <w:rFonts w:ascii="Times New Roman" w:hAnsi="Times New Roman"/>
        </w:rPr>
      </w:pPr>
      <w:r w:rsidRPr="0016289C">
        <w:rPr>
          <w:rFonts w:ascii="Times New Roman" w:eastAsia="Calibri" w:hAnsi="Times New Roman"/>
          <w:color w:val="000000" w:themeColor="text1"/>
        </w:rPr>
        <w:t xml:space="preserve">Bacterial 16S rRNA gene sequences will be extracted from infant samples, amplified, and sequenced on the Illumina </w:t>
      </w:r>
      <w:proofErr w:type="spellStart"/>
      <w:r w:rsidRPr="0016289C">
        <w:rPr>
          <w:rFonts w:ascii="Times New Roman" w:eastAsia="Calibri" w:hAnsi="Times New Roman"/>
          <w:color w:val="000000" w:themeColor="text1"/>
        </w:rPr>
        <w:t>Miseq</w:t>
      </w:r>
      <w:proofErr w:type="spellEnd"/>
      <w:r w:rsidRPr="0016289C">
        <w:rPr>
          <w:rFonts w:ascii="Times New Roman" w:eastAsia="Calibri" w:hAnsi="Times New Roman"/>
          <w:color w:val="000000" w:themeColor="text1"/>
        </w:rPr>
        <w:t xml:space="preserve"> according </w:t>
      </w:r>
      <w:r w:rsidRPr="0016289C">
        <w:rPr>
          <w:rFonts w:ascii="Times New Roman" w:hAnsi="Times New Roman"/>
          <w:color w:val="000000" w:themeColor="text1"/>
        </w:rPr>
        <w:t xml:space="preserve">to established protocols used routinely by the Morowitz, Gregory, and Peddada laboratories.  </w:t>
      </w:r>
      <w:r w:rsidRPr="0016289C">
        <w:rPr>
          <w:rFonts w:ascii="Times New Roman" w:hAnsi="Times New Roman"/>
        </w:rPr>
        <w:t xml:space="preserve">In analyses of these samples, we shall investigate three important parameters, namely, the alpha diversity (Richness and Shannon Index), the beta diversity, and the differential abundance of individual bacterial taxa. We hypothesize that samples from EA subjects will contain increased abundance of pathogens </w:t>
      </w:r>
      <w:r w:rsidRPr="0016289C">
        <w:rPr>
          <w:rFonts w:ascii="Times New Roman" w:hAnsi="Times New Roman"/>
          <w:color w:val="000000" w:themeColor="text1"/>
        </w:rPr>
        <w:t xml:space="preserve">(e.g. </w:t>
      </w:r>
      <w:proofErr w:type="spellStart"/>
      <w:r w:rsidRPr="0016289C">
        <w:rPr>
          <w:rFonts w:ascii="Times New Roman" w:hAnsi="Times New Roman"/>
          <w:i/>
          <w:color w:val="000000" w:themeColor="text1"/>
        </w:rPr>
        <w:t>Enterococcaceae</w:t>
      </w:r>
      <w:proofErr w:type="spellEnd"/>
      <w:r w:rsidRPr="0016289C">
        <w:rPr>
          <w:rFonts w:ascii="Times New Roman" w:hAnsi="Times New Roman"/>
          <w:i/>
          <w:color w:val="000000" w:themeColor="text1"/>
        </w:rPr>
        <w:t xml:space="preserve"> </w:t>
      </w:r>
      <w:r w:rsidRPr="0016289C">
        <w:rPr>
          <w:rFonts w:ascii="Times New Roman" w:hAnsi="Times New Roman"/>
          <w:color w:val="000000" w:themeColor="text1"/>
        </w:rPr>
        <w:t xml:space="preserve">and </w:t>
      </w:r>
      <w:r w:rsidRPr="0016289C">
        <w:rPr>
          <w:rFonts w:ascii="Times New Roman" w:hAnsi="Times New Roman"/>
          <w:i/>
          <w:color w:val="000000" w:themeColor="text1"/>
        </w:rPr>
        <w:t xml:space="preserve">Enterobacteriaceae) </w:t>
      </w:r>
      <w:r w:rsidRPr="0016289C">
        <w:rPr>
          <w:rFonts w:ascii="Times New Roman" w:hAnsi="Times New Roman"/>
          <w:color w:val="000000" w:themeColor="text1"/>
        </w:rPr>
        <w:t xml:space="preserve">and decreased abundance of commensal anaerobes (e.g. </w:t>
      </w:r>
      <w:proofErr w:type="spellStart"/>
      <w:r w:rsidRPr="0016289C">
        <w:rPr>
          <w:rFonts w:ascii="Times New Roman" w:hAnsi="Times New Roman"/>
          <w:i/>
          <w:color w:val="000000" w:themeColor="text1"/>
        </w:rPr>
        <w:t>Bacteroidaceae</w:t>
      </w:r>
      <w:proofErr w:type="spellEnd"/>
      <w:r w:rsidRPr="0016289C">
        <w:rPr>
          <w:rFonts w:ascii="Times New Roman" w:hAnsi="Times New Roman"/>
          <w:color w:val="000000" w:themeColor="text1"/>
        </w:rPr>
        <w:t xml:space="preserve"> and </w:t>
      </w:r>
      <w:proofErr w:type="spellStart"/>
      <w:r w:rsidRPr="0016289C">
        <w:rPr>
          <w:rFonts w:ascii="Times New Roman" w:hAnsi="Times New Roman"/>
          <w:i/>
          <w:color w:val="000000" w:themeColor="text1"/>
        </w:rPr>
        <w:t>Bifidobacteriaceae</w:t>
      </w:r>
      <w:proofErr w:type="spellEnd"/>
      <w:r w:rsidRPr="0016289C">
        <w:rPr>
          <w:rFonts w:ascii="Times New Roman" w:hAnsi="Times New Roman"/>
          <w:color w:val="000000" w:themeColor="text1"/>
        </w:rPr>
        <w:t>) relative to samples from infants receiving placebo.</w:t>
      </w:r>
    </w:p>
    <w:p w14:paraId="20311CAD" w14:textId="77777777" w:rsidR="00E65D54" w:rsidRPr="0016289C" w:rsidRDefault="00E65D54" w:rsidP="00E65D54">
      <w:pPr>
        <w:jc w:val="both"/>
        <w:rPr>
          <w:rFonts w:ascii="Times New Roman" w:hAnsi="Times New Roman"/>
        </w:rPr>
      </w:pPr>
    </w:p>
    <w:p w14:paraId="1725D6E4" w14:textId="66BDF40C" w:rsidR="00E65D54" w:rsidRPr="0016289C" w:rsidRDefault="004E404D" w:rsidP="00E65D54">
      <w:pPr>
        <w:jc w:val="both"/>
        <w:rPr>
          <w:rFonts w:ascii="Times New Roman" w:hAnsi="Times New Roman"/>
        </w:rPr>
      </w:pPr>
      <w:r w:rsidRPr="004E404D">
        <w:rPr>
          <w:rFonts w:ascii="Times New Roman" w:hAnsi="Times New Roman"/>
          <w:b/>
        </w:rPr>
        <w:t>For Aim 2</w:t>
      </w:r>
      <w:r w:rsidR="00E65D54" w:rsidRPr="0016289C">
        <w:rPr>
          <w:rFonts w:ascii="Times New Roman" w:hAnsi="Times New Roman"/>
        </w:rPr>
        <w:t xml:space="preserve">, </w:t>
      </w:r>
      <w:r w:rsidR="002D0D2A">
        <w:rPr>
          <w:rFonts w:ascii="Times New Roman" w:eastAsia="Calibri" w:hAnsi="Times New Roman"/>
          <w:color w:val="000000" w:themeColor="text1"/>
        </w:rPr>
        <w:t>b</w:t>
      </w:r>
      <w:r w:rsidR="002D0D2A" w:rsidRPr="002D0D2A">
        <w:rPr>
          <w:rFonts w:ascii="Times New Roman" w:eastAsia="Calibri" w:hAnsi="Times New Roman"/>
          <w:color w:val="000000" w:themeColor="text1"/>
        </w:rPr>
        <w:t xml:space="preserve">acterial 16S rRNA gene sequences from weekly fecal samples collected during the first month of life from each experimental group will be compared at each time point and also with longitudinal trend analyses. Temporal trend analysis of alpha diversity will be performed with the Constrained Linear Mixed Effects (CLME) models package developed by the Peddada group. The analysis does not make any distributional assumptions, and takes into account the repeated measurement feature in the data since longitudinal measurements are obtained on each subject.  The method is also robust against heteroscedasticity as it is based on Best Linear Unbiased Predictor (BLUP) residual bootstraps. The temporal trend analysis of beta diversity will be performed using an extension of PERMANOVA for repeated measurements data. As for temporal differential abundance analyses within each experimental group, we will use the newer version of ANCOM for detecting trends in abundance, while allowing repeated measurements as well as covariates.  ANCOM was developed by Peddada and colleagues, and is based on the software ORIOGEN developed by Peddada.  Note that differential abundance analyses of taxa between groups cannot be performed using standard ANOVA or t-test because these data reside inside a simplex.  Currently, among the many methods used in the literature for differential abundance analyses, ANCOM is the only method that controls the false discovery rate at the desired nominal level. </w:t>
      </w:r>
    </w:p>
    <w:p w14:paraId="21B1AB97" w14:textId="77777777" w:rsidR="00E65D54" w:rsidRPr="0016289C" w:rsidRDefault="00E65D54" w:rsidP="00E65D54">
      <w:pPr>
        <w:jc w:val="both"/>
        <w:rPr>
          <w:rFonts w:ascii="Times New Roman" w:hAnsi="Times New Roman"/>
        </w:rPr>
      </w:pPr>
    </w:p>
    <w:p w14:paraId="381093A0" w14:textId="05E46691" w:rsidR="00E65D54" w:rsidRPr="0016289C" w:rsidRDefault="00E65D54" w:rsidP="00E65D54">
      <w:pPr>
        <w:jc w:val="both"/>
        <w:rPr>
          <w:rFonts w:ascii="Times New Roman" w:hAnsi="Times New Roman"/>
        </w:rPr>
      </w:pPr>
      <w:r w:rsidRPr="0016289C">
        <w:rPr>
          <w:rFonts w:ascii="Times New Roman" w:hAnsi="Times New Roman"/>
        </w:rPr>
        <w:t>We will measure the importance of clinical factors known to impact the infant gut microbiota, including mode of delivery, gestational age, diet, and maternal antibiotic exposure while remaining blinded to the identity of treatment assignment groups. In each case, we shall perform pairwise comparisons of individual variables (e.g. vaginal delivery vs. caesarean section) after adjusting for the remaining factors. Initially, we will consider diet (formula</w:t>
      </w:r>
      <w:r w:rsidR="001E1C8C">
        <w:rPr>
          <w:rFonts w:ascii="Times New Roman" w:hAnsi="Times New Roman"/>
        </w:rPr>
        <w:t xml:space="preserve"> </w:t>
      </w:r>
      <w:r w:rsidRPr="0016289C">
        <w:rPr>
          <w:rFonts w:ascii="Times New Roman" w:hAnsi="Times New Roman"/>
        </w:rPr>
        <w:t xml:space="preserve">milk vs. human milk and maternal vs. donor milk) as a binary variable, but ultimately may perform more granular analyses regarding percentage of calories from each type of milk.  Similarly, we will initially consider gestational age (23-26 weeks vs. 27-28 weeks) and maternal antibiotic exposure (yes/no) in pairwise comparisons, but later could consider gestational age as a continuous variable or could distinguish between classes of maternal antibiotics. We will also incorporate microbiome analyses of maternal vaginal </w:t>
      </w:r>
      <w:r w:rsidRPr="0016289C">
        <w:rPr>
          <w:rFonts w:ascii="Times New Roman" w:hAnsi="Times New Roman"/>
        </w:rPr>
        <w:lastRenderedPageBreak/>
        <w:t>swabs and early postpartum fecal samples, but anticipate such samples for only 25% of study subjects.</w:t>
      </w:r>
    </w:p>
    <w:p w14:paraId="6EFC3DCF" w14:textId="77777777" w:rsidR="00E65D54" w:rsidRPr="0016289C" w:rsidRDefault="00E65D54" w:rsidP="00E65D54">
      <w:pPr>
        <w:jc w:val="both"/>
        <w:rPr>
          <w:rFonts w:ascii="Times New Roman" w:hAnsi="Times New Roman"/>
          <w:u w:val="single"/>
        </w:rPr>
      </w:pPr>
    </w:p>
    <w:p w14:paraId="5C239821" w14:textId="5DDC227D" w:rsidR="00E65D54" w:rsidRPr="00E65D54" w:rsidRDefault="00E65D54" w:rsidP="00E65D54">
      <w:pPr>
        <w:pStyle w:val="Default"/>
      </w:pPr>
      <w:r w:rsidRPr="00063A70">
        <w:rPr>
          <w:b/>
        </w:rPr>
        <w:t>For Aim 3 (exploratory)</w:t>
      </w:r>
      <w:r w:rsidRPr="0016289C">
        <w:t xml:space="preserve">, weight, length, and head circumference Z-scores will be calculated for birth and weekly postnatal growth measurements using Fenton and Olsen growth curves for preterm infants. Using the CLME methodology, we shall (a) develop nonparametric temporal growth curve model for each group of babies and (b) compare the temporal differences in growth curve patterns between the two groups of babies.  The methodology will adjust for various confounders in the study.  Furthermore, as noted earlier, CLME is entirely nonparametric as it does not make any distributional assumptions, robust to heteroscedasticity and does not rely on any parametric shape of the growth curve.  Secondly, we shall also perform high dimensional regression analysis by regressing growth at time “t” on the vector of OTU counts from the previous time point using LASSO type high dimensional regression methodology used by us in </w:t>
      </w:r>
      <w:proofErr w:type="spellStart"/>
      <w:r w:rsidRPr="0016289C">
        <w:t>Bertelsen</w:t>
      </w:r>
      <w:proofErr w:type="spellEnd"/>
      <w:r w:rsidRPr="0016289C">
        <w:t xml:space="preserve"> et al.</w:t>
      </w:r>
      <w:r w:rsidRPr="0016289C">
        <w:fldChar w:fldCharType="begin"/>
      </w:r>
      <w:r w:rsidRPr="0016289C">
        <w:instrText xml:space="preserve"> ADDIN ZOTERO_ITEM CSL_CITATION {"citationID":"KgmpnpoX","properties":{"formattedCitation":"\\super 191,197\\nosupersub{}","plainCitation":"191,197","noteIndex":0},"citationItems":[{"id":6307,"uris":["http://zotero.org/users/1744593/items/ZTLQ7I4L"],"uri":["http://zotero.org/users/1744593/items/ZTLQ7I4L"],"itemData":{"id":6307,"type":"article-journal","title":"Oral microbiome and associations with chemical exposure, asthma and lung function","container-title":"European Respiratory Journal","volume":"50","issue":"suppl 61","abstract":"Background: Previous studies indicated that lung health might be affected by both antibacterial chemicals and poor oral health.Aims and objective: Describe association between oral microbiome and paraben exposure, asthma and lung function.Methods: Interview data, lung function, gingival fluid and urine were collected from 288 adults (48% females, median age: 28 yrs) from the RHINESSA study in Bergen, Norway. Differential abundance in the gingival microbiome (Illumina sequencing) across dose groups (quartiles) for urine biomarkers of paraben exposure was evaluated using the Analysis of composition of microbiomes (ANCOM) methodology with 5% FDR, adjusting for gender and asthma status. Association between microbial diversity and lung function was assessed by linear regression with adjustment for height, weight, age, smoking, and asthma medication.Results: Propyl- and methyl-parabens were detected in 94% subjects, with 62 times higher concentration in women than men. With increasing exposure to parabens, Enterobacter spp in the gingival fluid decreased in a dose-response manner, whereas Fretibacterium spp increased. FEV1 and FVC increased with increasing microbiome diversity in women; FEV1 with b (95% CI) =0.13 (0.02, 0.24) and FVC with b=0.15 (95% CI: 0.01, 0.28) per unit increase in Shannon index. No association was seen for men.Conclusions: Lung function increased with increasing oral microbial diversity in women only. Paraben exposure was associated with bacteria linked to poor oral health (Fretibacterium), independent of gender and asthma status (including asthma medication). Exposure to antibacterial chemicals may modify the association between oral microbiome and lung health.","URL":"http://erj.ersjournals.com/content/50/suppl_61/OA321.abstract","DOI":"10.1183/1393003.congress-2017.OA321","journalAbbreviation":"Eur Respir J","author":[{"family":"Bertelsen","given":"Randi"},{"family":"Ringel-Kulka","given":"Tamar"},{"family":"Peddada","given":"Shyamal"},{"family":"Kaul","given":"Abhishek"},{"family":"Real","given":"Francisco G."},{"family":"Svanes","given":"Cecilie"}],"issued":{"date-parts":[["2017",9,1]]}}},{"id":6367,"uris":["http://zotero.org/users/1744593/items/AES7T3M7"],"uri":["http://zotero.org/users/1744593/items/AES7T3M7"],"itemData":{"id":6367,"type":"webpage","title":"[1412.8765] A General Theory of Hypothesis Tests and Confidence Regions for Sparse High Dimensional Models","URL":"https://arxiv.org/abs/1412.8765","accessed":{"date-parts":[["2018",10,28]]}}}],"schema":"https://github.com/citation-style-language/schema/raw/master/csl-citation.json"} </w:instrText>
      </w:r>
      <w:r w:rsidRPr="0016289C">
        <w:fldChar w:fldCharType="separate"/>
      </w:r>
      <w:r w:rsidRPr="0016289C">
        <w:rPr>
          <w:vertAlign w:val="superscript"/>
        </w:rPr>
        <w:t>191,197</w:t>
      </w:r>
      <w:r w:rsidRPr="0016289C">
        <w:fldChar w:fldCharType="end"/>
      </w:r>
      <w:r w:rsidRPr="0016289C">
        <w:t>. By including an interaction in the model between OTUs and experimental groups, we hope to detect taxa that are differentially associated with delayed and accelerated growth patterns in the two groups. The methodology will not only identify taxa that are associated with growth but will also provide statistical significance of the selected taxa.</w:t>
      </w:r>
    </w:p>
    <w:p w14:paraId="7B635C9B" w14:textId="77777777" w:rsidR="00A07D41" w:rsidRPr="00CA0CB1" w:rsidRDefault="00A07D41" w:rsidP="00A07D41">
      <w:pPr>
        <w:pStyle w:val="BlockText"/>
      </w:pPr>
    </w:p>
    <w:p w14:paraId="22E795E7" w14:textId="394D778E" w:rsidR="00A07D41" w:rsidRPr="00A07D41" w:rsidRDefault="00A07D41" w:rsidP="00E06F0A">
      <w:pPr>
        <w:rPr>
          <w:color w:val="000000" w:themeColor="text1"/>
        </w:rPr>
      </w:pPr>
      <w:r w:rsidRPr="00A07D41">
        <w:rPr>
          <w:color w:val="000000" w:themeColor="text1"/>
        </w:rPr>
        <w:t>The University of Pittsburgh will be the home of the NANO DCC (CRISMA BDMC)</w:t>
      </w:r>
      <w:r w:rsidR="009D2636">
        <w:rPr>
          <w:color w:val="000000" w:themeColor="text1"/>
        </w:rPr>
        <w:t xml:space="preserve"> </w:t>
      </w:r>
      <w:r w:rsidRPr="00A07D41">
        <w:rPr>
          <w:color w:val="000000" w:themeColor="text1"/>
        </w:rPr>
        <w:t xml:space="preserve">and the central IRB (Pitt HRPO). </w:t>
      </w:r>
      <w:r w:rsidRPr="00A07D41">
        <w:t xml:space="preserve">The DCC will be responsible for assuring the standardization, collection, management and quality control of the data as well as the statistical design and analysis of the study. </w:t>
      </w:r>
      <w:r w:rsidRPr="00A07D41">
        <w:rPr>
          <w:color w:val="000000" w:themeColor="text1"/>
        </w:rPr>
        <w:t xml:space="preserve">The DCC will monitor the data from all sites. </w:t>
      </w:r>
    </w:p>
    <w:p w14:paraId="0F509EC5" w14:textId="77777777" w:rsidR="00A07D41" w:rsidRDefault="00A07D41" w:rsidP="00A07D41">
      <w:pPr>
        <w:pStyle w:val="BlockText"/>
      </w:pPr>
    </w:p>
    <w:p w14:paraId="41486579" w14:textId="5F31453F" w:rsidR="00CA7DB3" w:rsidRDefault="00E06F0A" w:rsidP="00E06F0A">
      <w:r w:rsidRPr="00E06F0A">
        <w:rPr>
          <w:u w:val="single"/>
        </w:rPr>
        <w:t xml:space="preserve">16.1 </w:t>
      </w:r>
      <w:r w:rsidR="00CA7DB3" w:rsidRPr="00E06F0A">
        <w:rPr>
          <w:u w:val="single"/>
        </w:rPr>
        <w:t>CRISMA’s BDM</w:t>
      </w:r>
      <w:r>
        <w:rPr>
          <w:u w:val="single"/>
        </w:rPr>
        <w:t>C.</w:t>
      </w:r>
      <w:r>
        <w:t xml:space="preserve"> CRISMA</w:t>
      </w:r>
      <w:r w:rsidR="00CA7DB3" w:rsidRPr="00CA7DB3">
        <w:t xml:space="preserve"> will serve as the study Data Coordinating Center (DCC).  The core of the trial data management and communications system will be the project website, which will include a shared document section and a data system area. The website will include a personnel directory, project calendar, and shared documents. Sections with restricted access will be setup for members of the steering committee, and other individuals as needed. The data system area of the website will be the interface for data entry and data management. Reports comparing actual with expected recruitment will be developed for each site.  Drop-out will also be monitored routinely.  Protocol adherence reports will include enrollment of ineligible patients, follow-up data collection outside of protocol-defined windows, and important deviations from protocol.  Reports will be provided to the sites, the Steering Committee, and the DSMB.</w:t>
      </w:r>
    </w:p>
    <w:p w14:paraId="5C32DD36" w14:textId="265D47CC" w:rsidR="00D85A0F" w:rsidRDefault="00D85A0F" w:rsidP="00D85A0F"/>
    <w:p w14:paraId="5C707446" w14:textId="61298BFA" w:rsidR="00D85A0F" w:rsidRPr="00D85A0F" w:rsidRDefault="00D85A0F" w:rsidP="00C03C5E">
      <w:pPr>
        <w:pStyle w:val="Heading1"/>
        <w:numPr>
          <w:ilvl w:val="0"/>
          <w:numId w:val="0"/>
        </w:numPr>
        <w:rPr>
          <w:b w:val="0"/>
          <w:bCs/>
          <w:sz w:val="24"/>
          <w:szCs w:val="24"/>
        </w:rPr>
      </w:pPr>
      <w:r w:rsidRPr="00D85A0F">
        <w:rPr>
          <w:b w:val="0"/>
          <w:bCs/>
          <w:color w:val="000000" w:themeColor="text1"/>
          <w:sz w:val="24"/>
          <w:szCs w:val="24"/>
        </w:rPr>
        <w:t>They will monitor all aspects of study performance (e.g., enrollment, data processing time) and protocol compliance (e.g., randomization), as well as adherence to established adverse event reporting and event adjudication procedures.  They will regularly provide reports to the clinical site coordinators addressing scheduling and delinquency.  The project manager and PIs will conduct data monitoring site visits per a predetermined plan, prioritizing sites where specific data issues are identified or data concerns arise (risk-based monitoring).</w:t>
      </w:r>
    </w:p>
    <w:p w14:paraId="63981527" w14:textId="77777777" w:rsidR="00D85A0F" w:rsidRPr="00D85A0F" w:rsidRDefault="00D85A0F" w:rsidP="00D85A0F">
      <w:pPr>
        <w:pStyle w:val="Default"/>
      </w:pPr>
    </w:p>
    <w:p w14:paraId="2D06F27B" w14:textId="7E91136D" w:rsidR="00E65D54" w:rsidRDefault="00E65D54" w:rsidP="00E65D54"/>
    <w:p w14:paraId="73F67D88" w14:textId="270C7226" w:rsidR="00E65D54" w:rsidRPr="0016289C" w:rsidRDefault="00E06F0A" w:rsidP="00E65D54">
      <w:pPr>
        <w:pStyle w:val="ChartisBulletLevel3"/>
        <w:spacing w:before="0" w:after="240" w:line="240" w:lineRule="auto"/>
        <w:ind w:left="0" w:firstLine="0"/>
        <w:jc w:val="both"/>
        <w:rPr>
          <w:rFonts w:ascii="Times New Roman" w:hAnsi="Times New Roman" w:cs="Times New Roman"/>
          <w:sz w:val="24"/>
          <w:szCs w:val="24"/>
          <w:lang w:val="en-US"/>
        </w:rPr>
      </w:pPr>
      <w:r>
        <w:rPr>
          <w:rFonts w:ascii="Times New Roman" w:hAnsi="Times New Roman" w:cs="Times New Roman"/>
          <w:sz w:val="24"/>
          <w:szCs w:val="24"/>
          <w:u w:val="single"/>
          <w:lang w:val="en-US"/>
        </w:rPr>
        <w:t>16.2 Online Portal.</w:t>
      </w:r>
      <w:r>
        <w:rPr>
          <w:rFonts w:ascii="Times New Roman" w:hAnsi="Times New Roman" w:cs="Times New Roman"/>
          <w:sz w:val="24"/>
          <w:szCs w:val="24"/>
          <w:lang w:val="en-US"/>
        </w:rPr>
        <w:t xml:space="preserve"> </w:t>
      </w:r>
      <w:r w:rsidR="00E65D54" w:rsidRPr="0016289C">
        <w:rPr>
          <w:rFonts w:ascii="Times New Roman" w:hAnsi="Times New Roman" w:cs="Times New Roman"/>
          <w:sz w:val="24"/>
          <w:szCs w:val="24"/>
          <w:lang w:val="en-US"/>
        </w:rPr>
        <w:t xml:space="preserve">The center of the NANO trial’s communications system will be a portal accessible via a password-protected study website which will be maintained by the DCC. The site will be used for day-to-day communications among the NANO study team by providing immediate communication, effective collaboration and project management. Access will be restricted to study investigators, research staff and committee members via unique usernames and passwords. The DCC’s password policy is consistent with National Institute of Standards and Technology (NIST) password policy. The primary interface is a collection of organized and individual web features, each representing a single tool which will vary in presentation and availability based on a defined user’s role (e.g., investigator, clinical site coordinator) and group association(s) (e.g., clinical site, committee membership). </w:t>
      </w:r>
    </w:p>
    <w:p w14:paraId="5D750964" w14:textId="77777777" w:rsidR="00896A38" w:rsidRPr="0016289C" w:rsidRDefault="00896A38" w:rsidP="00896A38">
      <w:pPr>
        <w:snapToGrid w:val="0"/>
        <w:jc w:val="both"/>
        <w:rPr>
          <w:rFonts w:ascii="Times New Roman" w:eastAsiaTheme="minorEastAsia" w:hAnsi="Times New Roman"/>
          <w:bCs/>
          <w:color w:val="000000" w:themeColor="text1"/>
          <w:lang w:eastAsia="zh-CN"/>
        </w:rPr>
      </w:pPr>
    </w:p>
    <w:p w14:paraId="60EC45FD" w14:textId="34D91582" w:rsidR="00993062" w:rsidRDefault="00E06F0A" w:rsidP="001F79E7">
      <w:pPr>
        <w:snapToGrid w:val="0"/>
        <w:spacing w:after="240"/>
        <w:jc w:val="both"/>
        <w:rPr>
          <w:rFonts w:ascii="Times New Roman" w:hAnsi="Times New Roman"/>
          <w:color w:val="000000" w:themeColor="text1"/>
        </w:rPr>
      </w:pPr>
      <w:r w:rsidRPr="00E06F0A">
        <w:rPr>
          <w:rFonts w:ascii="Times New Roman" w:hAnsi="Times New Roman"/>
          <w:u w:val="single"/>
        </w:rPr>
        <w:t xml:space="preserve">16.3 </w:t>
      </w:r>
      <w:r w:rsidR="00993062" w:rsidRPr="00E06F0A">
        <w:rPr>
          <w:rFonts w:ascii="Times New Roman" w:hAnsi="Times New Roman"/>
          <w:u w:val="single"/>
        </w:rPr>
        <w:t>Missing data</w:t>
      </w:r>
      <w:r w:rsidR="00993062" w:rsidRPr="0016289C">
        <w:rPr>
          <w:rFonts w:ascii="Times New Roman" w:hAnsi="Times New Roman"/>
        </w:rPr>
        <w:t xml:space="preserve">. Despite best efforts to obtain follow-up data, we anticipate some loss-to-follow-up. We will describe the extent and reasons that data are missing, summarizing the proportion of patients with missing data for each outcome and by study arm and by site. We will compare baseline patient characteristics between those who have complete outcome data and those that do not.   </w:t>
      </w:r>
      <w:r w:rsidR="00993062" w:rsidRPr="0016289C">
        <w:rPr>
          <w:rFonts w:ascii="Times New Roman" w:hAnsi="Times New Roman"/>
          <w:color w:val="000000" w:themeColor="text1"/>
        </w:rPr>
        <w:t xml:space="preserve">It is anticipated that, on rare occasion (&lt;&lt;5% of subjects), even before culture results are received, an attending neonatologist caring for a study subject will elect to prolong antibiotic therapy beyond 72 hours (e.g. due to clinical deterioration). This will be classified as a protocol deviation. Such infants will be analyzed according to intention to treat principles. </w:t>
      </w:r>
    </w:p>
    <w:p w14:paraId="6345F57E" w14:textId="37D7AAB1" w:rsidR="00993062" w:rsidRPr="009015FD" w:rsidRDefault="00A54C1E" w:rsidP="001F79E7">
      <w:pPr>
        <w:pStyle w:val="Default"/>
      </w:pPr>
      <w:r w:rsidRPr="009015FD">
        <w:t xml:space="preserve">Optimal ITT includes analysis of data from all subjects randomized and cannot be directly adopted in the presence of missing data. </w:t>
      </w:r>
      <w:r w:rsidRPr="0016289C">
        <w:t>To resolve</w:t>
      </w:r>
      <w:r w:rsidR="007C04F8">
        <w:t xml:space="preserve"> this</w:t>
      </w:r>
      <w:r w:rsidRPr="0016289C">
        <w:t>, we chose multiple imputations to conduct the ITT analyses.</w:t>
      </w:r>
      <w:r w:rsidR="007C04F8">
        <w:t xml:space="preserve"> </w:t>
      </w:r>
      <w:r w:rsidR="00993062" w:rsidRPr="009015FD">
        <w:t>Multiple imputed datasets will be generated using multivariate imputation by chained equations, an approach designed for multivariate data that can accommodate mixed data types. We will use predictive mean matching and logistic regression to impute continuous and binary outcomes, respectively. We will generate 100 imputed datasets to maintain power, although 3-5 imputed datasets are usually sufficient to obtain excellent results</w:t>
      </w:r>
      <w:r w:rsidR="00993062" w:rsidRPr="009015FD">
        <w:fldChar w:fldCharType="begin"/>
      </w:r>
      <w:r w:rsidR="00993062" w:rsidRPr="009015FD">
        <w:instrText xml:space="preserve"> ADDIN ZOTERO_ITEM CSL_CITATION {"citationID":"UBqHYT8X","properties":{"formattedCitation":"\\super 196\\nosupersub{}","plainCitation":"196","noteIndex":0},"citationItems":[{"id":6311,"uris":["http://zotero.org/users/1744593/items/KNC4F7Z9"],"uri":["http://zotero.org/users/1744593/items/KNC4F7Z9"],"itemData":{"id":6311,"type":"chapter","title":"Frontmatter","container-title":"Multiple Imputation for Nonresponse in Surveys","publisher":"Wiley-Blackwell","page":"i-xxix","source":"Wiley Online Library","abstract":"The prelims comprise: Title Copyright Introduction Acknowledgements Preface Table of Contents","URL":"https://www.onlinelibrary.wiley.com/doi/abs/10.1002/9780470316696.fmatter","ISBN":"978-0-470-31669-6","note":"DOI: 10.1002/9780470316696.fmatter","language":"en","author":[{"family":"Rubin","given":"David"}],"issued":{"date-parts":[["2008"]]},"accessed":{"date-parts":[["2018",10,23]]}}}],"schema":"https://github.com/citation-style-language/schema/raw/master/csl-citation.json"} </w:instrText>
      </w:r>
      <w:r w:rsidR="00993062" w:rsidRPr="009015FD">
        <w:fldChar w:fldCharType="separate"/>
      </w:r>
      <w:r w:rsidR="00993062" w:rsidRPr="009015FD">
        <w:rPr>
          <w:vertAlign w:val="superscript"/>
        </w:rPr>
        <w:t>196</w:t>
      </w:r>
      <w:r w:rsidR="00993062" w:rsidRPr="009015FD">
        <w:fldChar w:fldCharType="end"/>
      </w:r>
      <w:r w:rsidR="00993062" w:rsidRPr="009015FD">
        <w:t>. We assume that missing outcome data are missing-at-random (MAR) in that they can be imputed reasonably well from the observed study data. We will perform imputation based on the study arm to which the patient was assigned. Auxiliary variables for the imputation model will include patient baseline variables (</w:t>
      </w:r>
      <w:r w:rsidR="003A453F" w:rsidRPr="009015FD">
        <w:t>e.g</w:t>
      </w:r>
      <w:r w:rsidR="003A453F" w:rsidRPr="0016289C">
        <w:t>.</w:t>
      </w:r>
      <w:r w:rsidR="00993062" w:rsidRPr="0016289C">
        <w:t>,</w:t>
      </w:r>
      <w:r w:rsidR="00993062" w:rsidRPr="009015FD">
        <w:t xml:space="preserve"> age, sex, race, and study site). </w:t>
      </w:r>
    </w:p>
    <w:p w14:paraId="389A82C6" w14:textId="77777777" w:rsidR="007C04F8" w:rsidRPr="0016289C" w:rsidRDefault="007C04F8" w:rsidP="00117BEE">
      <w:pPr>
        <w:pStyle w:val="Default"/>
      </w:pPr>
    </w:p>
    <w:p w14:paraId="7952823A" w14:textId="1E11D6C6" w:rsidR="000A4E0E" w:rsidRDefault="00E06F0A" w:rsidP="00993062">
      <w:pPr>
        <w:snapToGrid w:val="0"/>
        <w:jc w:val="both"/>
        <w:rPr>
          <w:rFonts w:ascii="Times New Roman" w:hAnsi="Times New Roman"/>
        </w:rPr>
      </w:pPr>
      <w:r w:rsidRPr="00E06F0A">
        <w:rPr>
          <w:rFonts w:ascii="Times New Roman" w:hAnsi="Times New Roman"/>
          <w:u w:val="single"/>
        </w:rPr>
        <w:t xml:space="preserve">16. 4 </w:t>
      </w:r>
      <w:r w:rsidR="00993062" w:rsidRPr="00E06F0A">
        <w:rPr>
          <w:rFonts w:ascii="Times New Roman" w:hAnsi="Times New Roman"/>
          <w:u w:val="single"/>
        </w:rPr>
        <w:t>Sensitivity analyses.</w:t>
      </w:r>
      <w:r w:rsidR="00993062" w:rsidRPr="0016289C">
        <w:rPr>
          <w:rFonts w:ascii="Times New Roman" w:hAnsi="Times New Roman"/>
        </w:rPr>
        <w:t xml:space="preserve"> </w:t>
      </w:r>
      <w:r w:rsidR="000A4E0E">
        <w:rPr>
          <w:rFonts w:ascii="Times New Roman" w:hAnsi="Times New Roman"/>
        </w:rPr>
        <w:t>We</w:t>
      </w:r>
      <w:r w:rsidR="000A4E0E" w:rsidRPr="0016289C">
        <w:rPr>
          <w:rFonts w:ascii="Times New Roman" w:hAnsi="Times New Roman"/>
        </w:rPr>
        <w:t xml:space="preserve"> </w:t>
      </w:r>
      <w:r w:rsidR="00993062" w:rsidRPr="0016289C">
        <w:rPr>
          <w:rFonts w:ascii="Times New Roman" w:hAnsi="Times New Roman"/>
        </w:rPr>
        <w:t xml:space="preserve">will assess the robustness of study findings to </w:t>
      </w:r>
      <w:r w:rsidR="000A4E0E">
        <w:rPr>
          <w:rFonts w:ascii="Times New Roman" w:hAnsi="Times New Roman"/>
        </w:rPr>
        <w:t xml:space="preserve">assumptions about </w:t>
      </w:r>
      <w:r w:rsidR="00993062" w:rsidRPr="0016289C">
        <w:rPr>
          <w:rFonts w:ascii="Times New Roman" w:hAnsi="Times New Roman"/>
        </w:rPr>
        <w:t>missing data</w:t>
      </w:r>
      <w:r w:rsidR="000A4E0E">
        <w:rPr>
          <w:rFonts w:ascii="Times New Roman" w:hAnsi="Times New Roman"/>
        </w:rPr>
        <w:t>, the primary analysis population, and covariates used for adjustment</w:t>
      </w:r>
      <w:r w:rsidR="00993062" w:rsidRPr="0016289C">
        <w:rPr>
          <w:rFonts w:ascii="Times New Roman" w:hAnsi="Times New Roman"/>
        </w:rPr>
        <w:t xml:space="preserve">. </w:t>
      </w:r>
      <w:r w:rsidR="000A4E0E">
        <w:rPr>
          <w:rFonts w:ascii="Times New Roman" w:hAnsi="Times New Roman"/>
        </w:rPr>
        <w:t>Specifically, we will perform the following:</w:t>
      </w:r>
    </w:p>
    <w:p w14:paraId="0DE7C2E9" w14:textId="43D12CB0" w:rsidR="00993062" w:rsidRDefault="00993062" w:rsidP="001F79E7">
      <w:pPr>
        <w:pStyle w:val="ListParagraph"/>
        <w:numPr>
          <w:ilvl w:val="0"/>
          <w:numId w:val="28"/>
        </w:numPr>
        <w:snapToGrid w:val="0"/>
        <w:jc w:val="both"/>
        <w:rPr>
          <w:rFonts w:ascii="Times New Roman" w:hAnsi="Times New Roman"/>
        </w:rPr>
      </w:pPr>
      <w:r w:rsidRPr="00117BEE">
        <w:rPr>
          <w:rFonts w:ascii="Times New Roman" w:hAnsi="Times New Roman"/>
        </w:rPr>
        <w:t xml:space="preserve">We will conduct a missing-not-at-random (MNAR) sensitivity analysis using control-based imputation in which all data are imputed based on the placebo arm. </w:t>
      </w:r>
    </w:p>
    <w:p w14:paraId="60EA47D5" w14:textId="77777777" w:rsidR="007C04F8" w:rsidRDefault="000A4E0E" w:rsidP="000A4E0E">
      <w:pPr>
        <w:pStyle w:val="ListParagraph"/>
        <w:numPr>
          <w:ilvl w:val="0"/>
          <w:numId w:val="28"/>
        </w:numPr>
        <w:snapToGrid w:val="0"/>
        <w:jc w:val="both"/>
        <w:rPr>
          <w:rFonts w:ascii="Times New Roman" w:hAnsi="Times New Roman"/>
        </w:rPr>
      </w:pPr>
      <w:r>
        <w:rPr>
          <w:rFonts w:ascii="Times New Roman" w:hAnsi="Times New Roman"/>
        </w:rPr>
        <w:t xml:space="preserve">Since </w:t>
      </w:r>
      <w:r w:rsidRPr="000A4E0E">
        <w:rPr>
          <w:rFonts w:ascii="Times New Roman" w:hAnsi="Times New Roman"/>
        </w:rPr>
        <w:t>ITT generally biases towards no difference</w:t>
      </w:r>
      <w:r>
        <w:rPr>
          <w:rFonts w:ascii="Times New Roman" w:hAnsi="Times New Roman"/>
        </w:rPr>
        <w:t>,</w:t>
      </w:r>
      <w:r w:rsidRPr="000A4E0E">
        <w:rPr>
          <w:rFonts w:ascii="Times New Roman" w:hAnsi="Times New Roman"/>
        </w:rPr>
        <w:t xml:space="preserve"> </w:t>
      </w:r>
      <w:r>
        <w:rPr>
          <w:rFonts w:ascii="Times New Roman" w:hAnsi="Times New Roman"/>
        </w:rPr>
        <w:t>we will perform a per-protocol analysis</w:t>
      </w:r>
      <w:r w:rsidR="007C04F8">
        <w:rPr>
          <w:rFonts w:ascii="Times New Roman" w:hAnsi="Times New Roman"/>
        </w:rPr>
        <w:t xml:space="preserve"> in which the complier average causal effect (CACE) will be estimated by using the treatment assignment as an instrumental variable.</w:t>
      </w:r>
    </w:p>
    <w:p w14:paraId="40237406" w14:textId="5E403CA1" w:rsidR="000A4E0E" w:rsidRPr="00117BEE" w:rsidRDefault="007C04F8" w:rsidP="00117BEE">
      <w:pPr>
        <w:pStyle w:val="ListParagraph"/>
        <w:numPr>
          <w:ilvl w:val="0"/>
          <w:numId w:val="28"/>
        </w:numPr>
        <w:snapToGrid w:val="0"/>
        <w:jc w:val="both"/>
        <w:rPr>
          <w:rFonts w:ascii="Times New Roman" w:hAnsi="Times New Roman"/>
        </w:rPr>
      </w:pPr>
      <w:r>
        <w:rPr>
          <w:rFonts w:ascii="Times New Roman" w:hAnsi="Times New Roman"/>
        </w:rPr>
        <w:lastRenderedPageBreak/>
        <w:t>Baseline variables that were found to be strongly imbalanced between the treatment groups will be added as adjustment variables to the</w:t>
      </w:r>
      <w:r w:rsidR="000A4E0E">
        <w:rPr>
          <w:rFonts w:ascii="Times New Roman" w:hAnsi="Times New Roman"/>
        </w:rPr>
        <w:t xml:space="preserve"> </w:t>
      </w:r>
      <w:r>
        <w:rPr>
          <w:rFonts w:ascii="Times New Roman" w:hAnsi="Times New Roman"/>
        </w:rPr>
        <w:t>primary analysis model.</w:t>
      </w:r>
    </w:p>
    <w:p w14:paraId="0F2D19D9" w14:textId="77777777" w:rsidR="00993062" w:rsidRPr="0016289C" w:rsidRDefault="00993062" w:rsidP="00993062">
      <w:pPr>
        <w:snapToGrid w:val="0"/>
        <w:jc w:val="both"/>
        <w:rPr>
          <w:rFonts w:ascii="Times New Roman" w:hAnsi="Times New Roman"/>
        </w:rPr>
      </w:pPr>
    </w:p>
    <w:p w14:paraId="1E82A414" w14:textId="64FF525A" w:rsidR="00993062" w:rsidRPr="00E0193C" w:rsidRDefault="00993062" w:rsidP="00993062">
      <w:pPr>
        <w:jc w:val="both"/>
        <w:rPr>
          <w:rFonts w:ascii="Times New Roman" w:hAnsi="Times New Roman"/>
        </w:rPr>
      </w:pPr>
      <w:r w:rsidRPr="00E0193C">
        <w:rPr>
          <w:rFonts w:ascii="Times New Roman" w:hAnsi="Times New Roman"/>
        </w:rPr>
        <w:t xml:space="preserve"> </w:t>
      </w:r>
    </w:p>
    <w:p w14:paraId="3C918ACB" w14:textId="48B54A3E" w:rsidR="001A687D" w:rsidRPr="00E0193C" w:rsidRDefault="00E06F0A" w:rsidP="00E0193C">
      <w:pPr>
        <w:jc w:val="both"/>
        <w:rPr>
          <w:rFonts w:ascii="Times New Roman" w:hAnsi="Times New Roman"/>
        </w:rPr>
      </w:pPr>
      <w:r>
        <w:rPr>
          <w:bCs/>
          <w:color w:val="000000" w:themeColor="text1"/>
          <w:u w:val="single"/>
        </w:rPr>
        <w:t xml:space="preserve">16.5 </w:t>
      </w:r>
      <w:r w:rsidR="001A687D" w:rsidRPr="00E0193C">
        <w:rPr>
          <w:bCs/>
          <w:color w:val="000000" w:themeColor="text1"/>
          <w:u w:val="single"/>
        </w:rPr>
        <w:t>Data storage and security.</w:t>
      </w:r>
      <w:r w:rsidR="001A687D" w:rsidRPr="00E0193C">
        <w:rPr>
          <w:bCs/>
          <w:i/>
          <w:color w:val="000000" w:themeColor="text1"/>
        </w:rPr>
        <w:t xml:space="preserve"> </w:t>
      </w:r>
      <w:r w:rsidR="001A687D" w:rsidRPr="00E0193C">
        <w:rPr>
          <w:bCs/>
        </w:rPr>
        <w:t xml:space="preserve">Initial stages of data management will be done by experienced clinical data managers, database developers, data research associates, and data processing staff, supported by computer system analysts, programmers, and information technology specialists. These persons will be responsible for data quality and timeliness, documentation of processes and procedures, and training of data management staff. </w:t>
      </w:r>
    </w:p>
    <w:p w14:paraId="7EBDDC82" w14:textId="77777777" w:rsidR="001A687D" w:rsidRPr="0016289C" w:rsidRDefault="001A687D" w:rsidP="005B128E"/>
    <w:p w14:paraId="2F0D0288" w14:textId="38608259" w:rsidR="002500C8" w:rsidRPr="0016289C" w:rsidRDefault="001A687D" w:rsidP="00A33983">
      <w:r w:rsidRPr="0016289C">
        <w:t>Data will be entered directly into a secure, backed-up, 24-hour, web-based database using electronic forms developed by the BDMC staff with the assistance of project investigators and statisticians. Data entry screens will incorporate range and logical edit checks, both within and across forms. A data monitoring plan written before the start of data collection, will serve as a reference guide for the development of case report forms, data handling conventions, reporting, data dictionaries, supporting meta data, as well as project closeout activities, communication and coordination plans among the PIs, clinical teams, sites coordinators, and staff and faculty-level statisticians.</w:t>
      </w:r>
    </w:p>
    <w:p w14:paraId="2126DB2C" w14:textId="0A1E5765" w:rsidR="002500C8" w:rsidRPr="001F79E7" w:rsidRDefault="00ED75DA" w:rsidP="002500C8">
      <w:pPr>
        <w:pStyle w:val="BodyText"/>
        <w:rPr>
          <w:b/>
          <w:lang w:val="en-US"/>
        </w:rPr>
      </w:pPr>
      <w:r>
        <w:rPr>
          <w:bCs/>
          <w:lang w:val="en-US"/>
        </w:rPr>
        <w:t>I</w:t>
      </w:r>
      <w:proofErr w:type="spellStart"/>
      <w:r w:rsidRPr="0016289C">
        <w:rPr>
          <w:bCs/>
        </w:rPr>
        <w:t>dentifiable</w:t>
      </w:r>
      <w:proofErr w:type="spellEnd"/>
      <w:r w:rsidR="002500C8" w:rsidRPr="0016289C">
        <w:rPr>
          <w:bCs/>
        </w:rPr>
        <w:t xml:space="preserve"> medical record information will be us</w:t>
      </w:r>
      <w:r w:rsidRPr="001F79E7">
        <w:rPr>
          <w:lang w:val="en-US"/>
        </w:rPr>
        <w:t xml:space="preserve">ed and </w:t>
      </w:r>
      <w:r>
        <w:rPr>
          <w:bCs/>
          <w:lang w:val="en-US"/>
        </w:rPr>
        <w:t xml:space="preserve">will remain at each site </w:t>
      </w:r>
      <w:r w:rsidR="002500C8" w:rsidRPr="0016289C">
        <w:rPr>
          <w:bCs/>
        </w:rPr>
        <w:t>until the study is completed in 202</w:t>
      </w:r>
      <w:r>
        <w:rPr>
          <w:bCs/>
          <w:lang w:val="en-US"/>
        </w:rPr>
        <w:t>5</w:t>
      </w:r>
      <w:r w:rsidR="002500C8" w:rsidRPr="0016289C">
        <w:rPr>
          <w:bCs/>
        </w:rPr>
        <w:t>.</w:t>
      </w:r>
      <w:r w:rsidR="00533DFE">
        <w:rPr>
          <w:bCs/>
          <w:lang w:val="en-US"/>
        </w:rPr>
        <w:t xml:space="preserve"> PHI information will not be shared across sites. </w:t>
      </w:r>
    </w:p>
    <w:p w14:paraId="78CF1CD2" w14:textId="0A3EB415" w:rsidR="001A687D" w:rsidRPr="00346DFC" w:rsidRDefault="002500C8" w:rsidP="00346DFC">
      <w:pPr>
        <w:pStyle w:val="BodyText"/>
        <w:rPr>
          <w:b/>
          <w:lang w:val="en-US"/>
        </w:rPr>
      </w:pPr>
      <w:r w:rsidRPr="0016289C">
        <w:rPr>
          <w:bCs/>
        </w:rPr>
        <w:t xml:space="preserve">The </w:t>
      </w:r>
      <w:r w:rsidRPr="00533DFE">
        <w:rPr>
          <w:bCs/>
        </w:rPr>
        <w:t>link between your PHI and the study ID code will be destroyed ten years after study completion. Records of your baby will be maintained until he/she is 23 years of age. After that time, identifiers will be destroyed, and research data will be coded and retained anonymously indefinitely.</w:t>
      </w:r>
      <w:r w:rsidR="00977E32">
        <w:rPr>
          <w:bCs/>
          <w:lang w:val="en-US"/>
        </w:rPr>
        <w:t xml:space="preserve"> </w:t>
      </w:r>
    </w:p>
    <w:p w14:paraId="2C5AB368" w14:textId="490B810D" w:rsidR="00C336D4" w:rsidRPr="0016289C" w:rsidRDefault="00C336D4" w:rsidP="00C336D4">
      <w:pPr>
        <w:pStyle w:val="Heading1"/>
        <w:rPr>
          <w:sz w:val="24"/>
          <w:szCs w:val="24"/>
        </w:rPr>
      </w:pPr>
      <w:bookmarkStart w:id="28" w:name="_Toc496162146"/>
      <w:r w:rsidRPr="0016289C">
        <w:rPr>
          <w:sz w:val="24"/>
          <w:szCs w:val="24"/>
        </w:rPr>
        <w:t>Provisions to Monitor the Data to Ensure the Safety of Subjects</w:t>
      </w:r>
      <w:bookmarkEnd w:id="28"/>
    </w:p>
    <w:p w14:paraId="57960872" w14:textId="024319B7" w:rsidR="00EB22CE" w:rsidRPr="0016289C" w:rsidRDefault="00EB22CE" w:rsidP="00EB22CE">
      <w:pPr>
        <w:pStyle w:val="Heading1"/>
        <w:numPr>
          <w:ilvl w:val="0"/>
          <w:numId w:val="0"/>
        </w:numPr>
        <w:ind w:left="720"/>
        <w:rPr>
          <w:sz w:val="24"/>
          <w:szCs w:val="24"/>
        </w:rPr>
      </w:pPr>
    </w:p>
    <w:p w14:paraId="647F8CCE" w14:textId="2146DA4F" w:rsidR="00EB22CE" w:rsidRDefault="008751F6" w:rsidP="00EB22CE">
      <w:pPr>
        <w:widowControl w:val="0"/>
        <w:spacing w:after="240"/>
        <w:jc w:val="both"/>
        <w:rPr>
          <w:rFonts w:ascii="Times New Roman" w:hAnsi="Times New Roman"/>
          <w:color w:val="000000" w:themeColor="text1"/>
        </w:rPr>
      </w:pPr>
      <w:r>
        <w:rPr>
          <w:rFonts w:ascii="Times New Roman" w:hAnsi="Times New Roman"/>
          <w:color w:val="000000" w:themeColor="text1"/>
          <w:u w:val="single"/>
        </w:rPr>
        <w:t xml:space="preserve">17.1 </w:t>
      </w:r>
      <w:r w:rsidR="00EB22CE" w:rsidRPr="0016289C">
        <w:rPr>
          <w:rFonts w:ascii="Times New Roman" w:hAnsi="Times New Roman"/>
          <w:color w:val="000000" w:themeColor="text1"/>
          <w:u w:val="single"/>
        </w:rPr>
        <w:t>Safety monitoring and event reporting.</w:t>
      </w:r>
      <w:r w:rsidR="00EB22CE" w:rsidRPr="0016289C">
        <w:rPr>
          <w:rFonts w:ascii="Times New Roman" w:hAnsi="Times New Roman"/>
          <w:i/>
          <w:color w:val="000000" w:themeColor="text1"/>
        </w:rPr>
        <w:t xml:space="preserve"> </w:t>
      </w:r>
      <w:r w:rsidR="00EB22CE" w:rsidRPr="0016289C">
        <w:rPr>
          <w:rFonts w:ascii="Times New Roman" w:hAnsi="Times New Roman"/>
          <w:color w:val="000000" w:themeColor="text1"/>
        </w:rPr>
        <w:t xml:space="preserve">As with any experimental procedure, there may be adverse events or side effects that are currently unknown and certain of these unknown risks could be permanent, severe or life threatening. </w:t>
      </w:r>
      <w:r w:rsidR="00EB22CE" w:rsidRPr="0016289C">
        <w:rPr>
          <w:rFonts w:ascii="Times New Roman" w:hAnsi="Times New Roman"/>
        </w:rPr>
        <w:t>We will capture the major potential adverse events related to EA during the study and examine each adverse event using standard reporting methodology.</w:t>
      </w:r>
      <w:r w:rsidR="00EB22CE" w:rsidRPr="0016289C">
        <w:rPr>
          <w:rFonts w:ascii="Times New Roman" w:hAnsi="Times New Roman"/>
          <w:color w:val="000000" w:themeColor="text1"/>
        </w:rPr>
        <w:t xml:space="preserve"> Research staff will strictly comply with IRB policies for the reporting of adverse events.</w:t>
      </w:r>
      <w:r w:rsidR="00987B4A">
        <w:rPr>
          <w:rFonts w:ascii="Times New Roman" w:hAnsi="Times New Roman"/>
          <w:color w:val="000000" w:themeColor="text1"/>
        </w:rPr>
        <w:t xml:space="preserve"> To assist with reporting of adverse events, an event table will be distributed to all sites prior to enrollment. </w:t>
      </w:r>
    </w:p>
    <w:p w14:paraId="7316B417" w14:textId="77777777" w:rsidR="00977E32" w:rsidRPr="001F79E7" w:rsidRDefault="00977E32" w:rsidP="001F79E7">
      <w:pPr>
        <w:pStyle w:val="Default"/>
      </w:pPr>
    </w:p>
    <w:p w14:paraId="0C49AF5A" w14:textId="77777777" w:rsidR="00EB22CE" w:rsidRPr="0016289C" w:rsidRDefault="00EB22CE" w:rsidP="00EB22CE">
      <w:pPr>
        <w:widowControl w:val="0"/>
        <w:spacing w:after="240"/>
        <w:jc w:val="both"/>
        <w:rPr>
          <w:rFonts w:ascii="Times New Roman" w:hAnsi="Times New Roman"/>
          <w:color w:val="000000" w:themeColor="text1"/>
        </w:rPr>
      </w:pPr>
      <w:r w:rsidRPr="0016289C">
        <w:rPr>
          <w:rFonts w:ascii="Times New Roman" w:hAnsi="Times New Roman"/>
          <w:i/>
          <w:color w:val="000000" w:themeColor="text1"/>
        </w:rPr>
        <w:t>Definition of an adverse event (AE).</w:t>
      </w:r>
      <w:r w:rsidRPr="0016289C">
        <w:rPr>
          <w:rFonts w:ascii="Times New Roman" w:hAnsi="Times New Roman"/>
          <w:color w:val="000000" w:themeColor="text1"/>
        </w:rPr>
        <w:t xml:space="preserve"> Any untoward medical occurrence in a subject temporally associated with the trial protocol, whether or not it is considered causally related to the trial protocol. Examples include: (1) significant or unexpected worsening or exacerbation of the condition under study, (2) or new conditions detected or diagnosed after protocol initiation even though it may have been present prior to the start of the study. </w:t>
      </w:r>
    </w:p>
    <w:p w14:paraId="01D8D47C" w14:textId="77777777" w:rsidR="00EB22CE" w:rsidRPr="0016289C" w:rsidRDefault="00EB22CE" w:rsidP="00EB22CE">
      <w:pPr>
        <w:widowControl w:val="0"/>
        <w:spacing w:after="240"/>
        <w:jc w:val="both"/>
        <w:rPr>
          <w:rFonts w:ascii="Times New Roman" w:hAnsi="Times New Roman"/>
          <w:color w:val="000000" w:themeColor="text1"/>
        </w:rPr>
      </w:pPr>
      <w:r w:rsidRPr="0016289C">
        <w:rPr>
          <w:rFonts w:ascii="Times New Roman" w:hAnsi="Times New Roman"/>
          <w:i/>
          <w:color w:val="000000" w:themeColor="text1"/>
        </w:rPr>
        <w:t>Definition of a serious adverse event (SAE).</w:t>
      </w:r>
      <w:r w:rsidRPr="0016289C">
        <w:rPr>
          <w:rFonts w:ascii="Times New Roman" w:hAnsi="Times New Roman"/>
          <w:color w:val="000000" w:themeColor="text1"/>
        </w:rPr>
        <w:t xml:space="preserve"> Any untoward medical occurrence during the index hospitalization that: (1) results in death, (2) is life-threatening, or (3) results in disability/incapacity. </w:t>
      </w:r>
    </w:p>
    <w:p w14:paraId="765C42C7" w14:textId="166A2631" w:rsidR="00EB22CE" w:rsidRPr="0016289C" w:rsidRDefault="00EB22CE" w:rsidP="00EB22CE">
      <w:pPr>
        <w:widowControl w:val="0"/>
        <w:spacing w:after="240"/>
        <w:jc w:val="both"/>
        <w:rPr>
          <w:rFonts w:ascii="Times New Roman" w:hAnsi="Times New Roman"/>
          <w:color w:val="000000" w:themeColor="text1"/>
        </w:rPr>
      </w:pPr>
      <w:r w:rsidRPr="0016289C">
        <w:rPr>
          <w:rFonts w:ascii="Times New Roman" w:hAnsi="Times New Roman"/>
          <w:color w:val="000000" w:themeColor="text1"/>
        </w:rPr>
        <w:lastRenderedPageBreak/>
        <w:t xml:space="preserve">All AEs and SAEs will be recorded from the time </w:t>
      </w:r>
      <w:r w:rsidR="00A25851">
        <w:rPr>
          <w:rFonts w:ascii="Times New Roman" w:hAnsi="Times New Roman"/>
          <w:color w:val="000000" w:themeColor="text1"/>
        </w:rPr>
        <w:t>of randomization</w:t>
      </w:r>
      <w:r w:rsidRPr="0016289C">
        <w:rPr>
          <w:rFonts w:ascii="Times New Roman" w:hAnsi="Times New Roman"/>
          <w:color w:val="000000" w:themeColor="text1"/>
        </w:rPr>
        <w:t xml:space="preserve"> until hospital discharge. AEs and SAEs will be solicited from parents of subjects, attending physicians, and bedside nurses; the medical record will also be reviewed daily for the presence of events. Notification of coordinating center regarding any SAE will take place within 48 hours of recognition. The coordinating center will then be responsible for notifying the DSMB regarding all SAEs within 48 hours. When an AE/SAE occurs, it will be the site PI’s responsibility to review the pertinent records, notes, laboratory, and radiographic data. This information will be recorded along with the site PI’s impression of the diagnosis. The site PI will assess causality between the event and the study protocol using best clinical judgment, and this will be reviewed by the DSMB who will recommend if follow-up or modification of the study protocol is necessary. All deaths will be reviewed by the DSMB within 30 days of reporting said event.</w:t>
      </w:r>
    </w:p>
    <w:p w14:paraId="1742BA74" w14:textId="3F9A859B" w:rsidR="00EB22CE" w:rsidRDefault="008751F6" w:rsidP="004D6166">
      <w:pPr>
        <w:spacing w:after="120"/>
        <w:contextualSpacing/>
        <w:jc w:val="both"/>
        <w:rPr>
          <w:rFonts w:ascii="Times New Roman" w:hAnsi="Times New Roman"/>
          <w:color w:val="000000" w:themeColor="text1"/>
        </w:rPr>
      </w:pPr>
      <w:r>
        <w:rPr>
          <w:rFonts w:ascii="Times New Roman" w:hAnsi="Times New Roman"/>
          <w:color w:val="000000" w:themeColor="text1"/>
          <w:u w:val="single"/>
        </w:rPr>
        <w:t xml:space="preserve">17.2 </w:t>
      </w:r>
      <w:r w:rsidR="00EB22CE" w:rsidRPr="0016289C">
        <w:rPr>
          <w:rFonts w:ascii="Times New Roman" w:hAnsi="Times New Roman"/>
          <w:color w:val="000000" w:themeColor="text1"/>
          <w:u w:val="single"/>
        </w:rPr>
        <w:t>Data safety and monitoring board (DSMB).</w:t>
      </w:r>
      <w:r w:rsidR="00EB22CE" w:rsidRPr="0016289C">
        <w:rPr>
          <w:rFonts w:ascii="Times New Roman" w:hAnsi="Times New Roman"/>
          <w:color w:val="000000" w:themeColor="text1"/>
        </w:rPr>
        <w:t xml:space="preserve"> </w:t>
      </w:r>
      <w:r w:rsidR="00EB22CE" w:rsidRPr="0016289C">
        <w:rPr>
          <w:rFonts w:ascii="Times New Roman" w:hAnsi="Times New Roman"/>
        </w:rPr>
        <w:t>The University of Pittsburgh Office of Clinical Research, Health Sciences / CTSI will provide the logistical management and support of the DSMB</w:t>
      </w:r>
      <w:r w:rsidR="00866C5E">
        <w:rPr>
          <w:rFonts w:ascii="Times New Roman" w:hAnsi="Times New Roman"/>
        </w:rPr>
        <w:t xml:space="preserve">. A letter of support can be provided to sites, if needed. </w:t>
      </w:r>
      <w:r w:rsidR="00EB22CE" w:rsidRPr="0016289C">
        <w:rPr>
          <w:rFonts w:ascii="Times New Roman" w:hAnsi="Times New Roman"/>
          <w:color w:val="000000" w:themeColor="text1"/>
        </w:rPr>
        <w:t xml:space="preserve">We propose to include neonatologists, maternal fetal medicine specialists, infectious disease specialists, and a statistician and/or epidemiologist experienced in the conduct of clinical research and unaffiliated with any study team members. </w:t>
      </w:r>
      <w:r w:rsidR="00EB22CE" w:rsidRPr="0016289C">
        <w:rPr>
          <w:rFonts w:ascii="Times New Roman" w:hAnsi="Times New Roman"/>
        </w:rPr>
        <w:t xml:space="preserve">Members will consist of persons independent of the investigators who have no financial, scientific, or other conflict of interest with the study.  Written documentation attesting to absence of conflict of interest will be required. </w:t>
      </w:r>
      <w:r w:rsidR="00EB22CE" w:rsidRPr="0016289C">
        <w:rPr>
          <w:rFonts w:ascii="Times New Roman" w:hAnsi="Times New Roman"/>
          <w:color w:val="000000" w:themeColor="text1"/>
        </w:rPr>
        <w:t xml:space="preserve">The DSMB will review the study protocol prior to study rollout and will meet on a semi-annual basis to review recruitment, retention, data completeness, protocol deviations, and adverse events. Safety data will be examined on an ad hoc basis if safety concerns arise from trial data or from external research or literature. </w:t>
      </w:r>
    </w:p>
    <w:p w14:paraId="58612E96" w14:textId="77777777" w:rsidR="004D6166" w:rsidRPr="004D6166" w:rsidRDefault="004D6166" w:rsidP="004D6166">
      <w:pPr>
        <w:pStyle w:val="Default"/>
      </w:pPr>
    </w:p>
    <w:p w14:paraId="75F7B9BF" w14:textId="77777777" w:rsidR="00EB22CE" w:rsidRPr="0016289C" w:rsidRDefault="00EB22CE" w:rsidP="00EB22CE">
      <w:pPr>
        <w:widowControl w:val="0"/>
        <w:spacing w:after="240"/>
        <w:jc w:val="both"/>
        <w:rPr>
          <w:rFonts w:ascii="Times New Roman" w:hAnsi="Times New Roman"/>
        </w:rPr>
      </w:pPr>
      <w:r w:rsidRPr="0016289C">
        <w:rPr>
          <w:rFonts w:ascii="Times New Roman" w:hAnsi="Times New Roman"/>
        </w:rPr>
        <w:t>The DSMB will:</w:t>
      </w:r>
    </w:p>
    <w:p w14:paraId="3B9DCAC6"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Review the research protocol, informed consent documents and plans for data and safety monitoring;</w:t>
      </w:r>
    </w:p>
    <w:p w14:paraId="2F78E778"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Evaluate the progress of the study, including periodic assessments of data quality and timeliness, participant recruitment, accrual and retention, participant risk versus benefit, adverse events, unanticipated problems, performance of the trial sites, and other factors that can affect study outcome;</w:t>
      </w:r>
    </w:p>
    <w:p w14:paraId="4C54C2C1"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Consider factors external to the study when relevant information becomes available, such as scientific or therapeutic developments that may have an impact on the safety of the participants or the ethics of the study;</w:t>
      </w:r>
    </w:p>
    <w:p w14:paraId="6AC04FFC"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Review clinical center performance, make recommendations and assist in the resolution of problems reported by the PI;</w:t>
      </w:r>
    </w:p>
    <w:p w14:paraId="6EC969A2"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Protect the safety of the study participants;</w:t>
      </w:r>
    </w:p>
    <w:p w14:paraId="3FE66C0E"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Report on the safety and progress of the study;</w:t>
      </w:r>
    </w:p>
    <w:p w14:paraId="05CC26D6"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Make recommendations to the PI, and if required, to the NIH / NICHD concerning continuation, termination or other modifications of the study based on the observed beneficial or adverse effects of the treatment under study;</w:t>
      </w:r>
    </w:p>
    <w:p w14:paraId="03FA99BE"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lastRenderedPageBreak/>
        <w:t xml:space="preserve">Monitor the confidentiality of the study data and the results of monitoring; </w:t>
      </w:r>
    </w:p>
    <w:p w14:paraId="3FE8B1C4" w14:textId="77777777" w:rsidR="00EB22CE" w:rsidRPr="0016289C" w:rsidRDefault="00EB22CE" w:rsidP="00D52C26">
      <w:pPr>
        <w:widowControl w:val="0"/>
        <w:numPr>
          <w:ilvl w:val="0"/>
          <w:numId w:val="8"/>
        </w:numPr>
        <w:autoSpaceDE/>
        <w:autoSpaceDN/>
        <w:adjustRightInd/>
        <w:spacing w:after="80"/>
        <w:jc w:val="both"/>
        <w:rPr>
          <w:rFonts w:ascii="Times New Roman" w:hAnsi="Times New Roman"/>
        </w:rPr>
      </w:pPr>
      <w:r w:rsidRPr="0016289C">
        <w:rPr>
          <w:rFonts w:ascii="Times New Roman" w:hAnsi="Times New Roman"/>
        </w:rPr>
        <w:t>Assist the PI by commenting on any problems with study conduct, enrollment, sample size and/or data collection.</w:t>
      </w:r>
    </w:p>
    <w:p w14:paraId="5CF87854" w14:textId="77777777" w:rsidR="00EB22CE" w:rsidRPr="0016289C" w:rsidRDefault="00EB22CE" w:rsidP="00EB22CE">
      <w:pPr>
        <w:widowControl w:val="0"/>
        <w:spacing w:after="240"/>
        <w:jc w:val="both"/>
        <w:rPr>
          <w:rFonts w:ascii="Times New Roman" w:hAnsi="Times New Roman"/>
        </w:rPr>
      </w:pPr>
      <w:r w:rsidRPr="0016289C">
        <w:rPr>
          <w:rFonts w:ascii="Times New Roman" w:hAnsi="Times New Roman"/>
        </w:rPr>
        <w:t xml:space="preserve">The first meeting will take place before study initiation to discuss the protocol, approve the commencement of the study, and to establish guidelines to monitor the study.   A safety officer (Chairperson) will be identified at the first meeting.  This person will be the contact person for serious adverse event reporting.  </w:t>
      </w:r>
      <w:r w:rsidRPr="0016289C">
        <w:rPr>
          <w:rFonts w:ascii="Times New Roman" w:hAnsi="Times New Roman"/>
          <w:color w:val="000000" w:themeColor="text1"/>
        </w:rPr>
        <w:t xml:space="preserve">The DSMB will review the final protocol before commencing enrollment and then meet semi-annually and at any other needed interval (based on reports) to ensure that no serious adverse consequences occur because of either administering or withholding the intervention. </w:t>
      </w:r>
      <w:r w:rsidRPr="0016289C">
        <w:rPr>
          <w:rFonts w:ascii="Times New Roman" w:hAnsi="Times New Roman"/>
        </w:rPr>
        <w:t xml:space="preserve">An emergency meeting of the DSMB will be called at any time by the Chairperson should questions of patient safety arise.  </w:t>
      </w:r>
    </w:p>
    <w:p w14:paraId="432D1D56" w14:textId="77777777" w:rsidR="00EB22CE" w:rsidRPr="0016289C" w:rsidRDefault="00EB22CE" w:rsidP="00EB22CE">
      <w:pPr>
        <w:widowControl w:val="0"/>
        <w:spacing w:after="240"/>
        <w:jc w:val="both"/>
        <w:rPr>
          <w:rFonts w:ascii="Times New Roman" w:hAnsi="Times New Roman"/>
          <w:color w:val="000000" w:themeColor="text1"/>
        </w:rPr>
      </w:pPr>
      <w:r w:rsidRPr="0016289C">
        <w:rPr>
          <w:rFonts w:ascii="Times New Roman" w:hAnsi="Times New Roman"/>
          <w:color w:val="000000" w:themeColor="text1"/>
        </w:rPr>
        <w:t>DSMB reviews will consider the occurrence of adverse events, problems with loss of confidentiality, or other unanticipated problems, and will consider whether the anticipated benefit-to-risk ratio of study participation is altered by the findings in the safety monitoring process. Particular attention will be given to confirm that the study protocol is protecting the privacy of research subjects as anticipated. The following will be reported to the IRB: date of data and safety monitoring; summary of adverse event data including an assessment of intervention causality; summary of the assessment of relevant scientific literature and its impact on the design of the study; summary of procedural reviews conducted to ensure subject privacy. This report will be accompanied by a final conclusion regarding changes of the anticipated benefit-to-risk ratio and recommendations related to continuing, changing, or terminating the study. Recommendations to change the study will be accompanied with a detailed rationale for the proposed changes.</w:t>
      </w:r>
    </w:p>
    <w:p w14:paraId="73441CB5" w14:textId="3A4BC60E" w:rsidR="00EB22CE" w:rsidRPr="00C77577" w:rsidRDefault="008751F6" w:rsidP="00C77577">
      <w:pPr>
        <w:rPr>
          <w:rFonts w:ascii="Times New Roman" w:hAnsi="Times New Roman"/>
          <w:u w:val="single"/>
        </w:rPr>
      </w:pPr>
      <w:r>
        <w:rPr>
          <w:rFonts w:ascii="Times New Roman" w:hAnsi="Times New Roman"/>
          <w:u w:val="single"/>
        </w:rPr>
        <w:t xml:space="preserve">17.3 </w:t>
      </w:r>
      <w:r w:rsidR="00EB22CE" w:rsidRPr="0016289C">
        <w:rPr>
          <w:rFonts w:ascii="Times New Roman" w:hAnsi="Times New Roman"/>
          <w:u w:val="single"/>
        </w:rPr>
        <w:t>Interim analyses and stopping rules.</w:t>
      </w:r>
      <w:r w:rsidR="00EB22CE" w:rsidRPr="0016289C">
        <w:rPr>
          <w:rFonts w:ascii="Times New Roman" w:hAnsi="Times New Roman"/>
        </w:rPr>
        <w:t xml:space="preserve"> The NANO Coordinating Center will conduct two interim analyses and a final analysis using O’Brien and Fleming stopping rules defined </w:t>
      </w:r>
      <w:r w:rsidR="00EB22CE" w:rsidRPr="0016289C">
        <w:rPr>
          <w:rFonts w:ascii="Times New Roman" w:hAnsi="Times New Roman"/>
          <w:i/>
        </w:rPr>
        <w:t>a priori</w:t>
      </w:r>
      <w:r w:rsidR="00EB22CE" w:rsidRPr="0016289C">
        <w:rPr>
          <w:rFonts w:ascii="Times New Roman" w:hAnsi="Times New Roman"/>
        </w:rPr>
        <w:t xml:space="preserve"> controlling for an overall Type I error rate of 0.05. The first and second interim analyses will be scheduled at approximately 1/3 and 2/3 enrollment, respectively. The DSMB will review recruitment, safety, data collection, and analysis results at each interim analysis. Before trial completion, only the DSMB and a designated study statistician will have access to unblinded data. </w:t>
      </w:r>
      <w:r w:rsidR="00EB22CE" w:rsidRPr="0016289C">
        <w:rPr>
          <w:rFonts w:ascii="Times New Roman" w:hAnsi="Times New Roman"/>
          <w:b/>
        </w:rPr>
        <w:t>During the interim assessments, the DSMB could recommend early trial termination due to unanticipated safety concerns, or due to one or more of the following reasons:</w:t>
      </w:r>
    </w:p>
    <w:p w14:paraId="170E3628" w14:textId="77777777" w:rsidR="00EB22CE" w:rsidRPr="0016289C" w:rsidRDefault="00EB22CE" w:rsidP="00D52C26">
      <w:pPr>
        <w:pStyle w:val="ListParagraph"/>
        <w:keepNext/>
        <w:keepLines/>
        <w:numPr>
          <w:ilvl w:val="0"/>
          <w:numId w:val="9"/>
        </w:numPr>
        <w:overflowPunct w:val="0"/>
        <w:snapToGrid w:val="0"/>
        <w:spacing w:after="120"/>
        <w:ind w:left="461" w:hanging="274"/>
        <w:contextualSpacing w:val="0"/>
        <w:jc w:val="both"/>
        <w:textAlignment w:val="baseline"/>
        <w:rPr>
          <w:rFonts w:ascii="Times New Roman" w:hAnsi="Times New Roman"/>
        </w:rPr>
      </w:pPr>
      <w:r w:rsidRPr="0016289C">
        <w:rPr>
          <w:rFonts w:ascii="Times New Roman" w:hAnsi="Times New Roman"/>
        </w:rPr>
        <w:t xml:space="preserve">A significant difference is found for the study hypothesis and a Z test </w:t>
      </w:r>
      <w:proofErr w:type="spellStart"/>
      <w:r w:rsidRPr="0016289C">
        <w:rPr>
          <w:rFonts w:ascii="Times New Roman" w:hAnsi="Times New Roman"/>
        </w:rPr>
        <w:t>statistic</w:t>
      </w:r>
      <w:proofErr w:type="spellEnd"/>
      <w:r w:rsidRPr="0016289C">
        <w:rPr>
          <w:rFonts w:ascii="Times New Roman" w:hAnsi="Times New Roman"/>
        </w:rPr>
        <w:t xml:space="preserve"> significance bound is crossed because of excess incidence of a composite adverse outcome (NEC, LOS, or death) in the EA arm.</w:t>
      </w:r>
    </w:p>
    <w:p w14:paraId="17404D50" w14:textId="77777777" w:rsidR="00EB22CE" w:rsidRPr="0016289C" w:rsidRDefault="00EB22CE" w:rsidP="00D52C26">
      <w:pPr>
        <w:pStyle w:val="ListParagraph"/>
        <w:keepNext/>
        <w:keepLines/>
        <w:numPr>
          <w:ilvl w:val="0"/>
          <w:numId w:val="9"/>
        </w:numPr>
        <w:overflowPunct w:val="0"/>
        <w:snapToGrid w:val="0"/>
        <w:spacing w:after="120"/>
        <w:ind w:left="461" w:hanging="274"/>
        <w:contextualSpacing w:val="0"/>
        <w:jc w:val="both"/>
        <w:textAlignment w:val="baseline"/>
        <w:rPr>
          <w:rFonts w:ascii="Times New Roman" w:hAnsi="Times New Roman"/>
        </w:rPr>
      </w:pPr>
      <w:r w:rsidRPr="0016289C">
        <w:rPr>
          <w:rFonts w:ascii="Times New Roman" w:hAnsi="Times New Roman"/>
        </w:rPr>
        <w:t xml:space="preserve">A significant difference is found for the study hypothesis and a Z test </w:t>
      </w:r>
      <w:proofErr w:type="spellStart"/>
      <w:r w:rsidRPr="0016289C">
        <w:rPr>
          <w:rFonts w:ascii="Times New Roman" w:hAnsi="Times New Roman"/>
        </w:rPr>
        <w:t>statistic</w:t>
      </w:r>
      <w:proofErr w:type="spellEnd"/>
      <w:r w:rsidRPr="0016289C">
        <w:rPr>
          <w:rFonts w:ascii="Times New Roman" w:hAnsi="Times New Roman"/>
        </w:rPr>
        <w:t xml:space="preserve"> significance bound is crossed because of excess incidence of a composite adverse outcome (NEC, LOS, or death) in the placebo arm.</w:t>
      </w:r>
    </w:p>
    <w:p w14:paraId="18E2B30F" w14:textId="77777777" w:rsidR="00EB22CE" w:rsidRPr="0016289C" w:rsidRDefault="00EB22CE" w:rsidP="00D52C26">
      <w:pPr>
        <w:pStyle w:val="ListParagraph"/>
        <w:keepNext/>
        <w:keepLines/>
        <w:numPr>
          <w:ilvl w:val="0"/>
          <w:numId w:val="9"/>
        </w:numPr>
        <w:overflowPunct w:val="0"/>
        <w:snapToGrid w:val="0"/>
        <w:spacing w:after="120"/>
        <w:ind w:left="461" w:hanging="274"/>
        <w:contextualSpacing w:val="0"/>
        <w:jc w:val="both"/>
        <w:textAlignment w:val="baseline"/>
        <w:rPr>
          <w:rFonts w:ascii="Times New Roman" w:hAnsi="Times New Roman"/>
        </w:rPr>
      </w:pPr>
      <w:r w:rsidRPr="0016289C">
        <w:rPr>
          <w:rFonts w:ascii="Times New Roman" w:hAnsi="Times New Roman"/>
        </w:rPr>
        <w:t>Failure to obtain success in the implementation of the trial either through failure to accrue subjects at the necessary rate, improper data handling, or inability to implement study protocols.</w:t>
      </w:r>
    </w:p>
    <w:p w14:paraId="633E34E1" w14:textId="77777777" w:rsidR="00EB22CE" w:rsidRPr="0016289C" w:rsidRDefault="00EB22CE" w:rsidP="00EB22CE">
      <w:pPr>
        <w:rPr>
          <w:rFonts w:ascii="Times New Roman" w:hAnsi="Times New Roman"/>
        </w:rPr>
      </w:pPr>
    </w:p>
    <w:p w14:paraId="2DA6C1A7" w14:textId="77777777" w:rsidR="00D441ED" w:rsidRPr="0016289C" w:rsidRDefault="00D441ED" w:rsidP="00D441ED">
      <w:pPr>
        <w:pStyle w:val="Heading1"/>
        <w:rPr>
          <w:sz w:val="24"/>
          <w:szCs w:val="24"/>
        </w:rPr>
      </w:pPr>
      <w:bookmarkStart w:id="29" w:name="_Toc496162147"/>
      <w:r w:rsidRPr="0016289C">
        <w:rPr>
          <w:sz w:val="24"/>
          <w:szCs w:val="24"/>
        </w:rPr>
        <w:lastRenderedPageBreak/>
        <w:t>Provisions to Protect the Privacy Interests of Subjects</w:t>
      </w:r>
      <w:bookmarkEnd w:id="29"/>
    </w:p>
    <w:p w14:paraId="6CF327D0" w14:textId="77777777" w:rsidR="008751F6" w:rsidRDefault="008751F6" w:rsidP="008751F6">
      <w:pPr>
        <w:pStyle w:val="Heading1"/>
        <w:numPr>
          <w:ilvl w:val="0"/>
          <w:numId w:val="0"/>
        </w:numPr>
        <w:rPr>
          <w:b w:val="0"/>
          <w:bCs/>
          <w:sz w:val="24"/>
          <w:szCs w:val="24"/>
          <w:u w:val="single"/>
        </w:rPr>
      </w:pPr>
    </w:p>
    <w:p w14:paraId="4BC7C4A0" w14:textId="34D37771" w:rsidR="004D6166" w:rsidRPr="004D6166" w:rsidRDefault="008751F6" w:rsidP="008751F6">
      <w:pPr>
        <w:pStyle w:val="Heading1"/>
        <w:numPr>
          <w:ilvl w:val="0"/>
          <w:numId w:val="0"/>
        </w:numPr>
        <w:rPr>
          <w:b w:val="0"/>
          <w:bCs/>
          <w:sz w:val="24"/>
          <w:szCs w:val="24"/>
        </w:rPr>
      </w:pPr>
      <w:r>
        <w:rPr>
          <w:b w:val="0"/>
          <w:bCs/>
          <w:sz w:val="24"/>
          <w:szCs w:val="24"/>
          <w:u w:val="single"/>
        </w:rPr>
        <w:t xml:space="preserve">18.1 </w:t>
      </w:r>
      <w:r w:rsidR="004D6166" w:rsidRPr="004D6166">
        <w:rPr>
          <w:b w:val="0"/>
          <w:bCs/>
          <w:sz w:val="24"/>
          <w:szCs w:val="24"/>
          <w:u w:val="single"/>
        </w:rPr>
        <w:t>Risk of loss of confidentiality.</w:t>
      </w:r>
      <w:r w:rsidR="004D6166" w:rsidRPr="004D6166">
        <w:rPr>
          <w:b w:val="0"/>
          <w:bCs/>
          <w:sz w:val="24"/>
          <w:szCs w:val="24"/>
        </w:rPr>
        <w:t xml:space="preserve"> The risk of loss of confidentiality will be minimized by de-identifying patient samples such that no patient identifier information is accessible and preserving a key of de-identified samples which is password protected on a secure institutional server.  Hardcopies of consent forms will be kept in locked offices.  Patient identifiers will be preserved in this protected environment until the study is completed, and then they will be de-identified. </w:t>
      </w:r>
      <w:r w:rsidR="0075143B">
        <w:rPr>
          <w:b w:val="0"/>
          <w:bCs/>
          <w:sz w:val="24"/>
          <w:szCs w:val="24"/>
        </w:rPr>
        <w:t>A</w:t>
      </w:r>
      <w:r w:rsidR="0075143B" w:rsidRPr="0075143B">
        <w:rPr>
          <w:b w:val="0"/>
          <w:bCs/>
          <w:sz w:val="24"/>
          <w:szCs w:val="24"/>
        </w:rPr>
        <w:t xml:space="preserve"> copy of the consent form will also be added to subject’s medical chart as well as a separate notation in EMR that they are a participating in the NANO trial. </w:t>
      </w:r>
      <w:r w:rsidR="004D6166" w:rsidRPr="004D6166">
        <w:rPr>
          <w:b w:val="0"/>
          <w:bCs/>
          <w:sz w:val="24"/>
          <w:szCs w:val="24"/>
        </w:rPr>
        <w:t>Non-identifiable data including microbiome data will be preserved until all analysis is complete.  Data collection forms will be accessed via a secure web-based data entry system with access limited to study personnel only. The data will be transferred to the study database server via a secure internet connection. Database access is limited to the NANO data management team</w:t>
      </w:r>
      <w:r w:rsidR="004D6166" w:rsidRPr="004D6166">
        <w:rPr>
          <w:b w:val="0"/>
          <w:bCs/>
          <w:color w:val="000000"/>
          <w:sz w:val="24"/>
          <w:szCs w:val="24"/>
        </w:rPr>
        <w:t xml:space="preserve"> in accordance with state and federal regulations</w:t>
      </w:r>
      <w:r w:rsidR="004D6166" w:rsidRPr="004D6166">
        <w:rPr>
          <w:b w:val="0"/>
          <w:bCs/>
          <w:sz w:val="24"/>
          <w:szCs w:val="24"/>
        </w:rPr>
        <w:t xml:space="preserve">. </w:t>
      </w:r>
    </w:p>
    <w:p w14:paraId="44820A09" w14:textId="77777777" w:rsidR="004D6166" w:rsidRPr="0016289C" w:rsidRDefault="004D6166" w:rsidP="004D6166">
      <w:pPr>
        <w:pStyle w:val="BlockText"/>
      </w:pPr>
    </w:p>
    <w:p w14:paraId="1A18C8B1" w14:textId="43932794" w:rsidR="008751F6" w:rsidRPr="00165127" w:rsidRDefault="00000C77" w:rsidP="00165127">
      <w:pPr>
        <w:pStyle w:val="BlockText"/>
        <w:ind w:left="0"/>
        <w:rPr>
          <w:i w:val="0"/>
          <w:iCs/>
        </w:rPr>
      </w:pPr>
      <w:r w:rsidRPr="00000C77">
        <w:rPr>
          <w:rFonts w:cs="Arial Narrow"/>
          <w:bCs/>
          <w:i w:val="0"/>
          <w:iCs/>
        </w:rPr>
        <w:t>Parents of potential study subjects will be encouraged to take as much time as needed to ask questions and feel comfortable deciding whether to allow their children to participate or not.</w:t>
      </w:r>
    </w:p>
    <w:p w14:paraId="2BEDE775" w14:textId="77777777" w:rsidR="00FC41D4" w:rsidRPr="0016289C" w:rsidRDefault="00FC41D4" w:rsidP="00FC41D4">
      <w:pPr>
        <w:rPr>
          <w:rFonts w:ascii="Times New Roman" w:hAnsi="Times New Roman"/>
        </w:rPr>
      </w:pPr>
    </w:p>
    <w:p w14:paraId="71F5B5E2" w14:textId="77777777" w:rsidR="00D441ED" w:rsidRPr="0016289C" w:rsidRDefault="00D441ED" w:rsidP="00D441ED">
      <w:pPr>
        <w:pStyle w:val="Heading1"/>
        <w:rPr>
          <w:sz w:val="24"/>
          <w:szCs w:val="24"/>
        </w:rPr>
      </w:pPr>
      <w:bookmarkStart w:id="30" w:name="_Toc496162148"/>
      <w:r w:rsidRPr="0016289C">
        <w:rPr>
          <w:sz w:val="24"/>
          <w:szCs w:val="24"/>
        </w:rPr>
        <w:t>Compensation for Research-Related Injury</w:t>
      </w:r>
      <w:bookmarkEnd w:id="30"/>
    </w:p>
    <w:p w14:paraId="768E070B" w14:textId="62AD29C6" w:rsidR="008443CE" w:rsidRDefault="00FD3150" w:rsidP="000C659C">
      <w:pPr>
        <w:pStyle w:val="BlockText"/>
        <w:ind w:left="0"/>
        <w:rPr>
          <w:i w:val="0"/>
          <w:iCs/>
        </w:rPr>
      </w:pPr>
      <w:bookmarkStart w:id="31" w:name="_Toc496162149"/>
      <w:r w:rsidRPr="0016289C">
        <w:rPr>
          <w:i w:val="0"/>
          <w:iCs/>
        </w:rPr>
        <w:t>Emergency medical treatment for injuries solely and directly related to a study subject’s participation in this research study will be provided by the hospital participating in NANO caring for the particular study subject.  Insurance providers may be billed for the costs of this emergency treatment, but none of those costs will be charged directly to study subjects or their families.  If a subject’s research-related injury requires medical care beyond this emergency treatment, his/her family will be responsible for the costs of this follow-up care. At this time, there is no plan for any additional financial compensation. Subjects and their families do not give up any legal rights by agreeing to participate in the NANO Trial.</w:t>
      </w:r>
      <w:bookmarkEnd w:id="31"/>
    </w:p>
    <w:p w14:paraId="28288751" w14:textId="77777777" w:rsidR="00346DFC" w:rsidRPr="00346DFC" w:rsidRDefault="00346DFC" w:rsidP="000C659C">
      <w:pPr>
        <w:pStyle w:val="BlockText"/>
        <w:ind w:left="0"/>
        <w:rPr>
          <w:i w:val="0"/>
          <w:iCs/>
        </w:rPr>
      </w:pPr>
    </w:p>
    <w:p w14:paraId="3E99F65E" w14:textId="06D658E0" w:rsidR="00D441ED" w:rsidRPr="0016289C" w:rsidRDefault="00D441ED" w:rsidP="00D441ED">
      <w:pPr>
        <w:pStyle w:val="Heading1"/>
        <w:rPr>
          <w:sz w:val="24"/>
          <w:szCs w:val="24"/>
        </w:rPr>
      </w:pPr>
      <w:bookmarkStart w:id="32" w:name="_Toc496162150"/>
      <w:r w:rsidRPr="0016289C">
        <w:rPr>
          <w:sz w:val="24"/>
          <w:szCs w:val="24"/>
        </w:rPr>
        <w:t>Consent Process</w:t>
      </w:r>
      <w:bookmarkEnd w:id="32"/>
    </w:p>
    <w:p w14:paraId="71EAF5BA" w14:textId="77777777" w:rsidR="00EC5E6F" w:rsidRDefault="00EC5E6F" w:rsidP="00000C77">
      <w:pPr>
        <w:pStyle w:val="Heading1"/>
        <w:numPr>
          <w:ilvl w:val="0"/>
          <w:numId w:val="0"/>
        </w:numPr>
        <w:rPr>
          <w:b w:val="0"/>
          <w:bCs/>
          <w:sz w:val="24"/>
          <w:szCs w:val="24"/>
        </w:rPr>
      </w:pPr>
    </w:p>
    <w:p w14:paraId="69297055" w14:textId="62C72324" w:rsidR="00000C77" w:rsidRPr="0016289C" w:rsidRDefault="00000C77" w:rsidP="00000C77">
      <w:pPr>
        <w:pStyle w:val="Heading1"/>
        <w:numPr>
          <w:ilvl w:val="0"/>
          <w:numId w:val="0"/>
        </w:numPr>
        <w:rPr>
          <w:b w:val="0"/>
          <w:bCs/>
          <w:sz w:val="24"/>
          <w:szCs w:val="24"/>
        </w:rPr>
      </w:pPr>
      <w:r w:rsidRPr="0016289C">
        <w:rPr>
          <w:b w:val="0"/>
          <w:bCs/>
          <w:sz w:val="24"/>
          <w:szCs w:val="24"/>
        </w:rPr>
        <w:t xml:space="preserve">Sites will develop a protocol to identify women as early as possible that are admitted to participating hospitals and expected to deliver an infant at or before 28 weeks gestation. If eligible, and if the attending obstetrician provides permission, then </w:t>
      </w:r>
      <w:r w:rsidR="00B42A23">
        <w:rPr>
          <w:b w:val="0"/>
          <w:bCs/>
          <w:sz w:val="24"/>
          <w:szCs w:val="24"/>
        </w:rPr>
        <w:t>trained research staff</w:t>
      </w:r>
      <w:r w:rsidRPr="0016289C">
        <w:rPr>
          <w:b w:val="0"/>
          <w:bCs/>
          <w:sz w:val="24"/>
          <w:szCs w:val="24"/>
        </w:rPr>
        <w:t xml:space="preserve"> will explain the research protocol and the process of informed consent. Informed consent requires that the parents of the study subject understand the details of the study and agree, without coercion, to participation in the study. Study representatives at each site will introduce and explain the study to the parents and present them with the detailed consent form to read and review. It will be the responsibility of the site investigator to ensure that each parent is given full and adequate verbal and written information about the nature, purpose, benefit, and the potential risks of the study. A copy of signed </w:t>
      </w:r>
      <w:r w:rsidRPr="0016289C">
        <w:rPr>
          <w:b w:val="0"/>
          <w:bCs/>
          <w:sz w:val="24"/>
          <w:szCs w:val="24"/>
        </w:rPr>
        <w:lastRenderedPageBreak/>
        <w:t xml:space="preserve">informed consent document will be provided to the parents and another will be placed in the medical chart. The original document will be placed in the study files. </w:t>
      </w:r>
      <w:r w:rsidR="00F71232" w:rsidRPr="00F71232">
        <w:rPr>
          <w:b w:val="0"/>
          <w:bCs/>
          <w:sz w:val="24"/>
          <w:szCs w:val="24"/>
        </w:rPr>
        <w:t>Participation for study participation will be obtained from one parent.</w:t>
      </w:r>
      <w:r w:rsidR="000C3185">
        <w:rPr>
          <w:b w:val="0"/>
          <w:bCs/>
          <w:sz w:val="24"/>
          <w:szCs w:val="24"/>
        </w:rPr>
        <w:t xml:space="preserve"> </w:t>
      </w:r>
      <w:r w:rsidR="000C3185" w:rsidRPr="000C3185">
        <w:rPr>
          <w:b w:val="0"/>
          <w:bCs/>
          <w:sz w:val="24"/>
          <w:szCs w:val="24"/>
        </w:rPr>
        <w:t>If there are multiples, a consent document must be obtained for each child.</w:t>
      </w:r>
    </w:p>
    <w:p w14:paraId="75C76B94" w14:textId="77777777" w:rsidR="00000C77" w:rsidRPr="0016289C" w:rsidRDefault="00000C77" w:rsidP="00000C77">
      <w:pPr>
        <w:rPr>
          <w:rFonts w:ascii="Times New Roman" w:hAnsi="Times New Roman"/>
        </w:rPr>
      </w:pPr>
    </w:p>
    <w:p w14:paraId="6457BF1F" w14:textId="2D55C80E" w:rsidR="00000C77" w:rsidRPr="000C659C" w:rsidRDefault="00000C77" w:rsidP="000C659C">
      <w:pPr>
        <w:spacing w:after="240"/>
        <w:jc w:val="both"/>
        <w:rPr>
          <w:rFonts w:ascii="Times New Roman" w:hAnsi="Times New Roman"/>
        </w:rPr>
      </w:pPr>
      <w:r w:rsidRPr="0016289C">
        <w:rPr>
          <w:rFonts w:ascii="Times New Roman" w:hAnsi="Times New Roman"/>
          <w:color w:val="000000" w:themeColor="text1"/>
        </w:rPr>
        <w:t xml:space="preserve">Child assent for this trial involving newborn infants will not be possible.  </w:t>
      </w:r>
    </w:p>
    <w:p w14:paraId="74A3423F" w14:textId="0E4CC676" w:rsidR="005B460B" w:rsidRPr="00000C77" w:rsidRDefault="00000C77" w:rsidP="000C659C">
      <w:pPr>
        <w:pStyle w:val="List"/>
        <w:numPr>
          <w:ilvl w:val="0"/>
          <w:numId w:val="0"/>
        </w:numPr>
        <w:tabs>
          <w:tab w:val="left" w:pos="1800"/>
        </w:tabs>
        <w:rPr>
          <w:i w:val="0"/>
          <w:iCs/>
        </w:rPr>
      </w:pPr>
      <w:r w:rsidRPr="00000C77">
        <w:rPr>
          <w:i w:val="0"/>
          <w:iCs/>
        </w:rPr>
        <w:t xml:space="preserve">Oral and written information provided to parents of possible study subjects will be available in Spanish and </w:t>
      </w:r>
      <w:r w:rsidR="00E20929">
        <w:rPr>
          <w:i w:val="0"/>
          <w:iCs/>
        </w:rPr>
        <w:t>other langu</w:t>
      </w:r>
      <w:r w:rsidR="00964902">
        <w:rPr>
          <w:i w:val="0"/>
          <w:iCs/>
        </w:rPr>
        <w:t>ages, as needed</w:t>
      </w:r>
      <w:r w:rsidRPr="00000C77">
        <w:rPr>
          <w:i w:val="0"/>
          <w:iCs/>
        </w:rPr>
        <w:t>.</w:t>
      </w:r>
    </w:p>
    <w:p w14:paraId="4F0321E2" w14:textId="77777777" w:rsidR="0027245A" w:rsidRPr="003E76F1" w:rsidRDefault="0027245A" w:rsidP="0027245A">
      <w:pPr>
        <w:pStyle w:val="Heading1"/>
        <w:rPr>
          <w:sz w:val="24"/>
        </w:rPr>
      </w:pPr>
      <w:bookmarkStart w:id="33" w:name="_Toc496162151"/>
      <w:r w:rsidRPr="003E76F1">
        <w:rPr>
          <w:sz w:val="24"/>
        </w:rPr>
        <w:t>Process to Document Consent in Writing</w:t>
      </w:r>
      <w:bookmarkEnd w:id="33"/>
    </w:p>
    <w:p w14:paraId="194F943C" w14:textId="77777777" w:rsidR="00EC5E6F" w:rsidRDefault="00EC5E6F" w:rsidP="00EC5E6F">
      <w:pPr>
        <w:pStyle w:val="Heading1"/>
        <w:numPr>
          <w:ilvl w:val="0"/>
          <w:numId w:val="0"/>
        </w:numPr>
        <w:rPr>
          <w:b w:val="0"/>
          <w:bCs/>
          <w:sz w:val="24"/>
          <w:szCs w:val="24"/>
        </w:rPr>
      </w:pPr>
    </w:p>
    <w:p w14:paraId="7EECC3C6" w14:textId="1897F0DE" w:rsidR="000C1BC6" w:rsidRPr="001F79E7" w:rsidRDefault="00FC7339" w:rsidP="00A33983">
      <w:pPr>
        <w:pStyle w:val="Heading1"/>
        <w:numPr>
          <w:ilvl w:val="0"/>
          <w:numId w:val="0"/>
        </w:numPr>
        <w:rPr>
          <w:b w:val="0"/>
          <w:sz w:val="24"/>
        </w:rPr>
      </w:pPr>
      <w:r w:rsidRPr="00FC7339">
        <w:rPr>
          <w:b w:val="0"/>
          <w:bCs/>
          <w:sz w:val="24"/>
          <w:szCs w:val="24"/>
        </w:rPr>
        <w:t>For each infant enrolled in NANO, documentation of informed consent and study enrollment will be entered into the official medical record</w:t>
      </w:r>
      <w:r w:rsidR="000C1BC6">
        <w:rPr>
          <w:b w:val="0"/>
          <w:bCs/>
          <w:sz w:val="24"/>
          <w:szCs w:val="24"/>
        </w:rPr>
        <w:t xml:space="preserve">. </w:t>
      </w:r>
    </w:p>
    <w:p w14:paraId="3FD9F3FA" w14:textId="10470CBE" w:rsidR="003E3A26" w:rsidRPr="00346DFC" w:rsidRDefault="00FC7339" w:rsidP="00346DFC">
      <w:pPr>
        <w:pStyle w:val="Heading1"/>
        <w:numPr>
          <w:ilvl w:val="0"/>
          <w:numId w:val="0"/>
        </w:numPr>
      </w:pPr>
      <w:r w:rsidRPr="00FC7339">
        <w:rPr>
          <w:b w:val="0"/>
          <w:bCs/>
          <w:sz w:val="24"/>
          <w:szCs w:val="24"/>
        </w:rPr>
        <w:t xml:space="preserve"> </w:t>
      </w:r>
    </w:p>
    <w:p w14:paraId="14BECBCC" w14:textId="77777777" w:rsidR="00E0318F" w:rsidRPr="0016289C" w:rsidRDefault="00E0318F" w:rsidP="00E0318F">
      <w:pPr>
        <w:pStyle w:val="Heading1"/>
        <w:rPr>
          <w:sz w:val="24"/>
          <w:szCs w:val="24"/>
        </w:rPr>
      </w:pPr>
      <w:bookmarkStart w:id="34" w:name="_Toc496162152"/>
      <w:r w:rsidRPr="0016289C">
        <w:rPr>
          <w:sz w:val="24"/>
          <w:szCs w:val="24"/>
        </w:rPr>
        <w:t>Setting</w:t>
      </w:r>
      <w:bookmarkEnd w:id="34"/>
    </w:p>
    <w:p w14:paraId="48A63386" w14:textId="014EEB56" w:rsidR="00251479" w:rsidRDefault="006F303E" w:rsidP="00A33983">
      <w:r w:rsidRPr="0016289C">
        <w:t>NANO study sites are university affiliated birthing hospitals that have participated in clinical trials involving preterm infants and/or their mothers. They have been selected for participation based upon clinical research experience, projected recruitment, infrastructure that will enable study protocol execution, and geographic diversity. We expect each site to recruit 2-3 subjects monthly, allowing for completion of study enrollment in approximately 4 years.</w:t>
      </w:r>
      <w:r w:rsidR="003E76F1">
        <w:t xml:space="preserve"> </w:t>
      </w:r>
    </w:p>
    <w:p w14:paraId="1709C9AB" w14:textId="77777777" w:rsidR="008F3CD7" w:rsidRPr="003E76F1" w:rsidRDefault="008F3CD7" w:rsidP="008F3CD7">
      <w:pPr>
        <w:pStyle w:val="Default"/>
      </w:pPr>
    </w:p>
    <w:p w14:paraId="125EDCC4" w14:textId="05974338" w:rsidR="00B77014" w:rsidRDefault="00E0318F" w:rsidP="002807F3">
      <w:pPr>
        <w:pStyle w:val="Heading1"/>
        <w:rPr>
          <w:sz w:val="24"/>
          <w:szCs w:val="24"/>
        </w:rPr>
      </w:pPr>
      <w:bookmarkStart w:id="35" w:name="_Toc496162153"/>
      <w:r w:rsidRPr="0016289C">
        <w:rPr>
          <w:sz w:val="24"/>
          <w:szCs w:val="24"/>
        </w:rPr>
        <w:t>Resources Available</w:t>
      </w:r>
      <w:bookmarkEnd w:id="35"/>
    </w:p>
    <w:p w14:paraId="16FA727E" w14:textId="77777777" w:rsidR="002807F3" w:rsidRPr="002807F3" w:rsidRDefault="002807F3" w:rsidP="002807F3"/>
    <w:p w14:paraId="35ED690E" w14:textId="7F57CEDF" w:rsidR="00B77014" w:rsidRPr="0016289C" w:rsidRDefault="00B77014" w:rsidP="00380554">
      <w:pPr>
        <w:spacing w:after="240"/>
        <w:jc w:val="both"/>
      </w:pPr>
      <w:r w:rsidRPr="0016289C">
        <w:rPr>
          <w:rFonts w:ascii="Times New Roman" w:hAnsi="Times New Roman"/>
          <w:color w:val="000000" w:themeColor="text1"/>
        </w:rPr>
        <w:t xml:space="preserve">Each NANO study site is equipped with clinical, laboratory, and health records systems that will enable prompt identification of subjects, randomization, and delivery of study drug or placebo.  Additional sites may be added during the trial planning period. Primary study activities of subject enrollment and randomization will occur across all sites according to a single study protocol. </w:t>
      </w:r>
      <w:r w:rsidRPr="0016289C">
        <w:rPr>
          <w:rFonts w:ascii="Times New Roman" w:hAnsi="Times New Roman"/>
          <w:color w:val="000000"/>
        </w:rPr>
        <w:t xml:space="preserve">Each site will have a lead investigator, and together they will ensure that the protocol and trial is implemented as designed. </w:t>
      </w:r>
      <w:r w:rsidRPr="0016289C">
        <w:rPr>
          <w:rFonts w:ascii="Times New Roman" w:hAnsi="Times New Roman"/>
          <w:color w:val="000000" w:themeColor="text1"/>
        </w:rPr>
        <w:t>Given recent admission numbers and anticipated moderate growth at NANO study sites, we estimate that study enrollment can be completed within a 4-year period, allowing 6 months for trial rollout and 3-6 months in Year 5 for final analyses and preparation of manuscripts.</w:t>
      </w:r>
    </w:p>
    <w:p w14:paraId="7DFBD32E" w14:textId="08694E8A" w:rsidR="00250D20" w:rsidRPr="0016289C" w:rsidRDefault="00250D20" w:rsidP="002807F3">
      <w:pPr>
        <w:pStyle w:val="Heading1"/>
      </w:pPr>
      <w:bookmarkStart w:id="36" w:name="_Toc496162154"/>
      <w:r w:rsidRPr="002807F3">
        <w:rPr>
          <w:sz w:val="24"/>
        </w:rPr>
        <w:t>Multi-Site Research</w:t>
      </w:r>
      <w:bookmarkEnd w:id="36"/>
    </w:p>
    <w:p w14:paraId="16689870" w14:textId="5B4AC241" w:rsidR="00D22310" w:rsidRPr="00FC7339" w:rsidRDefault="00D22310" w:rsidP="0065423B">
      <w:pPr>
        <w:pStyle w:val="List2"/>
        <w:numPr>
          <w:ilvl w:val="0"/>
          <w:numId w:val="0"/>
        </w:numPr>
        <w:tabs>
          <w:tab w:val="left" w:pos="2340"/>
        </w:tabs>
        <w:spacing w:after="120" w:afterAutospacing="0"/>
        <w:rPr>
          <w:i w:val="0"/>
          <w:iCs/>
        </w:rPr>
      </w:pPr>
      <w:r w:rsidRPr="00FC7339">
        <w:rPr>
          <w:i w:val="0"/>
          <w:iCs/>
          <w:color w:val="000000"/>
        </w:rPr>
        <w:t xml:space="preserve">Collectively, NANO study sites will enroll </w:t>
      </w:r>
      <w:r w:rsidRPr="00C535C2">
        <w:rPr>
          <w:b/>
          <w:i w:val="0"/>
          <w:iCs/>
          <w:color w:val="000000"/>
        </w:rPr>
        <w:t>802 inborn infants</w:t>
      </w:r>
      <w:r w:rsidRPr="00FC7339">
        <w:rPr>
          <w:i w:val="0"/>
          <w:iCs/>
          <w:color w:val="000000"/>
        </w:rPr>
        <w:t xml:space="preserve"> delivered in the obstetrical facilities of participating NANO study sites, and their mothers. </w:t>
      </w:r>
      <w:r w:rsidRPr="00FC7339">
        <w:rPr>
          <w:i w:val="0"/>
          <w:iCs/>
          <w:color w:val="000000" w:themeColor="text1"/>
        </w:rPr>
        <w:t>The NIH Single IRB policy applies to this study, and we have identified no exceptions. As indicated in the attached letter, the Pitt HRPO will serve as the central IRB for the NANO trial, including the lead center, the data coordinating center,</w:t>
      </w:r>
      <w:r w:rsidRPr="00FC7339">
        <w:rPr>
          <w:i w:val="0"/>
          <w:iCs/>
          <w:color w:val="000000"/>
        </w:rPr>
        <w:t xml:space="preserve"> and those selected or added after award. Sites will sign a reliance agreement that will include a communication plan. All participating sites will agree to rely on the designated single IRB, without exception. </w:t>
      </w:r>
      <w:r w:rsidRPr="00FC7339">
        <w:rPr>
          <w:i w:val="0"/>
          <w:iCs/>
          <w:color w:val="000000" w:themeColor="text1"/>
        </w:rPr>
        <w:t xml:space="preserve">All proposed study sites are </w:t>
      </w:r>
      <w:proofErr w:type="spellStart"/>
      <w:r w:rsidRPr="00FC7339">
        <w:rPr>
          <w:i w:val="0"/>
          <w:iCs/>
          <w:color w:val="000000" w:themeColor="text1"/>
        </w:rPr>
        <w:t>SmartIRB</w:t>
      </w:r>
      <w:proofErr w:type="spellEnd"/>
      <w:r w:rsidRPr="00FC7339">
        <w:rPr>
          <w:i w:val="0"/>
          <w:iCs/>
          <w:color w:val="000000" w:themeColor="text1"/>
        </w:rPr>
        <w:t xml:space="preserve"> centers, which will facilitate finalization of agreements </w:t>
      </w:r>
      <w:r w:rsidRPr="00FC7339">
        <w:rPr>
          <w:i w:val="0"/>
          <w:iCs/>
          <w:color w:val="000000" w:themeColor="text1"/>
        </w:rPr>
        <w:lastRenderedPageBreak/>
        <w:t xml:space="preserve">between institutions. </w:t>
      </w:r>
      <w:r w:rsidRPr="00FC7339">
        <w:rPr>
          <w:i w:val="0"/>
          <w:iCs/>
        </w:rPr>
        <w:t>The project manager at The University of Pittsburgh, under supervision of Dr. Morowitz and Dr. Polin, will provide applicable conflict of interest management plans for relying site study teams to the Pitt HRPO, and will provide confirmation to the Pitt HRPO that relying site study teams have completed relevant training and are qualified to conduct the proposed research. The project manager will also provide documentation of IRB determinations to relying site study teams, and provide copies of IRB-approved materials to the lead study team. Additional responsibilities of the Pitt team will include</w:t>
      </w:r>
      <w:r w:rsidRPr="00FC7339">
        <w:rPr>
          <w:i w:val="0"/>
          <w:iCs/>
          <w:color w:val="000000"/>
        </w:rPr>
        <w:t xml:space="preserve"> p</w:t>
      </w:r>
      <w:r w:rsidRPr="00FC7339">
        <w:rPr>
          <w:i w:val="0"/>
          <w:iCs/>
        </w:rPr>
        <w:t xml:space="preserve">roviding the consent form template to relying site study teams, obtaining and collating study wide information for continuing review to the Reviewing IRB. </w:t>
      </w:r>
      <w:r w:rsidRPr="00FC7339">
        <w:rPr>
          <w:i w:val="0"/>
          <w:iCs/>
          <w:color w:val="000000"/>
        </w:rPr>
        <w:t>Dr. Polin</w:t>
      </w:r>
      <w:r w:rsidRPr="00FC7339">
        <w:rPr>
          <w:b/>
          <w:i w:val="0"/>
          <w:iCs/>
          <w:color w:val="000000"/>
        </w:rPr>
        <w:t xml:space="preserve"> </w:t>
      </w:r>
      <w:r w:rsidRPr="00FC7339">
        <w:rPr>
          <w:i w:val="0"/>
          <w:iCs/>
          <w:color w:val="000000"/>
        </w:rPr>
        <w:t xml:space="preserve">will coordinate interactions with the Data and Safety Monitoring Board, will lead all reviews of protocol deviations, and will report reportable events </w:t>
      </w:r>
      <w:r w:rsidRPr="00FC7339">
        <w:rPr>
          <w:i w:val="0"/>
          <w:iCs/>
        </w:rPr>
        <w:t xml:space="preserve">(e.g., unanticipated problems, noncompliance, subject complaints) </w:t>
      </w:r>
      <w:r w:rsidRPr="00FC7339">
        <w:rPr>
          <w:i w:val="0"/>
          <w:iCs/>
          <w:color w:val="000000"/>
        </w:rPr>
        <w:t>to the Pitt HRPO in conjunction with Dr. Morowitz.</w:t>
      </w:r>
    </w:p>
    <w:p w14:paraId="022E6D83" w14:textId="2B374D2B" w:rsidR="00D22310" w:rsidRPr="0016289C" w:rsidRDefault="005C53DA" w:rsidP="00D22310">
      <w:pPr>
        <w:pStyle w:val="Default"/>
        <w:spacing w:after="240"/>
        <w:jc w:val="both"/>
      </w:pPr>
      <w:r>
        <w:rPr>
          <w:u w:val="single"/>
        </w:rPr>
        <w:t xml:space="preserve">24.1 Communication. </w:t>
      </w:r>
      <w:r w:rsidR="00D22310" w:rsidRPr="0016289C">
        <w:rPr>
          <w:b/>
        </w:rPr>
        <w:t xml:space="preserve">Effective communication is the single most critical factor to achieve the goals of any clinical trial. </w:t>
      </w:r>
      <w:r w:rsidR="00D22310" w:rsidRPr="0016289C">
        <w:t>The project management strategy for NANO includes tools and techniques that place emphasis on communicating at the appropriate time with highly pertinent information and as widely as possible to all appropriate study personnel.</w:t>
      </w:r>
      <w:r w:rsidR="00D22310" w:rsidRPr="0016289C">
        <w:rPr>
          <w:b/>
        </w:rPr>
        <w:t xml:space="preserve"> </w:t>
      </w:r>
      <w:r w:rsidR="00D22310" w:rsidRPr="0016289C">
        <w:t>A communication plan will be developed in the first phase of the study that identifies each stakeholder group, their communication needs, the facilitator, and the preferred frequency and methods of communication. The plan will also set the standard for how and when study information will be shared. Recognizing the importance of communication with all members of the NANO investigative team, the</w:t>
      </w:r>
      <w:r w:rsidR="00D22310" w:rsidRPr="0016289C">
        <w:rPr>
          <w:rStyle w:val="CommentReference"/>
          <w:rFonts w:eastAsiaTheme="minorEastAsia"/>
          <w:color w:val="auto"/>
          <w:sz w:val="24"/>
          <w:szCs w:val="24"/>
        </w:rPr>
        <w:t xml:space="preserve"> other investigators and clinic settings will have both regularly scheduled meetings with the PIs, and be encouraged to communicate via email and unscheduled calls as needed.</w:t>
      </w:r>
      <w:r w:rsidR="00D22310" w:rsidRPr="0016289C">
        <w:t xml:space="preserve"> </w:t>
      </w:r>
    </w:p>
    <w:p w14:paraId="4A2BDE1B" w14:textId="6BB9A86E" w:rsidR="00D22310" w:rsidRPr="0016289C" w:rsidRDefault="00D22310" w:rsidP="00D22310">
      <w:pPr>
        <w:pStyle w:val="ChartisBulletLevel3"/>
        <w:spacing w:before="0" w:after="240" w:line="240" w:lineRule="auto"/>
        <w:ind w:left="0" w:firstLine="0"/>
        <w:jc w:val="both"/>
        <w:rPr>
          <w:rFonts w:ascii="Times New Roman" w:hAnsi="Times New Roman" w:cs="Times New Roman"/>
          <w:sz w:val="24"/>
          <w:szCs w:val="24"/>
        </w:rPr>
      </w:pPr>
      <w:r w:rsidRPr="0016289C">
        <w:rPr>
          <w:rFonts w:ascii="Times New Roman" w:hAnsi="Times New Roman" w:cs="Times New Roman"/>
          <w:sz w:val="24"/>
          <w:szCs w:val="24"/>
        </w:rPr>
        <w:t>A major portion of the communication plan includes meetings and conference calls. For</w:t>
      </w:r>
      <w:r w:rsidR="001B5355">
        <w:rPr>
          <w:rFonts w:ascii="Times New Roman" w:hAnsi="Times New Roman" w:cs="Times New Roman"/>
          <w:sz w:val="24"/>
          <w:szCs w:val="24"/>
        </w:rPr>
        <w:t xml:space="preserve"> </w:t>
      </w:r>
      <w:r w:rsidRPr="0016289C">
        <w:rPr>
          <w:rFonts w:ascii="Times New Roman" w:hAnsi="Times New Roman" w:cs="Times New Roman"/>
          <w:sz w:val="24"/>
          <w:szCs w:val="24"/>
        </w:rPr>
        <w:t xml:space="preserve">meetings and conference calls, standardized agendas and meeting minutes will be used to aid consistent communication. All minutes will include a list of agenda items, action items and follow-up of action items from previous meetings. The supporting documentation will be provided to committee members before each meeting with enough lead-time to allow for additional input. </w:t>
      </w:r>
    </w:p>
    <w:p w14:paraId="0FF48F66" w14:textId="71E9FF5B" w:rsidR="00D22310" w:rsidRPr="0016289C" w:rsidRDefault="00D22310" w:rsidP="00D22310">
      <w:pPr>
        <w:pStyle w:val="ChartisBulletLevel3"/>
        <w:spacing w:before="0" w:after="240" w:line="240" w:lineRule="auto"/>
        <w:ind w:left="0" w:firstLine="0"/>
        <w:jc w:val="both"/>
        <w:rPr>
          <w:rFonts w:ascii="Times New Roman" w:hAnsi="Times New Roman" w:cs="Times New Roman"/>
          <w:sz w:val="24"/>
          <w:szCs w:val="24"/>
          <w:lang w:val="en-US"/>
        </w:rPr>
      </w:pPr>
      <w:r w:rsidRPr="0016289C">
        <w:rPr>
          <w:rFonts w:ascii="Times New Roman" w:hAnsi="Times New Roman" w:cs="Times New Roman"/>
          <w:sz w:val="24"/>
          <w:szCs w:val="24"/>
          <w:lang w:val="en-US"/>
        </w:rPr>
        <w:t xml:space="preserve">The center of the NANO trial’s communications system will be a portal accessible via a password-protected study website which will be maintained by the DCC. The site will be used for day-to-day communications among the NANO study team by providing immediate communication, effective collaboration and project management. Access will be restricted to study investigators, research staff and committee members via unique usernames and passwords. The DCC’s password policy is consistent with National Institute of Standards and Technology (NIST) password policy. The primary interface is a collection of organized and individual web features, each representing a single tool which will vary in presentation and availability based on a defined user’s role (e.g., investigator, clinical site coordinator) and group association(s) (e.g., clinical site, committee membership). </w:t>
      </w:r>
    </w:p>
    <w:p w14:paraId="342E0184" w14:textId="5DB9FE43" w:rsidR="00D22310" w:rsidRPr="0016289C" w:rsidRDefault="005C53DA" w:rsidP="00D22310">
      <w:pPr>
        <w:pStyle w:val="ChartisBulletLevel3"/>
        <w:spacing w:before="0" w:after="240" w:line="240" w:lineRule="auto"/>
        <w:ind w:left="0" w:firstLine="0"/>
        <w:jc w:val="both"/>
        <w:rPr>
          <w:rFonts w:ascii="Times New Roman" w:hAnsi="Times New Roman" w:cs="Times New Roman"/>
          <w:sz w:val="24"/>
          <w:szCs w:val="24"/>
          <w:lang w:val="en-US"/>
        </w:rPr>
      </w:pPr>
      <w:r w:rsidRPr="005C53DA">
        <w:rPr>
          <w:rFonts w:ascii="Times New Roman" w:hAnsi="Times New Roman" w:cs="Times New Roman"/>
          <w:sz w:val="24"/>
          <w:szCs w:val="24"/>
          <w:u w:val="single"/>
          <w:lang w:val="en-US"/>
        </w:rPr>
        <w:t xml:space="preserve">24.2 </w:t>
      </w:r>
      <w:r w:rsidR="00D22310" w:rsidRPr="005C53DA">
        <w:rPr>
          <w:rFonts w:ascii="Times New Roman" w:hAnsi="Times New Roman" w:cs="Times New Roman"/>
          <w:sz w:val="24"/>
          <w:szCs w:val="24"/>
          <w:u w:val="single"/>
          <w:lang w:val="en-US"/>
        </w:rPr>
        <w:t>Document Library</w:t>
      </w:r>
      <w:r w:rsidR="00D22310" w:rsidRPr="0016289C">
        <w:rPr>
          <w:rFonts w:ascii="Times New Roman" w:hAnsi="Times New Roman" w:cs="Times New Roman"/>
          <w:i/>
          <w:sz w:val="24"/>
          <w:szCs w:val="24"/>
          <w:lang w:val="en-US"/>
        </w:rPr>
        <w:t>.</w:t>
      </w:r>
      <w:r w:rsidR="00D22310" w:rsidRPr="0016289C">
        <w:rPr>
          <w:rFonts w:ascii="Times New Roman" w:hAnsi="Times New Roman" w:cs="Times New Roman"/>
          <w:sz w:val="24"/>
          <w:szCs w:val="24"/>
          <w:lang w:val="en-US"/>
        </w:rPr>
        <w:t xml:space="preserve"> The Document Library will be used to store operations memos, data collection forms, manuals, training materials, and manuscripts so that study personnel </w:t>
      </w:r>
      <w:r w:rsidR="00D22310" w:rsidRPr="0016289C">
        <w:rPr>
          <w:rFonts w:ascii="Times New Roman" w:hAnsi="Times New Roman" w:cs="Times New Roman"/>
          <w:sz w:val="24"/>
          <w:szCs w:val="24"/>
          <w:lang w:val="en-US"/>
        </w:rPr>
        <w:lastRenderedPageBreak/>
        <w:t xml:space="preserve">have easy access to these materials. The Document Library area will have restricted access to individual libraries as needed. </w:t>
      </w:r>
    </w:p>
    <w:p w14:paraId="63FCE70A" w14:textId="48CA6F72" w:rsidR="00D22310" w:rsidRPr="0016289C" w:rsidRDefault="005C53DA" w:rsidP="00D22310">
      <w:pPr>
        <w:pStyle w:val="ChartisBulletLevel3"/>
        <w:spacing w:before="0" w:after="240" w:line="240" w:lineRule="auto"/>
        <w:ind w:left="0" w:firstLine="0"/>
        <w:jc w:val="both"/>
        <w:rPr>
          <w:rFonts w:ascii="Times New Roman" w:hAnsi="Times New Roman" w:cs="Times New Roman"/>
          <w:sz w:val="24"/>
          <w:szCs w:val="24"/>
          <w:lang w:val="en-US"/>
        </w:rPr>
      </w:pPr>
      <w:r w:rsidRPr="005C53DA">
        <w:rPr>
          <w:rFonts w:ascii="Times New Roman" w:hAnsi="Times New Roman" w:cs="Times New Roman"/>
          <w:sz w:val="24"/>
          <w:szCs w:val="24"/>
          <w:u w:val="single"/>
          <w:lang w:val="en-US"/>
        </w:rPr>
        <w:t xml:space="preserve">24.3 </w:t>
      </w:r>
      <w:r w:rsidR="00D22310" w:rsidRPr="005C53DA">
        <w:rPr>
          <w:rFonts w:ascii="Times New Roman" w:hAnsi="Times New Roman" w:cs="Times New Roman"/>
          <w:sz w:val="24"/>
          <w:szCs w:val="24"/>
          <w:u w:val="single"/>
          <w:lang w:val="en-US"/>
        </w:rPr>
        <w:t>Help Center.</w:t>
      </w:r>
      <w:r w:rsidR="00D22310" w:rsidRPr="0016289C">
        <w:rPr>
          <w:rFonts w:ascii="Times New Roman" w:hAnsi="Times New Roman" w:cs="Times New Roman"/>
          <w:sz w:val="24"/>
          <w:szCs w:val="24"/>
          <w:lang w:val="en-US"/>
        </w:rPr>
        <w:t xml:space="preserve"> A Help Center/Frequently Asked Questions (FAQ) section of the website will be used to assist Co-investigators and Coordinators when answers are needed to questions, such as, clarification of inclusion/exclusion criteria or particular aspects of the study protocol. The web-based Help Center will list the most frequently accessed FAQ entries. A search dialog will permit the researcher to find other FAQ entries based on keywords. If the FAQ database does not sufficiently aid in finding an answer to a question, a direct link to the Help Request form is available. The Help Request form may be completed by the researcher and submitted online. Upon submission, an email notification will be sent to the appropriate DCC and/or CCC personnel. Once a request is resolved, the requestor will receive an email verifying the solution. </w:t>
      </w:r>
    </w:p>
    <w:p w14:paraId="6CA1E50D" w14:textId="026BD08D" w:rsidR="00E55981" w:rsidRDefault="005C53DA" w:rsidP="0065423B">
      <w:pPr>
        <w:pStyle w:val="ChartisBulletLevel3"/>
        <w:spacing w:before="0" w:after="240" w:line="240" w:lineRule="auto"/>
        <w:ind w:left="0" w:firstLine="0"/>
        <w:jc w:val="both"/>
        <w:rPr>
          <w:rFonts w:ascii="Times New Roman" w:hAnsi="Times New Roman" w:cs="Times New Roman"/>
          <w:sz w:val="24"/>
          <w:szCs w:val="24"/>
          <w:lang w:val="en-US"/>
        </w:rPr>
      </w:pPr>
      <w:r w:rsidRPr="005C53DA">
        <w:rPr>
          <w:rFonts w:ascii="Times New Roman" w:hAnsi="Times New Roman" w:cs="Times New Roman"/>
          <w:sz w:val="24"/>
          <w:szCs w:val="24"/>
          <w:u w:val="single"/>
          <w:lang w:val="en-US"/>
        </w:rPr>
        <w:t xml:space="preserve">24.5 </w:t>
      </w:r>
      <w:r w:rsidR="00D22310" w:rsidRPr="005C53DA">
        <w:rPr>
          <w:rFonts w:ascii="Times New Roman" w:hAnsi="Times New Roman" w:cs="Times New Roman"/>
          <w:sz w:val="24"/>
          <w:szCs w:val="24"/>
          <w:u w:val="single"/>
          <w:lang w:val="en-US"/>
        </w:rPr>
        <w:t>Data Management System.</w:t>
      </w:r>
      <w:r w:rsidR="00D22310" w:rsidRPr="0016289C">
        <w:rPr>
          <w:rFonts w:ascii="Times New Roman" w:hAnsi="Times New Roman" w:cs="Times New Roman"/>
          <w:sz w:val="24"/>
          <w:szCs w:val="24"/>
          <w:lang w:val="en-US"/>
        </w:rPr>
        <w:t xml:space="preserve"> A link to the Data Management System will be accessible to study personnel who have appropriate authorization. This area will provide access to the data management system for data entry, verification, error correction, data tracking, reporting and randomization. In order to prevent unauthorized access to incoming data while in transit, this area of the website will use a server certificate to encrypt all incoming traffic over a secure channel using Secure Sockets Layer (SSL).</w:t>
      </w:r>
    </w:p>
    <w:sectPr w:rsidR="00E55981">
      <w:headerReference w:type="default"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7AD08" w14:textId="77777777" w:rsidR="00820558" w:rsidRDefault="00820558" w:rsidP="007C0AA4">
      <w:r>
        <w:separator/>
      </w:r>
    </w:p>
  </w:endnote>
  <w:endnote w:type="continuationSeparator" w:id="0">
    <w:p w14:paraId="3866D6D3" w14:textId="77777777" w:rsidR="00820558" w:rsidRDefault="00820558" w:rsidP="007C0AA4">
      <w:r>
        <w:continuationSeparator/>
      </w:r>
    </w:p>
  </w:endnote>
  <w:endnote w:type="continuationNotice" w:id="1">
    <w:p w14:paraId="71C51D99" w14:textId="77777777" w:rsidR="00820558" w:rsidRDefault="008205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NNFPLJ+TimesNewRoman">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WW Font">
    <w:altName w:val="Times New Roman"/>
    <w:panose1 w:val="020B0604020202020204"/>
    <w:charset w:val="00"/>
    <w:family w:val="roman"/>
    <w:pitch w:val="variable"/>
    <w:sig w:usb0="00000007" w:usb1="00000000" w:usb2="00000000" w:usb3="00000000" w:csb0="0000001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BD414" w14:textId="5D9BC697" w:rsidR="00A22F29" w:rsidRPr="000E3478" w:rsidRDefault="00E70F0B" w:rsidP="000E3478">
    <w:pPr>
      <w:pStyle w:val="Footer"/>
    </w:pPr>
    <w:r>
      <w:rPr>
        <w:lang w:val="en-US"/>
      </w:rPr>
      <w:t>September</w:t>
    </w:r>
    <w:r w:rsidR="00A22F29">
      <w:rPr>
        <w:lang w:val="en-US"/>
      </w:rPr>
      <w:t xml:space="preserve"> 2020</w:t>
    </w:r>
    <w:r w:rsidR="00A22F29">
      <w:ptab w:relativeTo="margin" w:alignment="center" w:leader="none"/>
    </w:r>
    <w:r w:rsidR="00A22F29">
      <w:t xml:space="preserve">Page </w:t>
    </w:r>
    <w:r w:rsidR="00A22F29">
      <w:rPr>
        <w:b/>
        <w:bCs/>
      </w:rPr>
      <w:fldChar w:fldCharType="begin"/>
    </w:r>
    <w:r w:rsidR="00A22F29">
      <w:rPr>
        <w:b/>
        <w:bCs/>
      </w:rPr>
      <w:instrText xml:space="preserve"> PAGE  \* Arabic  \* MERGEFORMAT </w:instrText>
    </w:r>
    <w:r w:rsidR="00A22F29">
      <w:rPr>
        <w:b/>
        <w:bCs/>
      </w:rPr>
      <w:fldChar w:fldCharType="separate"/>
    </w:r>
    <w:r w:rsidR="00326A1E">
      <w:rPr>
        <w:b/>
        <w:bCs/>
        <w:noProof/>
      </w:rPr>
      <w:t>8</w:t>
    </w:r>
    <w:r w:rsidR="00A22F29">
      <w:rPr>
        <w:b/>
        <w:bCs/>
      </w:rPr>
      <w:fldChar w:fldCharType="end"/>
    </w:r>
    <w:r w:rsidR="00A22F29">
      <w:t xml:space="preserve"> of </w:t>
    </w:r>
    <w:r w:rsidR="00A22F29">
      <w:rPr>
        <w:b/>
        <w:bCs/>
      </w:rPr>
      <w:fldChar w:fldCharType="begin"/>
    </w:r>
    <w:r w:rsidR="00A22F29">
      <w:rPr>
        <w:b/>
        <w:bCs/>
      </w:rPr>
      <w:instrText xml:space="preserve"> NUMPAGES  \* Arabic  \* MERGEFORMAT </w:instrText>
    </w:r>
    <w:r w:rsidR="00A22F29">
      <w:rPr>
        <w:b/>
        <w:bCs/>
      </w:rPr>
      <w:fldChar w:fldCharType="separate"/>
    </w:r>
    <w:r w:rsidR="00326A1E">
      <w:rPr>
        <w:b/>
        <w:bCs/>
        <w:noProof/>
      </w:rPr>
      <w:t>26</w:t>
    </w:r>
    <w:r w:rsidR="00A22F29">
      <w:rPr>
        <w:b/>
        <w:bCs/>
      </w:rPr>
      <w:fldChar w:fldCharType="end"/>
    </w:r>
    <w:r w:rsidR="00A22F29">
      <w:ptab w:relativeTo="margin" w:alignment="right" w:leader="none"/>
    </w:r>
    <w:r w:rsidR="00A22F29">
      <w:rPr>
        <w:lang w:val="en-US"/>
      </w:rPr>
      <w:t>Version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6A1F0" w14:textId="77777777" w:rsidR="00820558" w:rsidRDefault="00820558" w:rsidP="007C0AA4">
      <w:r>
        <w:separator/>
      </w:r>
    </w:p>
  </w:footnote>
  <w:footnote w:type="continuationSeparator" w:id="0">
    <w:p w14:paraId="59EC0168" w14:textId="77777777" w:rsidR="00820558" w:rsidRDefault="00820558" w:rsidP="007C0AA4">
      <w:r>
        <w:continuationSeparator/>
      </w:r>
    </w:p>
  </w:footnote>
  <w:footnote w:type="continuationNotice" w:id="1">
    <w:p w14:paraId="42AC450E" w14:textId="77777777" w:rsidR="00820558" w:rsidRDefault="008205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BD412" w14:textId="0E8135FF" w:rsidR="00A22F29" w:rsidRPr="009A2E64" w:rsidRDefault="00A22F29" w:rsidP="00647502">
    <w:pPr>
      <w:pStyle w:val="Header"/>
    </w:pPr>
    <w:r>
      <w:t xml:space="preserve">PROTOCOL TITLE: The </w:t>
    </w:r>
    <w:r>
      <w:rPr>
        <w:u w:val="single"/>
      </w:rPr>
      <w:t>N</w:t>
    </w:r>
    <w:r>
      <w:t xml:space="preserve">ICU </w:t>
    </w:r>
    <w:r>
      <w:rPr>
        <w:u w:val="single"/>
      </w:rPr>
      <w:t>A</w:t>
    </w:r>
    <w:r>
      <w:t xml:space="preserve">ntibiotics and </w:t>
    </w:r>
    <w:r>
      <w:rPr>
        <w:u w:val="single"/>
      </w:rPr>
      <w:t>O</w:t>
    </w:r>
    <w:r>
      <w:t>utcomes Trial (NANO)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E6B8B57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81262D4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05A06F69"/>
    <w:multiLevelType w:val="hybridMultilevel"/>
    <w:tmpl w:val="A28452FC"/>
    <w:lvl w:ilvl="0" w:tplc="BE3486AE">
      <w:start w:val="1"/>
      <w:numFmt w:val="bullet"/>
      <w:lvlText w:val=""/>
      <w:lvlJc w:val="left"/>
      <w:pPr>
        <w:ind w:left="720" w:hanging="360"/>
      </w:pPr>
      <w:rPr>
        <w:rFonts w:ascii="Symbol" w:hAnsi="Symbol" w:hint="default"/>
      </w:rPr>
    </w:lvl>
    <w:lvl w:ilvl="1" w:tplc="5FD01BDE" w:tentative="1">
      <w:start w:val="1"/>
      <w:numFmt w:val="bullet"/>
      <w:lvlText w:val="o"/>
      <w:lvlJc w:val="left"/>
      <w:pPr>
        <w:ind w:left="1440" w:hanging="360"/>
      </w:pPr>
      <w:rPr>
        <w:rFonts w:ascii="Courier New" w:hAnsi="Courier New" w:cs="Courier New" w:hint="default"/>
      </w:rPr>
    </w:lvl>
    <w:lvl w:ilvl="2" w:tplc="8008532A" w:tentative="1">
      <w:start w:val="1"/>
      <w:numFmt w:val="bullet"/>
      <w:lvlText w:val=""/>
      <w:lvlJc w:val="left"/>
      <w:pPr>
        <w:ind w:left="2160" w:hanging="360"/>
      </w:pPr>
      <w:rPr>
        <w:rFonts w:ascii="Wingdings" w:hAnsi="Wingdings" w:hint="default"/>
      </w:rPr>
    </w:lvl>
    <w:lvl w:ilvl="3" w:tplc="F5C8B002" w:tentative="1">
      <w:start w:val="1"/>
      <w:numFmt w:val="bullet"/>
      <w:lvlText w:val=""/>
      <w:lvlJc w:val="left"/>
      <w:pPr>
        <w:ind w:left="2880" w:hanging="360"/>
      </w:pPr>
      <w:rPr>
        <w:rFonts w:ascii="Symbol" w:hAnsi="Symbol" w:hint="default"/>
      </w:rPr>
    </w:lvl>
    <w:lvl w:ilvl="4" w:tplc="B51EED7A" w:tentative="1">
      <w:start w:val="1"/>
      <w:numFmt w:val="bullet"/>
      <w:lvlText w:val="o"/>
      <w:lvlJc w:val="left"/>
      <w:pPr>
        <w:ind w:left="3600" w:hanging="360"/>
      </w:pPr>
      <w:rPr>
        <w:rFonts w:ascii="Courier New" w:hAnsi="Courier New" w:cs="Courier New" w:hint="default"/>
      </w:rPr>
    </w:lvl>
    <w:lvl w:ilvl="5" w:tplc="FF5ADC50" w:tentative="1">
      <w:start w:val="1"/>
      <w:numFmt w:val="bullet"/>
      <w:lvlText w:val=""/>
      <w:lvlJc w:val="left"/>
      <w:pPr>
        <w:ind w:left="4320" w:hanging="360"/>
      </w:pPr>
      <w:rPr>
        <w:rFonts w:ascii="Wingdings" w:hAnsi="Wingdings" w:hint="default"/>
      </w:rPr>
    </w:lvl>
    <w:lvl w:ilvl="6" w:tplc="65DABF38" w:tentative="1">
      <w:start w:val="1"/>
      <w:numFmt w:val="bullet"/>
      <w:lvlText w:val=""/>
      <w:lvlJc w:val="left"/>
      <w:pPr>
        <w:ind w:left="5040" w:hanging="360"/>
      </w:pPr>
      <w:rPr>
        <w:rFonts w:ascii="Symbol" w:hAnsi="Symbol" w:hint="default"/>
      </w:rPr>
    </w:lvl>
    <w:lvl w:ilvl="7" w:tplc="4DC294AA" w:tentative="1">
      <w:start w:val="1"/>
      <w:numFmt w:val="bullet"/>
      <w:lvlText w:val="o"/>
      <w:lvlJc w:val="left"/>
      <w:pPr>
        <w:ind w:left="5760" w:hanging="360"/>
      </w:pPr>
      <w:rPr>
        <w:rFonts w:ascii="Courier New" w:hAnsi="Courier New" w:cs="Courier New" w:hint="default"/>
      </w:rPr>
    </w:lvl>
    <w:lvl w:ilvl="8" w:tplc="B7E45860" w:tentative="1">
      <w:start w:val="1"/>
      <w:numFmt w:val="bullet"/>
      <w:lvlText w:val=""/>
      <w:lvlJc w:val="left"/>
      <w:pPr>
        <w:ind w:left="6480" w:hanging="360"/>
      </w:pPr>
      <w:rPr>
        <w:rFonts w:ascii="Wingdings" w:hAnsi="Wingdings" w:hint="default"/>
      </w:rPr>
    </w:lvl>
  </w:abstractNum>
  <w:abstractNum w:abstractNumId="3" w15:restartNumberingAfterBreak="0">
    <w:nsid w:val="090064E7"/>
    <w:multiLevelType w:val="hybridMultilevel"/>
    <w:tmpl w:val="E39A135C"/>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F532685"/>
    <w:multiLevelType w:val="hybridMultilevel"/>
    <w:tmpl w:val="E6D4174A"/>
    <w:lvl w:ilvl="0" w:tplc="D8304FF6">
      <w:start w:val="1"/>
      <w:numFmt w:val="bullet"/>
      <w:lvlText w:val=""/>
      <w:lvlJc w:val="left"/>
      <w:pPr>
        <w:ind w:left="720" w:hanging="360"/>
      </w:pPr>
      <w:rPr>
        <w:rFonts w:ascii="Wingdings" w:hAnsi="Wingdings" w:hint="default"/>
      </w:rPr>
    </w:lvl>
    <w:lvl w:ilvl="1" w:tplc="11CC3FB8" w:tentative="1">
      <w:start w:val="1"/>
      <w:numFmt w:val="bullet"/>
      <w:lvlText w:val="o"/>
      <w:lvlJc w:val="left"/>
      <w:pPr>
        <w:ind w:left="1440" w:hanging="360"/>
      </w:pPr>
      <w:rPr>
        <w:rFonts w:ascii="Courier New" w:hAnsi="Courier New" w:cs="Courier New" w:hint="default"/>
      </w:rPr>
    </w:lvl>
    <w:lvl w:ilvl="2" w:tplc="F034C198" w:tentative="1">
      <w:start w:val="1"/>
      <w:numFmt w:val="bullet"/>
      <w:lvlText w:val=""/>
      <w:lvlJc w:val="left"/>
      <w:pPr>
        <w:ind w:left="2160" w:hanging="360"/>
      </w:pPr>
      <w:rPr>
        <w:rFonts w:ascii="Wingdings" w:hAnsi="Wingdings" w:hint="default"/>
      </w:rPr>
    </w:lvl>
    <w:lvl w:ilvl="3" w:tplc="6DDAAD08" w:tentative="1">
      <w:start w:val="1"/>
      <w:numFmt w:val="bullet"/>
      <w:lvlText w:val=""/>
      <w:lvlJc w:val="left"/>
      <w:pPr>
        <w:ind w:left="2880" w:hanging="360"/>
      </w:pPr>
      <w:rPr>
        <w:rFonts w:ascii="Symbol" w:hAnsi="Symbol" w:hint="default"/>
      </w:rPr>
    </w:lvl>
    <w:lvl w:ilvl="4" w:tplc="BF049736" w:tentative="1">
      <w:start w:val="1"/>
      <w:numFmt w:val="bullet"/>
      <w:lvlText w:val="o"/>
      <w:lvlJc w:val="left"/>
      <w:pPr>
        <w:ind w:left="3600" w:hanging="360"/>
      </w:pPr>
      <w:rPr>
        <w:rFonts w:ascii="Courier New" w:hAnsi="Courier New" w:cs="Courier New" w:hint="default"/>
      </w:rPr>
    </w:lvl>
    <w:lvl w:ilvl="5" w:tplc="7166E2C6" w:tentative="1">
      <w:start w:val="1"/>
      <w:numFmt w:val="bullet"/>
      <w:lvlText w:val=""/>
      <w:lvlJc w:val="left"/>
      <w:pPr>
        <w:ind w:left="4320" w:hanging="360"/>
      </w:pPr>
      <w:rPr>
        <w:rFonts w:ascii="Wingdings" w:hAnsi="Wingdings" w:hint="default"/>
      </w:rPr>
    </w:lvl>
    <w:lvl w:ilvl="6" w:tplc="80BC3A0C" w:tentative="1">
      <w:start w:val="1"/>
      <w:numFmt w:val="bullet"/>
      <w:lvlText w:val=""/>
      <w:lvlJc w:val="left"/>
      <w:pPr>
        <w:ind w:left="5040" w:hanging="360"/>
      </w:pPr>
      <w:rPr>
        <w:rFonts w:ascii="Symbol" w:hAnsi="Symbol" w:hint="default"/>
      </w:rPr>
    </w:lvl>
    <w:lvl w:ilvl="7" w:tplc="452C1E6C" w:tentative="1">
      <w:start w:val="1"/>
      <w:numFmt w:val="bullet"/>
      <w:lvlText w:val="o"/>
      <w:lvlJc w:val="left"/>
      <w:pPr>
        <w:ind w:left="5760" w:hanging="360"/>
      </w:pPr>
      <w:rPr>
        <w:rFonts w:ascii="Courier New" w:hAnsi="Courier New" w:cs="Courier New" w:hint="default"/>
      </w:rPr>
    </w:lvl>
    <w:lvl w:ilvl="8" w:tplc="7054D3CE" w:tentative="1">
      <w:start w:val="1"/>
      <w:numFmt w:val="bullet"/>
      <w:lvlText w:val=""/>
      <w:lvlJc w:val="left"/>
      <w:pPr>
        <w:ind w:left="6480" w:hanging="360"/>
      </w:pPr>
      <w:rPr>
        <w:rFonts w:ascii="Wingdings" w:hAnsi="Wingdings" w:hint="default"/>
      </w:rPr>
    </w:lvl>
  </w:abstractNum>
  <w:abstractNum w:abstractNumId="5" w15:restartNumberingAfterBreak="0">
    <w:nsid w:val="13BC5553"/>
    <w:multiLevelType w:val="hybridMultilevel"/>
    <w:tmpl w:val="2D822764"/>
    <w:lvl w:ilvl="0" w:tplc="F8382B4C">
      <w:start w:val="1"/>
      <w:numFmt w:val="decimal"/>
      <w:lvlText w:val="%1."/>
      <w:lvlJc w:val="left"/>
      <w:pPr>
        <w:ind w:left="720" w:hanging="360"/>
      </w:pPr>
    </w:lvl>
    <w:lvl w:ilvl="1" w:tplc="89C6D670" w:tentative="1">
      <w:start w:val="1"/>
      <w:numFmt w:val="lowerLetter"/>
      <w:lvlText w:val="%2."/>
      <w:lvlJc w:val="left"/>
      <w:pPr>
        <w:ind w:left="1440" w:hanging="360"/>
      </w:pPr>
    </w:lvl>
    <w:lvl w:ilvl="2" w:tplc="25D0E894" w:tentative="1">
      <w:start w:val="1"/>
      <w:numFmt w:val="lowerRoman"/>
      <w:lvlText w:val="%3."/>
      <w:lvlJc w:val="right"/>
      <w:pPr>
        <w:ind w:left="2160" w:hanging="180"/>
      </w:pPr>
    </w:lvl>
    <w:lvl w:ilvl="3" w:tplc="FD926852" w:tentative="1">
      <w:start w:val="1"/>
      <w:numFmt w:val="decimal"/>
      <w:lvlText w:val="%4."/>
      <w:lvlJc w:val="left"/>
      <w:pPr>
        <w:ind w:left="2880" w:hanging="360"/>
      </w:pPr>
    </w:lvl>
    <w:lvl w:ilvl="4" w:tplc="695201FC" w:tentative="1">
      <w:start w:val="1"/>
      <w:numFmt w:val="lowerLetter"/>
      <w:lvlText w:val="%5."/>
      <w:lvlJc w:val="left"/>
      <w:pPr>
        <w:ind w:left="3600" w:hanging="360"/>
      </w:pPr>
    </w:lvl>
    <w:lvl w:ilvl="5" w:tplc="A22E6DE8" w:tentative="1">
      <w:start w:val="1"/>
      <w:numFmt w:val="lowerRoman"/>
      <w:lvlText w:val="%6."/>
      <w:lvlJc w:val="right"/>
      <w:pPr>
        <w:ind w:left="4320" w:hanging="180"/>
      </w:pPr>
    </w:lvl>
    <w:lvl w:ilvl="6" w:tplc="CA50D7DE" w:tentative="1">
      <w:start w:val="1"/>
      <w:numFmt w:val="decimal"/>
      <w:lvlText w:val="%7."/>
      <w:lvlJc w:val="left"/>
      <w:pPr>
        <w:ind w:left="5040" w:hanging="360"/>
      </w:pPr>
    </w:lvl>
    <w:lvl w:ilvl="7" w:tplc="E38C332C" w:tentative="1">
      <w:start w:val="1"/>
      <w:numFmt w:val="lowerLetter"/>
      <w:lvlText w:val="%8."/>
      <w:lvlJc w:val="left"/>
      <w:pPr>
        <w:ind w:left="5760" w:hanging="360"/>
      </w:pPr>
    </w:lvl>
    <w:lvl w:ilvl="8" w:tplc="ACF4991E" w:tentative="1">
      <w:start w:val="1"/>
      <w:numFmt w:val="lowerRoman"/>
      <w:lvlText w:val="%9."/>
      <w:lvlJc w:val="right"/>
      <w:pPr>
        <w:ind w:left="6480" w:hanging="180"/>
      </w:pPr>
    </w:lvl>
  </w:abstractNum>
  <w:abstractNum w:abstractNumId="6" w15:restartNumberingAfterBreak="0">
    <w:nsid w:val="18BA5D8E"/>
    <w:multiLevelType w:val="hybridMultilevel"/>
    <w:tmpl w:val="7ADE31D6"/>
    <w:lvl w:ilvl="0" w:tplc="FAC85294">
      <w:start w:val="1"/>
      <w:numFmt w:val="bullet"/>
      <w:lvlText w:val=""/>
      <w:lvlJc w:val="left"/>
      <w:pPr>
        <w:ind w:left="720" w:hanging="360"/>
      </w:pPr>
      <w:rPr>
        <w:rFonts w:ascii="Symbol" w:hAnsi="Symbol" w:hint="default"/>
      </w:rPr>
    </w:lvl>
    <w:lvl w:ilvl="1" w:tplc="79FE95AA" w:tentative="1">
      <w:start w:val="1"/>
      <w:numFmt w:val="bullet"/>
      <w:lvlText w:val="o"/>
      <w:lvlJc w:val="left"/>
      <w:pPr>
        <w:ind w:left="1440" w:hanging="360"/>
      </w:pPr>
      <w:rPr>
        <w:rFonts w:ascii="Courier New" w:hAnsi="Courier New" w:cs="Courier New" w:hint="default"/>
      </w:rPr>
    </w:lvl>
    <w:lvl w:ilvl="2" w:tplc="1C4CFC66" w:tentative="1">
      <w:start w:val="1"/>
      <w:numFmt w:val="bullet"/>
      <w:lvlText w:val=""/>
      <w:lvlJc w:val="left"/>
      <w:pPr>
        <w:ind w:left="2160" w:hanging="360"/>
      </w:pPr>
      <w:rPr>
        <w:rFonts w:ascii="Wingdings" w:hAnsi="Wingdings" w:hint="default"/>
      </w:rPr>
    </w:lvl>
    <w:lvl w:ilvl="3" w:tplc="783AD106" w:tentative="1">
      <w:start w:val="1"/>
      <w:numFmt w:val="bullet"/>
      <w:lvlText w:val=""/>
      <w:lvlJc w:val="left"/>
      <w:pPr>
        <w:ind w:left="2880" w:hanging="360"/>
      </w:pPr>
      <w:rPr>
        <w:rFonts w:ascii="Symbol" w:hAnsi="Symbol" w:hint="default"/>
      </w:rPr>
    </w:lvl>
    <w:lvl w:ilvl="4" w:tplc="61987D50" w:tentative="1">
      <w:start w:val="1"/>
      <w:numFmt w:val="bullet"/>
      <w:lvlText w:val="o"/>
      <w:lvlJc w:val="left"/>
      <w:pPr>
        <w:ind w:left="3600" w:hanging="360"/>
      </w:pPr>
      <w:rPr>
        <w:rFonts w:ascii="Courier New" w:hAnsi="Courier New" w:cs="Courier New" w:hint="default"/>
      </w:rPr>
    </w:lvl>
    <w:lvl w:ilvl="5" w:tplc="C8A29464" w:tentative="1">
      <w:start w:val="1"/>
      <w:numFmt w:val="bullet"/>
      <w:lvlText w:val=""/>
      <w:lvlJc w:val="left"/>
      <w:pPr>
        <w:ind w:left="4320" w:hanging="360"/>
      </w:pPr>
      <w:rPr>
        <w:rFonts w:ascii="Wingdings" w:hAnsi="Wingdings" w:hint="default"/>
      </w:rPr>
    </w:lvl>
    <w:lvl w:ilvl="6" w:tplc="25A81D42" w:tentative="1">
      <w:start w:val="1"/>
      <w:numFmt w:val="bullet"/>
      <w:lvlText w:val=""/>
      <w:lvlJc w:val="left"/>
      <w:pPr>
        <w:ind w:left="5040" w:hanging="360"/>
      </w:pPr>
      <w:rPr>
        <w:rFonts w:ascii="Symbol" w:hAnsi="Symbol" w:hint="default"/>
      </w:rPr>
    </w:lvl>
    <w:lvl w:ilvl="7" w:tplc="EC0ADD8A" w:tentative="1">
      <w:start w:val="1"/>
      <w:numFmt w:val="bullet"/>
      <w:lvlText w:val="o"/>
      <w:lvlJc w:val="left"/>
      <w:pPr>
        <w:ind w:left="5760" w:hanging="360"/>
      </w:pPr>
      <w:rPr>
        <w:rFonts w:ascii="Courier New" w:hAnsi="Courier New" w:cs="Courier New" w:hint="default"/>
      </w:rPr>
    </w:lvl>
    <w:lvl w:ilvl="8" w:tplc="9FB80132" w:tentative="1">
      <w:start w:val="1"/>
      <w:numFmt w:val="bullet"/>
      <w:lvlText w:val=""/>
      <w:lvlJc w:val="left"/>
      <w:pPr>
        <w:ind w:left="6480" w:hanging="360"/>
      </w:pPr>
      <w:rPr>
        <w:rFonts w:ascii="Wingdings" w:hAnsi="Wingdings" w:hint="default"/>
      </w:rPr>
    </w:lvl>
  </w:abstractNum>
  <w:abstractNum w:abstractNumId="7" w15:restartNumberingAfterBreak="0">
    <w:nsid w:val="191E4E0F"/>
    <w:multiLevelType w:val="hybridMultilevel"/>
    <w:tmpl w:val="A9BE59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34708"/>
    <w:multiLevelType w:val="multilevel"/>
    <w:tmpl w:val="2C4A61EE"/>
    <w:lvl w:ilvl="0">
      <w:start w:val="1"/>
      <w:numFmt w:val="decimal"/>
      <w:pStyle w:val="ListBullet2"/>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A707E97"/>
    <w:multiLevelType w:val="hybridMultilevel"/>
    <w:tmpl w:val="8A70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0A515A"/>
    <w:multiLevelType w:val="multilevel"/>
    <w:tmpl w:val="DD64F418"/>
    <w:lvl w:ilvl="0">
      <w:start w:val="1"/>
      <w:numFmt w:val="decimal"/>
      <w:lvlText w:val="%1."/>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E12524A"/>
    <w:multiLevelType w:val="hybridMultilevel"/>
    <w:tmpl w:val="3DEAC1CC"/>
    <w:lvl w:ilvl="0" w:tplc="3B28CE00">
      <w:start w:val="1"/>
      <w:numFmt w:val="bullet"/>
      <w:lvlText w:val=""/>
      <w:lvlJc w:val="left"/>
      <w:pPr>
        <w:ind w:left="720" w:hanging="360"/>
      </w:pPr>
      <w:rPr>
        <w:rFonts w:ascii="Symbol" w:hAnsi="Symbol" w:hint="default"/>
      </w:rPr>
    </w:lvl>
    <w:lvl w:ilvl="1" w:tplc="55B6844A" w:tentative="1">
      <w:start w:val="1"/>
      <w:numFmt w:val="bullet"/>
      <w:lvlText w:val="o"/>
      <w:lvlJc w:val="left"/>
      <w:pPr>
        <w:ind w:left="1440" w:hanging="360"/>
      </w:pPr>
      <w:rPr>
        <w:rFonts w:ascii="Courier New" w:hAnsi="Courier New" w:cs="Courier New" w:hint="default"/>
      </w:rPr>
    </w:lvl>
    <w:lvl w:ilvl="2" w:tplc="99AAA7D8" w:tentative="1">
      <w:start w:val="1"/>
      <w:numFmt w:val="bullet"/>
      <w:lvlText w:val=""/>
      <w:lvlJc w:val="left"/>
      <w:pPr>
        <w:ind w:left="2160" w:hanging="360"/>
      </w:pPr>
      <w:rPr>
        <w:rFonts w:ascii="Wingdings" w:hAnsi="Wingdings" w:hint="default"/>
      </w:rPr>
    </w:lvl>
    <w:lvl w:ilvl="3" w:tplc="94F893E4" w:tentative="1">
      <w:start w:val="1"/>
      <w:numFmt w:val="bullet"/>
      <w:lvlText w:val=""/>
      <w:lvlJc w:val="left"/>
      <w:pPr>
        <w:ind w:left="2880" w:hanging="360"/>
      </w:pPr>
      <w:rPr>
        <w:rFonts w:ascii="Symbol" w:hAnsi="Symbol" w:hint="default"/>
      </w:rPr>
    </w:lvl>
    <w:lvl w:ilvl="4" w:tplc="3AA6436C" w:tentative="1">
      <w:start w:val="1"/>
      <w:numFmt w:val="bullet"/>
      <w:lvlText w:val="o"/>
      <w:lvlJc w:val="left"/>
      <w:pPr>
        <w:ind w:left="3600" w:hanging="360"/>
      </w:pPr>
      <w:rPr>
        <w:rFonts w:ascii="Courier New" w:hAnsi="Courier New" w:cs="Courier New" w:hint="default"/>
      </w:rPr>
    </w:lvl>
    <w:lvl w:ilvl="5" w:tplc="E1EA4934" w:tentative="1">
      <w:start w:val="1"/>
      <w:numFmt w:val="bullet"/>
      <w:lvlText w:val=""/>
      <w:lvlJc w:val="left"/>
      <w:pPr>
        <w:ind w:left="4320" w:hanging="360"/>
      </w:pPr>
      <w:rPr>
        <w:rFonts w:ascii="Wingdings" w:hAnsi="Wingdings" w:hint="default"/>
      </w:rPr>
    </w:lvl>
    <w:lvl w:ilvl="6" w:tplc="C124016A" w:tentative="1">
      <w:start w:val="1"/>
      <w:numFmt w:val="bullet"/>
      <w:lvlText w:val=""/>
      <w:lvlJc w:val="left"/>
      <w:pPr>
        <w:ind w:left="5040" w:hanging="360"/>
      </w:pPr>
      <w:rPr>
        <w:rFonts w:ascii="Symbol" w:hAnsi="Symbol" w:hint="default"/>
      </w:rPr>
    </w:lvl>
    <w:lvl w:ilvl="7" w:tplc="BEDA62D0" w:tentative="1">
      <w:start w:val="1"/>
      <w:numFmt w:val="bullet"/>
      <w:lvlText w:val="o"/>
      <w:lvlJc w:val="left"/>
      <w:pPr>
        <w:ind w:left="5760" w:hanging="360"/>
      </w:pPr>
      <w:rPr>
        <w:rFonts w:ascii="Courier New" w:hAnsi="Courier New" w:cs="Courier New" w:hint="default"/>
      </w:rPr>
    </w:lvl>
    <w:lvl w:ilvl="8" w:tplc="3F089B1C" w:tentative="1">
      <w:start w:val="1"/>
      <w:numFmt w:val="bullet"/>
      <w:lvlText w:val=""/>
      <w:lvlJc w:val="left"/>
      <w:pPr>
        <w:ind w:left="6480" w:hanging="360"/>
      </w:pPr>
      <w:rPr>
        <w:rFonts w:ascii="Wingdings" w:hAnsi="Wingdings" w:hint="default"/>
      </w:rPr>
    </w:lvl>
  </w:abstractNum>
  <w:abstractNum w:abstractNumId="12" w15:restartNumberingAfterBreak="0">
    <w:nsid w:val="1E817342"/>
    <w:multiLevelType w:val="hybridMultilevel"/>
    <w:tmpl w:val="0FA0B494"/>
    <w:lvl w:ilvl="0" w:tplc="8DDCD666">
      <w:start w:val="1"/>
      <w:numFmt w:val="bullet"/>
      <w:lvlText w:val=""/>
      <w:lvlJc w:val="left"/>
      <w:pPr>
        <w:ind w:left="720" w:hanging="360"/>
      </w:pPr>
      <w:rPr>
        <w:rFonts w:ascii="Symbol" w:hAnsi="Symbol" w:hint="default"/>
      </w:rPr>
    </w:lvl>
    <w:lvl w:ilvl="1" w:tplc="B5585D86" w:tentative="1">
      <w:start w:val="1"/>
      <w:numFmt w:val="bullet"/>
      <w:lvlText w:val="o"/>
      <w:lvlJc w:val="left"/>
      <w:pPr>
        <w:ind w:left="1440" w:hanging="360"/>
      </w:pPr>
      <w:rPr>
        <w:rFonts w:ascii="Courier New" w:hAnsi="Courier New" w:cs="Courier New" w:hint="default"/>
      </w:rPr>
    </w:lvl>
    <w:lvl w:ilvl="2" w:tplc="347AAA86" w:tentative="1">
      <w:start w:val="1"/>
      <w:numFmt w:val="bullet"/>
      <w:lvlText w:val=""/>
      <w:lvlJc w:val="left"/>
      <w:pPr>
        <w:ind w:left="2160" w:hanging="360"/>
      </w:pPr>
      <w:rPr>
        <w:rFonts w:ascii="Wingdings" w:hAnsi="Wingdings" w:hint="default"/>
      </w:rPr>
    </w:lvl>
    <w:lvl w:ilvl="3" w:tplc="85A44F18" w:tentative="1">
      <w:start w:val="1"/>
      <w:numFmt w:val="bullet"/>
      <w:lvlText w:val=""/>
      <w:lvlJc w:val="left"/>
      <w:pPr>
        <w:ind w:left="2880" w:hanging="360"/>
      </w:pPr>
      <w:rPr>
        <w:rFonts w:ascii="Symbol" w:hAnsi="Symbol" w:hint="default"/>
      </w:rPr>
    </w:lvl>
    <w:lvl w:ilvl="4" w:tplc="C7B86766" w:tentative="1">
      <w:start w:val="1"/>
      <w:numFmt w:val="bullet"/>
      <w:lvlText w:val="o"/>
      <w:lvlJc w:val="left"/>
      <w:pPr>
        <w:ind w:left="3600" w:hanging="360"/>
      </w:pPr>
      <w:rPr>
        <w:rFonts w:ascii="Courier New" w:hAnsi="Courier New" w:cs="Courier New" w:hint="default"/>
      </w:rPr>
    </w:lvl>
    <w:lvl w:ilvl="5" w:tplc="1A84B864" w:tentative="1">
      <w:start w:val="1"/>
      <w:numFmt w:val="bullet"/>
      <w:lvlText w:val=""/>
      <w:lvlJc w:val="left"/>
      <w:pPr>
        <w:ind w:left="4320" w:hanging="360"/>
      </w:pPr>
      <w:rPr>
        <w:rFonts w:ascii="Wingdings" w:hAnsi="Wingdings" w:hint="default"/>
      </w:rPr>
    </w:lvl>
    <w:lvl w:ilvl="6" w:tplc="6674E3C4" w:tentative="1">
      <w:start w:val="1"/>
      <w:numFmt w:val="bullet"/>
      <w:lvlText w:val=""/>
      <w:lvlJc w:val="left"/>
      <w:pPr>
        <w:ind w:left="5040" w:hanging="360"/>
      </w:pPr>
      <w:rPr>
        <w:rFonts w:ascii="Symbol" w:hAnsi="Symbol" w:hint="default"/>
      </w:rPr>
    </w:lvl>
    <w:lvl w:ilvl="7" w:tplc="876EED62" w:tentative="1">
      <w:start w:val="1"/>
      <w:numFmt w:val="bullet"/>
      <w:lvlText w:val="o"/>
      <w:lvlJc w:val="left"/>
      <w:pPr>
        <w:ind w:left="5760" w:hanging="360"/>
      </w:pPr>
      <w:rPr>
        <w:rFonts w:ascii="Courier New" w:hAnsi="Courier New" w:cs="Courier New" w:hint="default"/>
      </w:rPr>
    </w:lvl>
    <w:lvl w:ilvl="8" w:tplc="6F1AD286" w:tentative="1">
      <w:start w:val="1"/>
      <w:numFmt w:val="bullet"/>
      <w:lvlText w:val=""/>
      <w:lvlJc w:val="left"/>
      <w:pPr>
        <w:ind w:left="6480" w:hanging="360"/>
      </w:pPr>
      <w:rPr>
        <w:rFonts w:ascii="Wingdings" w:hAnsi="Wingdings" w:hint="default"/>
      </w:rPr>
    </w:lvl>
  </w:abstractNum>
  <w:abstractNum w:abstractNumId="13" w15:restartNumberingAfterBreak="0">
    <w:nsid w:val="21224D48"/>
    <w:multiLevelType w:val="hybridMultilevel"/>
    <w:tmpl w:val="5A2CB15A"/>
    <w:lvl w:ilvl="0" w:tplc="2CBC900C">
      <w:start w:val="1"/>
      <w:numFmt w:val="decimal"/>
      <w:lvlText w:val="%1."/>
      <w:lvlJc w:val="left"/>
      <w:pPr>
        <w:ind w:left="720" w:hanging="360"/>
      </w:pPr>
    </w:lvl>
    <w:lvl w:ilvl="1" w:tplc="8C7862AA" w:tentative="1">
      <w:start w:val="1"/>
      <w:numFmt w:val="lowerLetter"/>
      <w:lvlText w:val="%2."/>
      <w:lvlJc w:val="left"/>
      <w:pPr>
        <w:ind w:left="1440" w:hanging="360"/>
      </w:pPr>
    </w:lvl>
    <w:lvl w:ilvl="2" w:tplc="AE70B54C" w:tentative="1">
      <w:start w:val="1"/>
      <w:numFmt w:val="lowerRoman"/>
      <w:lvlText w:val="%3."/>
      <w:lvlJc w:val="right"/>
      <w:pPr>
        <w:ind w:left="2160" w:hanging="180"/>
      </w:pPr>
    </w:lvl>
    <w:lvl w:ilvl="3" w:tplc="B1A69DB8" w:tentative="1">
      <w:start w:val="1"/>
      <w:numFmt w:val="decimal"/>
      <w:lvlText w:val="%4."/>
      <w:lvlJc w:val="left"/>
      <w:pPr>
        <w:ind w:left="2880" w:hanging="360"/>
      </w:pPr>
    </w:lvl>
    <w:lvl w:ilvl="4" w:tplc="228242AE" w:tentative="1">
      <w:start w:val="1"/>
      <w:numFmt w:val="lowerLetter"/>
      <w:lvlText w:val="%5."/>
      <w:lvlJc w:val="left"/>
      <w:pPr>
        <w:ind w:left="3600" w:hanging="360"/>
      </w:pPr>
    </w:lvl>
    <w:lvl w:ilvl="5" w:tplc="58B6BD72" w:tentative="1">
      <w:start w:val="1"/>
      <w:numFmt w:val="lowerRoman"/>
      <w:lvlText w:val="%6."/>
      <w:lvlJc w:val="right"/>
      <w:pPr>
        <w:ind w:left="4320" w:hanging="180"/>
      </w:pPr>
    </w:lvl>
    <w:lvl w:ilvl="6" w:tplc="6E705D94" w:tentative="1">
      <w:start w:val="1"/>
      <w:numFmt w:val="decimal"/>
      <w:lvlText w:val="%7."/>
      <w:lvlJc w:val="left"/>
      <w:pPr>
        <w:ind w:left="5040" w:hanging="360"/>
      </w:pPr>
    </w:lvl>
    <w:lvl w:ilvl="7" w:tplc="8C947462" w:tentative="1">
      <w:start w:val="1"/>
      <w:numFmt w:val="lowerLetter"/>
      <w:lvlText w:val="%8."/>
      <w:lvlJc w:val="left"/>
      <w:pPr>
        <w:ind w:left="5760" w:hanging="360"/>
      </w:pPr>
    </w:lvl>
    <w:lvl w:ilvl="8" w:tplc="4DD08F9C" w:tentative="1">
      <w:start w:val="1"/>
      <w:numFmt w:val="lowerRoman"/>
      <w:lvlText w:val="%9."/>
      <w:lvlJc w:val="right"/>
      <w:pPr>
        <w:ind w:left="6480" w:hanging="180"/>
      </w:pPr>
    </w:lvl>
  </w:abstractNum>
  <w:abstractNum w:abstractNumId="14" w15:restartNumberingAfterBreak="0">
    <w:nsid w:val="22041D88"/>
    <w:multiLevelType w:val="hybridMultilevel"/>
    <w:tmpl w:val="30CC66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FE76E29"/>
    <w:multiLevelType w:val="hybridMultilevel"/>
    <w:tmpl w:val="D8247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CA3255"/>
    <w:multiLevelType w:val="hybridMultilevel"/>
    <w:tmpl w:val="52AABE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17267A7"/>
    <w:multiLevelType w:val="hybridMultilevel"/>
    <w:tmpl w:val="001C6FA6"/>
    <w:lvl w:ilvl="0" w:tplc="B3927AB8">
      <w:start w:val="1"/>
      <w:numFmt w:val="bullet"/>
      <w:lvlText w:val=""/>
      <w:lvlJc w:val="left"/>
      <w:pPr>
        <w:ind w:left="720" w:hanging="360"/>
      </w:pPr>
      <w:rPr>
        <w:rFonts w:ascii="Symbol" w:hAnsi="Symbol" w:hint="default"/>
      </w:rPr>
    </w:lvl>
    <w:lvl w:ilvl="1" w:tplc="827427C4" w:tentative="1">
      <w:start w:val="1"/>
      <w:numFmt w:val="bullet"/>
      <w:lvlText w:val="o"/>
      <w:lvlJc w:val="left"/>
      <w:pPr>
        <w:ind w:left="1440" w:hanging="360"/>
      </w:pPr>
      <w:rPr>
        <w:rFonts w:ascii="Courier New" w:hAnsi="Courier New" w:cs="Courier New" w:hint="default"/>
      </w:rPr>
    </w:lvl>
    <w:lvl w:ilvl="2" w:tplc="0B421F4A" w:tentative="1">
      <w:start w:val="1"/>
      <w:numFmt w:val="bullet"/>
      <w:lvlText w:val=""/>
      <w:lvlJc w:val="left"/>
      <w:pPr>
        <w:ind w:left="2160" w:hanging="360"/>
      </w:pPr>
      <w:rPr>
        <w:rFonts w:ascii="Wingdings" w:hAnsi="Wingdings" w:hint="default"/>
      </w:rPr>
    </w:lvl>
    <w:lvl w:ilvl="3" w:tplc="DE8ADB1E" w:tentative="1">
      <w:start w:val="1"/>
      <w:numFmt w:val="bullet"/>
      <w:lvlText w:val=""/>
      <w:lvlJc w:val="left"/>
      <w:pPr>
        <w:ind w:left="2880" w:hanging="360"/>
      </w:pPr>
      <w:rPr>
        <w:rFonts w:ascii="Symbol" w:hAnsi="Symbol" w:hint="default"/>
      </w:rPr>
    </w:lvl>
    <w:lvl w:ilvl="4" w:tplc="B032F6BA" w:tentative="1">
      <w:start w:val="1"/>
      <w:numFmt w:val="bullet"/>
      <w:lvlText w:val="o"/>
      <w:lvlJc w:val="left"/>
      <w:pPr>
        <w:ind w:left="3600" w:hanging="360"/>
      </w:pPr>
      <w:rPr>
        <w:rFonts w:ascii="Courier New" w:hAnsi="Courier New" w:cs="Courier New" w:hint="default"/>
      </w:rPr>
    </w:lvl>
    <w:lvl w:ilvl="5" w:tplc="E2D24D40" w:tentative="1">
      <w:start w:val="1"/>
      <w:numFmt w:val="bullet"/>
      <w:lvlText w:val=""/>
      <w:lvlJc w:val="left"/>
      <w:pPr>
        <w:ind w:left="4320" w:hanging="360"/>
      </w:pPr>
      <w:rPr>
        <w:rFonts w:ascii="Wingdings" w:hAnsi="Wingdings" w:hint="default"/>
      </w:rPr>
    </w:lvl>
    <w:lvl w:ilvl="6" w:tplc="142AF256" w:tentative="1">
      <w:start w:val="1"/>
      <w:numFmt w:val="bullet"/>
      <w:lvlText w:val=""/>
      <w:lvlJc w:val="left"/>
      <w:pPr>
        <w:ind w:left="5040" w:hanging="360"/>
      </w:pPr>
      <w:rPr>
        <w:rFonts w:ascii="Symbol" w:hAnsi="Symbol" w:hint="default"/>
      </w:rPr>
    </w:lvl>
    <w:lvl w:ilvl="7" w:tplc="5E74152E" w:tentative="1">
      <w:start w:val="1"/>
      <w:numFmt w:val="bullet"/>
      <w:lvlText w:val="o"/>
      <w:lvlJc w:val="left"/>
      <w:pPr>
        <w:ind w:left="5760" w:hanging="360"/>
      </w:pPr>
      <w:rPr>
        <w:rFonts w:ascii="Courier New" w:hAnsi="Courier New" w:cs="Courier New" w:hint="default"/>
      </w:rPr>
    </w:lvl>
    <w:lvl w:ilvl="8" w:tplc="D6AAB196" w:tentative="1">
      <w:start w:val="1"/>
      <w:numFmt w:val="bullet"/>
      <w:lvlText w:val=""/>
      <w:lvlJc w:val="left"/>
      <w:pPr>
        <w:ind w:left="6480" w:hanging="360"/>
      </w:pPr>
      <w:rPr>
        <w:rFonts w:ascii="Wingdings" w:hAnsi="Wingdings" w:hint="default"/>
      </w:rPr>
    </w:lvl>
  </w:abstractNum>
  <w:abstractNum w:abstractNumId="18" w15:restartNumberingAfterBreak="0">
    <w:nsid w:val="42D9360E"/>
    <w:multiLevelType w:val="hybridMultilevel"/>
    <w:tmpl w:val="D8D03402"/>
    <w:lvl w:ilvl="0" w:tplc="2FA08432">
      <w:start w:val="1"/>
      <w:numFmt w:val="bullet"/>
      <w:lvlText w:val=""/>
      <w:lvlJc w:val="left"/>
      <w:pPr>
        <w:ind w:left="720" w:hanging="360"/>
      </w:pPr>
      <w:rPr>
        <w:rFonts w:ascii="Symbol" w:hAnsi="Symbol" w:hint="default"/>
      </w:rPr>
    </w:lvl>
    <w:lvl w:ilvl="1" w:tplc="FB6ACD1C" w:tentative="1">
      <w:start w:val="1"/>
      <w:numFmt w:val="bullet"/>
      <w:lvlText w:val="o"/>
      <w:lvlJc w:val="left"/>
      <w:pPr>
        <w:ind w:left="1440" w:hanging="360"/>
      </w:pPr>
      <w:rPr>
        <w:rFonts w:ascii="Courier New" w:hAnsi="Courier New" w:cs="Courier New" w:hint="default"/>
      </w:rPr>
    </w:lvl>
    <w:lvl w:ilvl="2" w:tplc="4830BEBE" w:tentative="1">
      <w:start w:val="1"/>
      <w:numFmt w:val="bullet"/>
      <w:lvlText w:val=""/>
      <w:lvlJc w:val="left"/>
      <w:pPr>
        <w:ind w:left="2160" w:hanging="360"/>
      </w:pPr>
      <w:rPr>
        <w:rFonts w:ascii="Wingdings" w:hAnsi="Wingdings" w:hint="default"/>
      </w:rPr>
    </w:lvl>
    <w:lvl w:ilvl="3" w:tplc="02F81BF6" w:tentative="1">
      <w:start w:val="1"/>
      <w:numFmt w:val="bullet"/>
      <w:lvlText w:val=""/>
      <w:lvlJc w:val="left"/>
      <w:pPr>
        <w:ind w:left="2880" w:hanging="360"/>
      </w:pPr>
      <w:rPr>
        <w:rFonts w:ascii="Symbol" w:hAnsi="Symbol" w:hint="default"/>
      </w:rPr>
    </w:lvl>
    <w:lvl w:ilvl="4" w:tplc="0946FB98" w:tentative="1">
      <w:start w:val="1"/>
      <w:numFmt w:val="bullet"/>
      <w:lvlText w:val="o"/>
      <w:lvlJc w:val="left"/>
      <w:pPr>
        <w:ind w:left="3600" w:hanging="360"/>
      </w:pPr>
      <w:rPr>
        <w:rFonts w:ascii="Courier New" w:hAnsi="Courier New" w:cs="Courier New" w:hint="default"/>
      </w:rPr>
    </w:lvl>
    <w:lvl w:ilvl="5" w:tplc="7E6A0DAC" w:tentative="1">
      <w:start w:val="1"/>
      <w:numFmt w:val="bullet"/>
      <w:lvlText w:val=""/>
      <w:lvlJc w:val="left"/>
      <w:pPr>
        <w:ind w:left="4320" w:hanging="360"/>
      </w:pPr>
      <w:rPr>
        <w:rFonts w:ascii="Wingdings" w:hAnsi="Wingdings" w:hint="default"/>
      </w:rPr>
    </w:lvl>
    <w:lvl w:ilvl="6" w:tplc="BDE458F6" w:tentative="1">
      <w:start w:val="1"/>
      <w:numFmt w:val="bullet"/>
      <w:lvlText w:val=""/>
      <w:lvlJc w:val="left"/>
      <w:pPr>
        <w:ind w:left="5040" w:hanging="360"/>
      </w:pPr>
      <w:rPr>
        <w:rFonts w:ascii="Symbol" w:hAnsi="Symbol" w:hint="default"/>
      </w:rPr>
    </w:lvl>
    <w:lvl w:ilvl="7" w:tplc="433CD2FC" w:tentative="1">
      <w:start w:val="1"/>
      <w:numFmt w:val="bullet"/>
      <w:lvlText w:val="o"/>
      <w:lvlJc w:val="left"/>
      <w:pPr>
        <w:ind w:left="5760" w:hanging="360"/>
      </w:pPr>
      <w:rPr>
        <w:rFonts w:ascii="Courier New" w:hAnsi="Courier New" w:cs="Courier New" w:hint="default"/>
      </w:rPr>
    </w:lvl>
    <w:lvl w:ilvl="8" w:tplc="A0987E38" w:tentative="1">
      <w:start w:val="1"/>
      <w:numFmt w:val="bullet"/>
      <w:lvlText w:val=""/>
      <w:lvlJc w:val="left"/>
      <w:pPr>
        <w:ind w:left="6480" w:hanging="360"/>
      </w:pPr>
      <w:rPr>
        <w:rFonts w:ascii="Wingdings" w:hAnsi="Wingdings" w:hint="default"/>
      </w:rPr>
    </w:lvl>
  </w:abstractNum>
  <w:abstractNum w:abstractNumId="19" w15:restartNumberingAfterBreak="0">
    <w:nsid w:val="465D1886"/>
    <w:multiLevelType w:val="hybridMultilevel"/>
    <w:tmpl w:val="E488C106"/>
    <w:lvl w:ilvl="0" w:tplc="376A2714">
      <w:start w:val="1"/>
      <w:numFmt w:val="bullet"/>
      <w:lvlText w:val=""/>
      <w:lvlJc w:val="left"/>
      <w:pPr>
        <w:ind w:left="720" w:hanging="360"/>
      </w:pPr>
      <w:rPr>
        <w:rFonts w:ascii="Symbol" w:hAnsi="Symbol" w:hint="default"/>
      </w:rPr>
    </w:lvl>
    <w:lvl w:ilvl="1" w:tplc="7970233E" w:tentative="1">
      <w:start w:val="1"/>
      <w:numFmt w:val="bullet"/>
      <w:lvlText w:val="o"/>
      <w:lvlJc w:val="left"/>
      <w:pPr>
        <w:ind w:left="1440" w:hanging="360"/>
      </w:pPr>
      <w:rPr>
        <w:rFonts w:ascii="Courier New" w:hAnsi="Courier New" w:cs="Courier New" w:hint="default"/>
      </w:rPr>
    </w:lvl>
    <w:lvl w:ilvl="2" w:tplc="471205B6" w:tentative="1">
      <w:start w:val="1"/>
      <w:numFmt w:val="bullet"/>
      <w:lvlText w:val=""/>
      <w:lvlJc w:val="left"/>
      <w:pPr>
        <w:ind w:left="2160" w:hanging="360"/>
      </w:pPr>
      <w:rPr>
        <w:rFonts w:ascii="Wingdings" w:hAnsi="Wingdings" w:hint="default"/>
      </w:rPr>
    </w:lvl>
    <w:lvl w:ilvl="3" w:tplc="7B28436C" w:tentative="1">
      <w:start w:val="1"/>
      <w:numFmt w:val="bullet"/>
      <w:lvlText w:val=""/>
      <w:lvlJc w:val="left"/>
      <w:pPr>
        <w:ind w:left="2880" w:hanging="360"/>
      </w:pPr>
      <w:rPr>
        <w:rFonts w:ascii="Symbol" w:hAnsi="Symbol" w:hint="default"/>
      </w:rPr>
    </w:lvl>
    <w:lvl w:ilvl="4" w:tplc="E132E01C" w:tentative="1">
      <w:start w:val="1"/>
      <w:numFmt w:val="bullet"/>
      <w:lvlText w:val="o"/>
      <w:lvlJc w:val="left"/>
      <w:pPr>
        <w:ind w:left="3600" w:hanging="360"/>
      </w:pPr>
      <w:rPr>
        <w:rFonts w:ascii="Courier New" w:hAnsi="Courier New" w:cs="Courier New" w:hint="default"/>
      </w:rPr>
    </w:lvl>
    <w:lvl w:ilvl="5" w:tplc="1E76D4BE" w:tentative="1">
      <w:start w:val="1"/>
      <w:numFmt w:val="bullet"/>
      <w:lvlText w:val=""/>
      <w:lvlJc w:val="left"/>
      <w:pPr>
        <w:ind w:left="4320" w:hanging="360"/>
      </w:pPr>
      <w:rPr>
        <w:rFonts w:ascii="Wingdings" w:hAnsi="Wingdings" w:hint="default"/>
      </w:rPr>
    </w:lvl>
    <w:lvl w:ilvl="6" w:tplc="102CDB6A" w:tentative="1">
      <w:start w:val="1"/>
      <w:numFmt w:val="bullet"/>
      <w:lvlText w:val=""/>
      <w:lvlJc w:val="left"/>
      <w:pPr>
        <w:ind w:left="5040" w:hanging="360"/>
      </w:pPr>
      <w:rPr>
        <w:rFonts w:ascii="Symbol" w:hAnsi="Symbol" w:hint="default"/>
      </w:rPr>
    </w:lvl>
    <w:lvl w:ilvl="7" w:tplc="2E2A72A2" w:tentative="1">
      <w:start w:val="1"/>
      <w:numFmt w:val="bullet"/>
      <w:lvlText w:val="o"/>
      <w:lvlJc w:val="left"/>
      <w:pPr>
        <w:ind w:left="5760" w:hanging="360"/>
      </w:pPr>
      <w:rPr>
        <w:rFonts w:ascii="Courier New" w:hAnsi="Courier New" w:cs="Courier New" w:hint="default"/>
      </w:rPr>
    </w:lvl>
    <w:lvl w:ilvl="8" w:tplc="4D869E38" w:tentative="1">
      <w:start w:val="1"/>
      <w:numFmt w:val="bullet"/>
      <w:lvlText w:val=""/>
      <w:lvlJc w:val="left"/>
      <w:pPr>
        <w:ind w:left="6480" w:hanging="360"/>
      </w:pPr>
      <w:rPr>
        <w:rFonts w:ascii="Wingdings" w:hAnsi="Wingdings" w:hint="default"/>
      </w:rPr>
    </w:lvl>
  </w:abstractNum>
  <w:abstractNum w:abstractNumId="20" w15:restartNumberingAfterBreak="0">
    <w:nsid w:val="58062434"/>
    <w:multiLevelType w:val="hybridMultilevel"/>
    <w:tmpl w:val="27D80256"/>
    <w:lvl w:ilvl="0" w:tplc="7040E5F2">
      <w:start w:val="1"/>
      <w:numFmt w:val="bullet"/>
      <w:pStyle w:val="List"/>
      <w:lvlText w:val=""/>
      <w:lvlJc w:val="left"/>
      <w:pPr>
        <w:ind w:left="1440" w:hanging="360"/>
      </w:pPr>
      <w:rPr>
        <w:rFonts w:ascii="Symbol" w:hAnsi="Symbol" w:hint="default"/>
      </w:rPr>
    </w:lvl>
    <w:lvl w:ilvl="1" w:tplc="6E36A046">
      <w:start w:val="1"/>
      <w:numFmt w:val="bullet"/>
      <w:pStyle w:val="List2"/>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8ED32BD"/>
    <w:multiLevelType w:val="hybridMultilevel"/>
    <w:tmpl w:val="586EF5A6"/>
    <w:lvl w:ilvl="0" w:tplc="6150B51C">
      <w:start w:val="1"/>
      <w:numFmt w:val="bullet"/>
      <w:lvlText w:val=""/>
      <w:lvlJc w:val="left"/>
      <w:pPr>
        <w:ind w:left="720" w:hanging="360"/>
      </w:pPr>
      <w:rPr>
        <w:rFonts w:ascii="Symbol" w:hAnsi="Symbol" w:hint="default"/>
      </w:rPr>
    </w:lvl>
    <w:lvl w:ilvl="1" w:tplc="7ADE05CE" w:tentative="1">
      <w:start w:val="1"/>
      <w:numFmt w:val="bullet"/>
      <w:lvlText w:val="o"/>
      <w:lvlJc w:val="left"/>
      <w:pPr>
        <w:ind w:left="1440" w:hanging="360"/>
      </w:pPr>
      <w:rPr>
        <w:rFonts w:ascii="Courier New" w:hAnsi="Courier New" w:cs="Courier New" w:hint="default"/>
      </w:rPr>
    </w:lvl>
    <w:lvl w:ilvl="2" w:tplc="E8907126" w:tentative="1">
      <w:start w:val="1"/>
      <w:numFmt w:val="bullet"/>
      <w:lvlText w:val=""/>
      <w:lvlJc w:val="left"/>
      <w:pPr>
        <w:ind w:left="2160" w:hanging="360"/>
      </w:pPr>
      <w:rPr>
        <w:rFonts w:ascii="Wingdings" w:hAnsi="Wingdings" w:hint="default"/>
      </w:rPr>
    </w:lvl>
    <w:lvl w:ilvl="3" w:tplc="586ECA46" w:tentative="1">
      <w:start w:val="1"/>
      <w:numFmt w:val="bullet"/>
      <w:lvlText w:val=""/>
      <w:lvlJc w:val="left"/>
      <w:pPr>
        <w:ind w:left="2880" w:hanging="360"/>
      </w:pPr>
      <w:rPr>
        <w:rFonts w:ascii="Symbol" w:hAnsi="Symbol" w:hint="default"/>
      </w:rPr>
    </w:lvl>
    <w:lvl w:ilvl="4" w:tplc="838653B0" w:tentative="1">
      <w:start w:val="1"/>
      <w:numFmt w:val="bullet"/>
      <w:lvlText w:val="o"/>
      <w:lvlJc w:val="left"/>
      <w:pPr>
        <w:ind w:left="3600" w:hanging="360"/>
      </w:pPr>
      <w:rPr>
        <w:rFonts w:ascii="Courier New" w:hAnsi="Courier New" w:cs="Courier New" w:hint="default"/>
      </w:rPr>
    </w:lvl>
    <w:lvl w:ilvl="5" w:tplc="E4588DD6" w:tentative="1">
      <w:start w:val="1"/>
      <w:numFmt w:val="bullet"/>
      <w:lvlText w:val=""/>
      <w:lvlJc w:val="left"/>
      <w:pPr>
        <w:ind w:left="4320" w:hanging="360"/>
      </w:pPr>
      <w:rPr>
        <w:rFonts w:ascii="Wingdings" w:hAnsi="Wingdings" w:hint="default"/>
      </w:rPr>
    </w:lvl>
    <w:lvl w:ilvl="6" w:tplc="BA12E09C" w:tentative="1">
      <w:start w:val="1"/>
      <w:numFmt w:val="bullet"/>
      <w:lvlText w:val=""/>
      <w:lvlJc w:val="left"/>
      <w:pPr>
        <w:ind w:left="5040" w:hanging="360"/>
      </w:pPr>
      <w:rPr>
        <w:rFonts w:ascii="Symbol" w:hAnsi="Symbol" w:hint="default"/>
      </w:rPr>
    </w:lvl>
    <w:lvl w:ilvl="7" w:tplc="626C55AA" w:tentative="1">
      <w:start w:val="1"/>
      <w:numFmt w:val="bullet"/>
      <w:lvlText w:val="o"/>
      <w:lvlJc w:val="left"/>
      <w:pPr>
        <w:ind w:left="5760" w:hanging="360"/>
      </w:pPr>
      <w:rPr>
        <w:rFonts w:ascii="Courier New" w:hAnsi="Courier New" w:cs="Courier New" w:hint="default"/>
      </w:rPr>
    </w:lvl>
    <w:lvl w:ilvl="8" w:tplc="D85491DA" w:tentative="1">
      <w:start w:val="1"/>
      <w:numFmt w:val="bullet"/>
      <w:lvlText w:val=""/>
      <w:lvlJc w:val="left"/>
      <w:pPr>
        <w:ind w:left="6480" w:hanging="360"/>
      </w:pPr>
      <w:rPr>
        <w:rFonts w:ascii="Wingdings" w:hAnsi="Wingdings" w:hint="default"/>
      </w:rPr>
    </w:lvl>
  </w:abstractNum>
  <w:abstractNum w:abstractNumId="22" w15:restartNumberingAfterBreak="0">
    <w:nsid w:val="5B311FD1"/>
    <w:multiLevelType w:val="hybridMultilevel"/>
    <w:tmpl w:val="9FF4F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6EC36CF"/>
    <w:multiLevelType w:val="hybridMultilevel"/>
    <w:tmpl w:val="AB50B5C2"/>
    <w:lvl w:ilvl="0" w:tplc="75387964">
      <w:start w:val="1"/>
      <w:numFmt w:val="bullet"/>
      <w:lvlText w:val=""/>
      <w:lvlJc w:val="left"/>
      <w:pPr>
        <w:ind w:left="720" w:hanging="360"/>
      </w:pPr>
      <w:rPr>
        <w:rFonts w:ascii="Symbol" w:hAnsi="Symbol" w:hint="default"/>
      </w:rPr>
    </w:lvl>
    <w:lvl w:ilvl="1" w:tplc="81F038F0" w:tentative="1">
      <w:start w:val="1"/>
      <w:numFmt w:val="bullet"/>
      <w:lvlText w:val="o"/>
      <w:lvlJc w:val="left"/>
      <w:pPr>
        <w:ind w:left="1440" w:hanging="360"/>
      </w:pPr>
      <w:rPr>
        <w:rFonts w:ascii="Courier New" w:hAnsi="Courier New" w:cs="Courier New" w:hint="default"/>
      </w:rPr>
    </w:lvl>
    <w:lvl w:ilvl="2" w:tplc="DE18ED6A" w:tentative="1">
      <w:start w:val="1"/>
      <w:numFmt w:val="bullet"/>
      <w:lvlText w:val=""/>
      <w:lvlJc w:val="left"/>
      <w:pPr>
        <w:ind w:left="2160" w:hanging="360"/>
      </w:pPr>
      <w:rPr>
        <w:rFonts w:ascii="Wingdings" w:hAnsi="Wingdings" w:hint="default"/>
      </w:rPr>
    </w:lvl>
    <w:lvl w:ilvl="3" w:tplc="A58A2EBE" w:tentative="1">
      <w:start w:val="1"/>
      <w:numFmt w:val="bullet"/>
      <w:lvlText w:val=""/>
      <w:lvlJc w:val="left"/>
      <w:pPr>
        <w:ind w:left="2880" w:hanging="360"/>
      </w:pPr>
      <w:rPr>
        <w:rFonts w:ascii="Symbol" w:hAnsi="Symbol" w:hint="default"/>
      </w:rPr>
    </w:lvl>
    <w:lvl w:ilvl="4" w:tplc="B6100B86" w:tentative="1">
      <w:start w:val="1"/>
      <w:numFmt w:val="bullet"/>
      <w:lvlText w:val="o"/>
      <w:lvlJc w:val="left"/>
      <w:pPr>
        <w:ind w:left="3600" w:hanging="360"/>
      </w:pPr>
      <w:rPr>
        <w:rFonts w:ascii="Courier New" w:hAnsi="Courier New" w:cs="Courier New" w:hint="default"/>
      </w:rPr>
    </w:lvl>
    <w:lvl w:ilvl="5" w:tplc="50BA48EC" w:tentative="1">
      <w:start w:val="1"/>
      <w:numFmt w:val="bullet"/>
      <w:lvlText w:val=""/>
      <w:lvlJc w:val="left"/>
      <w:pPr>
        <w:ind w:left="4320" w:hanging="360"/>
      </w:pPr>
      <w:rPr>
        <w:rFonts w:ascii="Wingdings" w:hAnsi="Wingdings" w:hint="default"/>
      </w:rPr>
    </w:lvl>
    <w:lvl w:ilvl="6" w:tplc="F80EB910" w:tentative="1">
      <w:start w:val="1"/>
      <w:numFmt w:val="bullet"/>
      <w:lvlText w:val=""/>
      <w:lvlJc w:val="left"/>
      <w:pPr>
        <w:ind w:left="5040" w:hanging="360"/>
      </w:pPr>
      <w:rPr>
        <w:rFonts w:ascii="Symbol" w:hAnsi="Symbol" w:hint="default"/>
      </w:rPr>
    </w:lvl>
    <w:lvl w:ilvl="7" w:tplc="17CEB02E" w:tentative="1">
      <w:start w:val="1"/>
      <w:numFmt w:val="bullet"/>
      <w:lvlText w:val="o"/>
      <w:lvlJc w:val="left"/>
      <w:pPr>
        <w:ind w:left="5760" w:hanging="360"/>
      </w:pPr>
      <w:rPr>
        <w:rFonts w:ascii="Courier New" w:hAnsi="Courier New" w:cs="Courier New" w:hint="default"/>
      </w:rPr>
    </w:lvl>
    <w:lvl w:ilvl="8" w:tplc="69A43B06" w:tentative="1">
      <w:start w:val="1"/>
      <w:numFmt w:val="bullet"/>
      <w:lvlText w:val=""/>
      <w:lvlJc w:val="left"/>
      <w:pPr>
        <w:ind w:left="6480" w:hanging="360"/>
      </w:pPr>
      <w:rPr>
        <w:rFonts w:ascii="Wingdings" w:hAnsi="Wingdings" w:hint="default"/>
      </w:rPr>
    </w:lvl>
  </w:abstractNum>
  <w:abstractNum w:abstractNumId="24" w15:restartNumberingAfterBreak="0">
    <w:nsid w:val="6D595100"/>
    <w:multiLevelType w:val="hybridMultilevel"/>
    <w:tmpl w:val="6B6685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308581E"/>
    <w:multiLevelType w:val="multilevel"/>
    <w:tmpl w:val="DAEE62AE"/>
    <w:lvl w:ilvl="0">
      <w:start w:val="1"/>
      <w:numFmt w:val="decimal"/>
      <w:pStyle w:val="Heading1"/>
      <w:lvlText w:val="%1.0"/>
      <w:lvlJc w:val="left"/>
      <w:pPr>
        <w:ind w:left="720" w:hanging="720"/>
      </w:pPr>
      <w:rPr>
        <w:rFonts w:ascii="Times New Roman" w:hAnsi="Times New Roman" w:cs="Times New Roman" w:hint="default"/>
        <w:b/>
        <w:sz w:val="24"/>
        <w:szCs w:val="28"/>
      </w:rPr>
    </w:lvl>
    <w:lvl w:ilvl="1">
      <w:start w:val="1"/>
      <w:numFmt w:val="decimal"/>
      <w:lvlText w:val="%1.%2"/>
      <w:lvlJc w:val="left"/>
      <w:pPr>
        <w:ind w:left="720" w:firstLine="0"/>
      </w:pPr>
      <w:rPr>
        <w:rFonts w:hint="default"/>
        <w:i/>
      </w:rPr>
    </w:lvl>
    <w:lvl w:ilvl="2">
      <w:start w:val="1"/>
      <w:numFmt w:val="bullet"/>
      <w:lvlText w:val=""/>
      <w:lvlJc w:val="left"/>
      <w:pPr>
        <w:ind w:left="2160" w:hanging="180"/>
      </w:pPr>
      <w:rPr>
        <w:rFonts w:ascii="Symbol" w:hAnsi="Symbol"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3C3462A"/>
    <w:multiLevelType w:val="multilevel"/>
    <w:tmpl w:val="EAA69AFA"/>
    <w:lvl w:ilvl="0">
      <w:start w:val="1"/>
      <w:numFmt w:val="bullet"/>
      <w:pStyle w:val="After6ptTimes"/>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27" w15:restartNumberingAfterBreak="0">
    <w:nsid w:val="79A15F98"/>
    <w:multiLevelType w:val="hybridMultilevel"/>
    <w:tmpl w:val="AC4C7ADC"/>
    <w:lvl w:ilvl="0" w:tplc="C6124722">
      <w:start w:val="1"/>
      <w:numFmt w:val="bullet"/>
      <w:lvlText w:val=""/>
      <w:lvlJc w:val="left"/>
      <w:pPr>
        <w:ind w:left="720" w:hanging="360"/>
      </w:pPr>
      <w:rPr>
        <w:rFonts w:ascii="Symbol" w:hAnsi="Symbol" w:hint="default"/>
      </w:rPr>
    </w:lvl>
    <w:lvl w:ilvl="1" w:tplc="3646AB54" w:tentative="1">
      <w:start w:val="1"/>
      <w:numFmt w:val="bullet"/>
      <w:lvlText w:val="o"/>
      <w:lvlJc w:val="left"/>
      <w:pPr>
        <w:ind w:left="1440" w:hanging="360"/>
      </w:pPr>
      <w:rPr>
        <w:rFonts w:ascii="Courier New" w:hAnsi="Courier New" w:cs="Courier New" w:hint="default"/>
      </w:rPr>
    </w:lvl>
    <w:lvl w:ilvl="2" w:tplc="39F27C8A" w:tentative="1">
      <w:start w:val="1"/>
      <w:numFmt w:val="bullet"/>
      <w:lvlText w:val=""/>
      <w:lvlJc w:val="left"/>
      <w:pPr>
        <w:ind w:left="2160" w:hanging="360"/>
      </w:pPr>
      <w:rPr>
        <w:rFonts w:ascii="Wingdings" w:hAnsi="Wingdings" w:hint="default"/>
      </w:rPr>
    </w:lvl>
    <w:lvl w:ilvl="3" w:tplc="5CC67D90" w:tentative="1">
      <w:start w:val="1"/>
      <w:numFmt w:val="bullet"/>
      <w:lvlText w:val=""/>
      <w:lvlJc w:val="left"/>
      <w:pPr>
        <w:ind w:left="2880" w:hanging="360"/>
      </w:pPr>
      <w:rPr>
        <w:rFonts w:ascii="Symbol" w:hAnsi="Symbol" w:hint="default"/>
      </w:rPr>
    </w:lvl>
    <w:lvl w:ilvl="4" w:tplc="A002132C" w:tentative="1">
      <w:start w:val="1"/>
      <w:numFmt w:val="bullet"/>
      <w:lvlText w:val="o"/>
      <w:lvlJc w:val="left"/>
      <w:pPr>
        <w:ind w:left="3600" w:hanging="360"/>
      </w:pPr>
      <w:rPr>
        <w:rFonts w:ascii="Courier New" w:hAnsi="Courier New" w:cs="Courier New" w:hint="default"/>
      </w:rPr>
    </w:lvl>
    <w:lvl w:ilvl="5" w:tplc="E514EA5A" w:tentative="1">
      <w:start w:val="1"/>
      <w:numFmt w:val="bullet"/>
      <w:lvlText w:val=""/>
      <w:lvlJc w:val="left"/>
      <w:pPr>
        <w:ind w:left="4320" w:hanging="360"/>
      </w:pPr>
      <w:rPr>
        <w:rFonts w:ascii="Wingdings" w:hAnsi="Wingdings" w:hint="default"/>
      </w:rPr>
    </w:lvl>
    <w:lvl w:ilvl="6" w:tplc="264CA888" w:tentative="1">
      <w:start w:val="1"/>
      <w:numFmt w:val="bullet"/>
      <w:lvlText w:val=""/>
      <w:lvlJc w:val="left"/>
      <w:pPr>
        <w:ind w:left="5040" w:hanging="360"/>
      </w:pPr>
      <w:rPr>
        <w:rFonts w:ascii="Symbol" w:hAnsi="Symbol" w:hint="default"/>
      </w:rPr>
    </w:lvl>
    <w:lvl w:ilvl="7" w:tplc="F7565EBA" w:tentative="1">
      <w:start w:val="1"/>
      <w:numFmt w:val="bullet"/>
      <w:lvlText w:val="o"/>
      <w:lvlJc w:val="left"/>
      <w:pPr>
        <w:ind w:left="5760" w:hanging="360"/>
      </w:pPr>
      <w:rPr>
        <w:rFonts w:ascii="Courier New" w:hAnsi="Courier New" w:cs="Courier New" w:hint="default"/>
      </w:rPr>
    </w:lvl>
    <w:lvl w:ilvl="8" w:tplc="9A72AAEA" w:tentative="1">
      <w:start w:val="1"/>
      <w:numFmt w:val="bullet"/>
      <w:lvlText w:val=""/>
      <w:lvlJc w:val="left"/>
      <w:pPr>
        <w:ind w:left="6480" w:hanging="360"/>
      </w:pPr>
      <w:rPr>
        <w:rFonts w:ascii="Wingdings" w:hAnsi="Wingdings" w:hint="default"/>
      </w:rPr>
    </w:lvl>
  </w:abstractNum>
  <w:abstractNum w:abstractNumId="28" w15:restartNumberingAfterBreak="0">
    <w:nsid w:val="7C226AEA"/>
    <w:multiLevelType w:val="hybridMultilevel"/>
    <w:tmpl w:val="E2DC9C04"/>
    <w:lvl w:ilvl="0" w:tplc="B810B37E">
      <w:start w:val="1"/>
      <w:numFmt w:val="bullet"/>
      <w:pStyle w:val="ChecklistSimpleChecked"/>
      <w:lvlText w:val="☑"/>
      <w:lvlJc w:val="left"/>
      <w:pPr>
        <w:tabs>
          <w:tab w:val="num" w:pos="360"/>
        </w:tabs>
        <w:ind w:left="360" w:hanging="360"/>
      </w:pPr>
      <w:rPr>
        <w:rFonts w:ascii="Arial Unicode MS" w:eastAsia="Arial Unicode MS" w:hAnsi="Arial Unicode MS"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
  </w:num>
  <w:num w:numId="3">
    <w:abstractNumId w:val="0"/>
  </w:num>
  <w:num w:numId="4">
    <w:abstractNumId w:val="8"/>
  </w:num>
  <w:num w:numId="5">
    <w:abstractNumId w:val="20"/>
  </w:num>
  <w:num w:numId="6">
    <w:abstractNumId w:val="25"/>
  </w:num>
  <w:num w:numId="7">
    <w:abstractNumId w:val="26"/>
  </w:num>
  <w:num w:numId="8">
    <w:abstractNumId w:val="14"/>
  </w:num>
  <w:num w:numId="9">
    <w:abstractNumId w:val="3"/>
  </w:num>
  <w:num w:numId="10">
    <w:abstractNumId w:val="7"/>
  </w:num>
  <w:num w:numId="11">
    <w:abstractNumId w:val="16"/>
  </w:num>
  <w:num w:numId="12">
    <w:abstractNumId w:val="22"/>
  </w:num>
  <w:num w:numId="13">
    <w:abstractNumId w:val="15"/>
  </w:num>
  <w:num w:numId="14">
    <w:abstractNumId w:val="9"/>
  </w:num>
  <w:num w:numId="15">
    <w:abstractNumId w:val="5"/>
  </w:num>
  <w:num w:numId="16">
    <w:abstractNumId w:val="13"/>
  </w:num>
  <w:num w:numId="17">
    <w:abstractNumId w:val="18"/>
  </w:num>
  <w:num w:numId="18">
    <w:abstractNumId w:val="6"/>
  </w:num>
  <w:num w:numId="19">
    <w:abstractNumId w:val="4"/>
  </w:num>
  <w:num w:numId="20">
    <w:abstractNumId w:val="27"/>
  </w:num>
  <w:num w:numId="21">
    <w:abstractNumId w:val="23"/>
  </w:num>
  <w:num w:numId="22">
    <w:abstractNumId w:val="17"/>
  </w:num>
  <w:num w:numId="23">
    <w:abstractNumId w:val="21"/>
  </w:num>
  <w:num w:numId="24">
    <w:abstractNumId w:val="19"/>
  </w:num>
  <w:num w:numId="25">
    <w:abstractNumId w:val="12"/>
  </w:num>
  <w:num w:numId="26">
    <w:abstractNumId w:val="11"/>
  </w:num>
  <w:num w:numId="27">
    <w:abstractNumId w:val="2"/>
  </w:num>
  <w:num w:numId="28">
    <w:abstractNumId w:val="24"/>
  </w:num>
  <w:num w:numId="29">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022755E-7263-41B7-9B23-8E738C1B9A25}"/>
    <w:docVar w:name="dgnword-eventsink" w:val="186254352"/>
  </w:docVars>
  <w:rsids>
    <w:rsidRoot w:val="007C0AA4"/>
    <w:rsid w:val="00000C77"/>
    <w:rsid w:val="000015D1"/>
    <w:rsid w:val="00006F7C"/>
    <w:rsid w:val="000075DA"/>
    <w:rsid w:val="000174A9"/>
    <w:rsid w:val="000176CD"/>
    <w:rsid w:val="00017C4A"/>
    <w:rsid w:val="00021416"/>
    <w:rsid w:val="00024889"/>
    <w:rsid w:val="00027909"/>
    <w:rsid w:val="000305D7"/>
    <w:rsid w:val="00031B93"/>
    <w:rsid w:val="00033F6D"/>
    <w:rsid w:val="00034B6D"/>
    <w:rsid w:val="00041A43"/>
    <w:rsid w:val="00043EC2"/>
    <w:rsid w:val="00044AA6"/>
    <w:rsid w:val="00044CF2"/>
    <w:rsid w:val="00045138"/>
    <w:rsid w:val="00045AC4"/>
    <w:rsid w:val="00053DC2"/>
    <w:rsid w:val="00053E55"/>
    <w:rsid w:val="0005556F"/>
    <w:rsid w:val="000623B7"/>
    <w:rsid w:val="00063A70"/>
    <w:rsid w:val="000647DA"/>
    <w:rsid w:val="000651A8"/>
    <w:rsid w:val="00066C2B"/>
    <w:rsid w:val="0006720A"/>
    <w:rsid w:val="0006753D"/>
    <w:rsid w:val="000678E0"/>
    <w:rsid w:val="000700EB"/>
    <w:rsid w:val="000704AB"/>
    <w:rsid w:val="00075158"/>
    <w:rsid w:val="000752E4"/>
    <w:rsid w:val="00077D95"/>
    <w:rsid w:val="00080915"/>
    <w:rsid w:val="00080944"/>
    <w:rsid w:val="0008389B"/>
    <w:rsid w:val="00086F75"/>
    <w:rsid w:val="000937AB"/>
    <w:rsid w:val="00093D0C"/>
    <w:rsid w:val="00094375"/>
    <w:rsid w:val="00095B99"/>
    <w:rsid w:val="000A0D2E"/>
    <w:rsid w:val="000A184B"/>
    <w:rsid w:val="000A1876"/>
    <w:rsid w:val="000A3196"/>
    <w:rsid w:val="000A4E0E"/>
    <w:rsid w:val="000A7CEB"/>
    <w:rsid w:val="000B0241"/>
    <w:rsid w:val="000B153D"/>
    <w:rsid w:val="000B210D"/>
    <w:rsid w:val="000B5743"/>
    <w:rsid w:val="000C0B9D"/>
    <w:rsid w:val="000C1BC6"/>
    <w:rsid w:val="000C3185"/>
    <w:rsid w:val="000C5460"/>
    <w:rsid w:val="000C659C"/>
    <w:rsid w:val="000D0A8A"/>
    <w:rsid w:val="000D3591"/>
    <w:rsid w:val="000D3F01"/>
    <w:rsid w:val="000D4C2E"/>
    <w:rsid w:val="000D54D8"/>
    <w:rsid w:val="000D5A03"/>
    <w:rsid w:val="000D654A"/>
    <w:rsid w:val="000E0D92"/>
    <w:rsid w:val="000E1FF1"/>
    <w:rsid w:val="000E3478"/>
    <w:rsid w:val="000E3701"/>
    <w:rsid w:val="000E6F07"/>
    <w:rsid w:val="000F1F4F"/>
    <w:rsid w:val="000F21C9"/>
    <w:rsid w:val="000F6BBF"/>
    <w:rsid w:val="000F7148"/>
    <w:rsid w:val="0010378B"/>
    <w:rsid w:val="0010438E"/>
    <w:rsid w:val="00105BCD"/>
    <w:rsid w:val="001079DF"/>
    <w:rsid w:val="0011070A"/>
    <w:rsid w:val="001107C4"/>
    <w:rsid w:val="00112FF7"/>
    <w:rsid w:val="0011529F"/>
    <w:rsid w:val="0011551B"/>
    <w:rsid w:val="00117BEE"/>
    <w:rsid w:val="00121133"/>
    <w:rsid w:val="00121FDF"/>
    <w:rsid w:val="00124545"/>
    <w:rsid w:val="001276B7"/>
    <w:rsid w:val="00127933"/>
    <w:rsid w:val="001325F4"/>
    <w:rsid w:val="00133D42"/>
    <w:rsid w:val="00135192"/>
    <w:rsid w:val="001351F7"/>
    <w:rsid w:val="001359D4"/>
    <w:rsid w:val="00142A6E"/>
    <w:rsid w:val="001440B0"/>
    <w:rsid w:val="00144D74"/>
    <w:rsid w:val="0014617B"/>
    <w:rsid w:val="00146A7C"/>
    <w:rsid w:val="00147073"/>
    <w:rsid w:val="00150A06"/>
    <w:rsid w:val="00152A41"/>
    <w:rsid w:val="00155AFC"/>
    <w:rsid w:val="00156FC7"/>
    <w:rsid w:val="00160C4F"/>
    <w:rsid w:val="00161E74"/>
    <w:rsid w:val="0016289C"/>
    <w:rsid w:val="00165127"/>
    <w:rsid w:val="00170049"/>
    <w:rsid w:val="001770BD"/>
    <w:rsid w:val="001772B1"/>
    <w:rsid w:val="00186FE5"/>
    <w:rsid w:val="00192BB7"/>
    <w:rsid w:val="001937CF"/>
    <w:rsid w:val="00193A08"/>
    <w:rsid w:val="00194D67"/>
    <w:rsid w:val="001A4DE4"/>
    <w:rsid w:val="001A590A"/>
    <w:rsid w:val="001A687D"/>
    <w:rsid w:val="001B0F0B"/>
    <w:rsid w:val="001B1923"/>
    <w:rsid w:val="001B33DB"/>
    <w:rsid w:val="001B5355"/>
    <w:rsid w:val="001B56EF"/>
    <w:rsid w:val="001B678E"/>
    <w:rsid w:val="001B6D07"/>
    <w:rsid w:val="001C0506"/>
    <w:rsid w:val="001C15EC"/>
    <w:rsid w:val="001C2365"/>
    <w:rsid w:val="001C43F8"/>
    <w:rsid w:val="001C5D9B"/>
    <w:rsid w:val="001C7854"/>
    <w:rsid w:val="001E1C8C"/>
    <w:rsid w:val="001E2287"/>
    <w:rsid w:val="001E29F0"/>
    <w:rsid w:val="001E2AFF"/>
    <w:rsid w:val="001E7891"/>
    <w:rsid w:val="001F0140"/>
    <w:rsid w:val="001F0DD1"/>
    <w:rsid w:val="001F42CB"/>
    <w:rsid w:val="001F435C"/>
    <w:rsid w:val="001F695E"/>
    <w:rsid w:val="001F79E7"/>
    <w:rsid w:val="0020066F"/>
    <w:rsid w:val="00205566"/>
    <w:rsid w:val="00207D8F"/>
    <w:rsid w:val="0021120C"/>
    <w:rsid w:val="00217B63"/>
    <w:rsid w:val="00223F01"/>
    <w:rsid w:val="002273CB"/>
    <w:rsid w:val="0023327E"/>
    <w:rsid w:val="002337EA"/>
    <w:rsid w:val="00233E0B"/>
    <w:rsid w:val="00234FBC"/>
    <w:rsid w:val="002371CD"/>
    <w:rsid w:val="00240818"/>
    <w:rsid w:val="002416AD"/>
    <w:rsid w:val="00241F44"/>
    <w:rsid w:val="00245FA7"/>
    <w:rsid w:val="00246A1C"/>
    <w:rsid w:val="00246B3A"/>
    <w:rsid w:val="002500C8"/>
    <w:rsid w:val="00250D20"/>
    <w:rsid w:val="00251479"/>
    <w:rsid w:val="00257537"/>
    <w:rsid w:val="002575CD"/>
    <w:rsid w:val="00260197"/>
    <w:rsid w:val="002607F3"/>
    <w:rsid w:val="00262C07"/>
    <w:rsid w:val="00263057"/>
    <w:rsid w:val="0026513D"/>
    <w:rsid w:val="0027075D"/>
    <w:rsid w:val="0027103B"/>
    <w:rsid w:val="0027245A"/>
    <w:rsid w:val="00274EDA"/>
    <w:rsid w:val="0028073C"/>
    <w:rsid w:val="002807F3"/>
    <w:rsid w:val="00280A36"/>
    <w:rsid w:val="00282126"/>
    <w:rsid w:val="00282878"/>
    <w:rsid w:val="00282B6A"/>
    <w:rsid w:val="002847E3"/>
    <w:rsid w:val="00286C34"/>
    <w:rsid w:val="00286C3C"/>
    <w:rsid w:val="00290D49"/>
    <w:rsid w:val="00297491"/>
    <w:rsid w:val="002A08FD"/>
    <w:rsid w:val="002A3ADA"/>
    <w:rsid w:val="002A61C1"/>
    <w:rsid w:val="002A78FB"/>
    <w:rsid w:val="002B1A43"/>
    <w:rsid w:val="002B1D4E"/>
    <w:rsid w:val="002B459F"/>
    <w:rsid w:val="002C2FE1"/>
    <w:rsid w:val="002D0D2A"/>
    <w:rsid w:val="002D1632"/>
    <w:rsid w:val="002D1ADD"/>
    <w:rsid w:val="002D526A"/>
    <w:rsid w:val="002D6F6F"/>
    <w:rsid w:val="002E3A26"/>
    <w:rsid w:val="002F3233"/>
    <w:rsid w:val="002F4111"/>
    <w:rsid w:val="002F75AE"/>
    <w:rsid w:val="00302EA7"/>
    <w:rsid w:val="003125A8"/>
    <w:rsid w:val="0031467C"/>
    <w:rsid w:val="003159DD"/>
    <w:rsid w:val="0032057E"/>
    <w:rsid w:val="0032245B"/>
    <w:rsid w:val="00322B15"/>
    <w:rsid w:val="0032353B"/>
    <w:rsid w:val="00324934"/>
    <w:rsid w:val="003265F6"/>
    <w:rsid w:val="0032686C"/>
    <w:rsid w:val="00326A1E"/>
    <w:rsid w:val="00331ADC"/>
    <w:rsid w:val="00332211"/>
    <w:rsid w:val="00334106"/>
    <w:rsid w:val="00334971"/>
    <w:rsid w:val="00335F24"/>
    <w:rsid w:val="003373C0"/>
    <w:rsid w:val="0034043F"/>
    <w:rsid w:val="0034056D"/>
    <w:rsid w:val="003413E7"/>
    <w:rsid w:val="00341C1E"/>
    <w:rsid w:val="00346AD4"/>
    <w:rsid w:val="00346DFC"/>
    <w:rsid w:val="003518EB"/>
    <w:rsid w:val="003603DC"/>
    <w:rsid w:val="00360E76"/>
    <w:rsid w:val="0036101E"/>
    <w:rsid w:val="00362566"/>
    <w:rsid w:val="00362C8E"/>
    <w:rsid w:val="00363E37"/>
    <w:rsid w:val="00364D7F"/>
    <w:rsid w:val="00365239"/>
    <w:rsid w:val="00371D8D"/>
    <w:rsid w:val="00376A83"/>
    <w:rsid w:val="00380554"/>
    <w:rsid w:val="00390D30"/>
    <w:rsid w:val="00393466"/>
    <w:rsid w:val="00393FAF"/>
    <w:rsid w:val="00395E1C"/>
    <w:rsid w:val="00397991"/>
    <w:rsid w:val="003A1B95"/>
    <w:rsid w:val="003A453F"/>
    <w:rsid w:val="003A5160"/>
    <w:rsid w:val="003B0698"/>
    <w:rsid w:val="003B1967"/>
    <w:rsid w:val="003B2D6B"/>
    <w:rsid w:val="003B3235"/>
    <w:rsid w:val="003B485B"/>
    <w:rsid w:val="003B51A4"/>
    <w:rsid w:val="003B7103"/>
    <w:rsid w:val="003C04C3"/>
    <w:rsid w:val="003C3F10"/>
    <w:rsid w:val="003C7115"/>
    <w:rsid w:val="003D3010"/>
    <w:rsid w:val="003D6E02"/>
    <w:rsid w:val="003E21EF"/>
    <w:rsid w:val="003E3A26"/>
    <w:rsid w:val="003E42A3"/>
    <w:rsid w:val="003E6327"/>
    <w:rsid w:val="003E76C9"/>
    <w:rsid w:val="003E76F1"/>
    <w:rsid w:val="003E7C5F"/>
    <w:rsid w:val="003F1AC6"/>
    <w:rsid w:val="003F5664"/>
    <w:rsid w:val="00402145"/>
    <w:rsid w:val="004029DF"/>
    <w:rsid w:val="00404168"/>
    <w:rsid w:val="00406E29"/>
    <w:rsid w:val="004110A0"/>
    <w:rsid w:val="00411495"/>
    <w:rsid w:val="00414609"/>
    <w:rsid w:val="0041548F"/>
    <w:rsid w:val="0041600B"/>
    <w:rsid w:val="00416A41"/>
    <w:rsid w:val="004172AE"/>
    <w:rsid w:val="00421842"/>
    <w:rsid w:val="00421D8B"/>
    <w:rsid w:val="00422FB1"/>
    <w:rsid w:val="00424CD8"/>
    <w:rsid w:val="00430909"/>
    <w:rsid w:val="00431AF4"/>
    <w:rsid w:val="0043279F"/>
    <w:rsid w:val="0043602C"/>
    <w:rsid w:val="00436739"/>
    <w:rsid w:val="00440B1C"/>
    <w:rsid w:val="00442DF0"/>
    <w:rsid w:val="00444985"/>
    <w:rsid w:val="004463FB"/>
    <w:rsid w:val="0044690C"/>
    <w:rsid w:val="00454E26"/>
    <w:rsid w:val="00460BF4"/>
    <w:rsid w:val="00463A0F"/>
    <w:rsid w:val="0046443C"/>
    <w:rsid w:val="0046531B"/>
    <w:rsid w:val="00467E85"/>
    <w:rsid w:val="004712AA"/>
    <w:rsid w:val="0047150C"/>
    <w:rsid w:val="004728F4"/>
    <w:rsid w:val="00475436"/>
    <w:rsid w:val="00476B70"/>
    <w:rsid w:val="00476DDE"/>
    <w:rsid w:val="004800BC"/>
    <w:rsid w:val="004834DA"/>
    <w:rsid w:val="004852FB"/>
    <w:rsid w:val="00486AA0"/>
    <w:rsid w:val="00490918"/>
    <w:rsid w:val="00490BEB"/>
    <w:rsid w:val="00493AE8"/>
    <w:rsid w:val="004953F7"/>
    <w:rsid w:val="004A1605"/>
    <w:rsid w:val="004A222C"/>
    <w:rsid w:val="004A59AB"/>
    <w:rsid w:val="004A66F8"/>
    <w:rsid w:val="004C2360"/>
    <w:rsid w:val="004C3F3E"/>
    <w:rsid w:val="004C4EEB"/>
    <w:rsid w:val="004C5745"/>
    <w:rsid w:val="004C5F97"/>
    <w:rsid w:val="004C783B"/>
    <w:rsid w:val="004C791F"/>
    <w:rsid w:val="004D2C49"/>
    <w:rsid w:val="004D32F4"/>
    <w:rsid w:val="004D6166"/>
    <w:rsid w:val="004E34F7"/>
    <w:rsid w:val="004E404D"/>
    <w:rsid w:val="004E65B9"/>
    <w:rsid w:val="004F08CE"/>
    <w:rsid w:val="004F0DE9"/>
    <w:rsid w:val="004F127A"/>
    <w:rsid w:val="004F2BAF"/>
    <w:rsid w:val="004F2C74"/>
    <w:rsid w:val="004F5D3D"/>
    <w:rsid w:val="00503FE7"/>
    <w:rsid w:val="00507259"/>
    <w:rsid w:val="00507786"/>
    <w:rsid w:val="00507E44"/>
    <w:rsid w:val="00510E00"/>
    <w:rsid w:val="00512BB4"/>
    <w:rsid w:val="00513EB6"/>
    <w:rsid w:val="00514629"/>
    <w:rsid w:val="00521BB8"/>
    <w:rsid w:val="00522E61"/>
    <w:rsid w:val="00526A73"/>
    <w:rsid w:val="00532C8C"/>
    <w:rsid w:val="00533901"/>
    <w:rsid w:val="00533DFE"/>
    <w:rsid w:val="00534968"/>
    <w:rsid w:val="00536226"/>
    <w:rsid w:val="005404EF"/>
    <w:rsid w:val="0054057D"/>
    <w:rsid w:val="00544F9A"/>
    <w:rsid w:val="00546230"/>
    <w:rsid w:val="00550D01"/>
    <w:rsid w:val="0055384E"/>
    <w:rsid w:val="00554468"/>
    <w:rsid w:val="00554E94"/>
    <w:rsid w:val="00555209"/>
    <w:rsid w:val="00563FB0"/>
    <w:rsid w:val="0056459A"/>
    <w:rsid w:val="00564936"/>
    <w:rsid w:val="00566A0E"/>
    <w:rsid w:val="0056788C"/>
    <w:rsid w:val="005716E4"/>
    <w:rsid w:val="00572A8E"/>
    <w:rsid w:val="005740E4"/>
    <w:rsid w:val="00581CBB"/>
    <w:rsid w:val="00582231"/>
    <w:rsid w:val="005825D1"/>
    <w:rsid w:val="00585DBB"/>
    <w:rsid w:val="00590A69"/>
    <w:rsid w:val="005918C0"/>
    <w:rsid w:val="00593850"/>
    <w:rsid w:val="00594D81"/>
    <w:rsid w:val="00595804"/>
    <w:rsid w:val="005A06C9"/>
    <w:rsid w:val="005A11C6"/>
    <w:rsid w:val="005A2B28"/>
    <w:rsid w:val="005A2DFF"/>
    <w:rsid w:val="005A5B75"/>
    <w:rsid w:val="005A662F"/>
    <w:rsid w:val="005B128E"/>
    <w:rsid w:val="005B460B"/>
    <w:rsid w:val="005B4CBD"/>
    <w:rsid w:val="005C0551"/>
    <w:rsid w:val="005C2666"/>
    <w:rsid w:val="005C37CF"/>
    <w:rsid w:val="005C3859"/>
    <w:rsid w:val="005C51CA"/>
    <w:rsid w:val="005C53DA"/>
    <w:rsid w:val="005C616A"/>
    <w:rsid w:val="005C6E9A"/>
    <w:rsid w:val="005C7DFD"/>
    <w:rsid w:val="005D0775"/>
    <w:rsid w:val="005D26FC"/>
    <w:rsid w:val="005D2B4B"/>
    <w:rsid w:val="005D6639"/>
    <w:rsid w:val="005D7ADF"/>
    <w:rsid w:val="005D7BEC"/>
    <w:rsid w:val="005E19A0"/>
    <w:rsid w:val="005E1F72"/>
    <w:rsid w:val="005E1F7C"/>
    <w:rsid w:val="005E1F8E"/>
    <w:rsid w:val="005E59B8"/>
    <w:rsid w:val="005E6121"/>
    <w:rsid w:val="005E737E"/>
    <w:rsid w:val="005F1D0E"/>
    <w:rsid w:val="005F6C5E"/>
    <w:rsid w:val="005F7967"/>
    <w:rsid w:val="00607B28"/>
    <w:rsid w:val="0061519F"/>
    <w:rsid w:val="006201C9"/>
    <w:rsid w:val="006207D6"/>
    <w:rsid w:val="00621ECF"/>
    <w:rsid w:val="0062269A"/>
    <w:rsid w:val="00624397"/>
    <w:rsid w:val="00627303"/>
    <w:rsid w:val="00627388"/>
    <w:rsid w:val="00630E45"/>
    <w:rsid w:val="00631E6C"/>
    <w:rsid w:val="00636B88"/>
    <w:rsid w:val="0064063A"/>
    <w:rsid w:val="00641209"/>
    <w:rsid w:val="00646DEB"/>
    <w:rsid w:val="00647502"/>
    <w:rsid w:val="00651DE9"/>
    <w:rsid w:val="00652172"/>
    <w:rsid w:val="006529DC"/>
    <w:rsid w:val="00652C8B"/>
    <w:rsid w:val="0065423B"/>
    <w:rsid w:val="0065571D"/>
    <w:rsid w:val="0065676D"/>
    <w:rsid w:val="00662248"/>
    <w:rsid w:val="00662B25"/>
    <w:rsid w:val="006632BA"/>
    <w:rsid w:val="006654A6"/>
    <w:rsid w:val="00665ED3"/>
    <w:rsid w:val="00667277"/>
    <w:rsid w:val="00671A82"/>
    <w:rsid w:val="006727EA"/>
    <w:rsid w:val="006733DD"/>
    <w:rsid w:val="006734DB"/>
    <w:rsid w:val="00675BAE"/>
    <w:rsid w:val="006766AC"/>
    <w:rsid w:val="006772EE"/>
    <w:rsid w:val="0068248F"/>
    <w:rsid w:val="00685B45"/>
    <w:rsid w:val="00690796"/>
    <w:rsid w:val="006908E2"/>
    <w:rsid w:val="00691C6E"/>
    <w:rsid w:val="00691CCC"/>
    <w:rsid w:val="006A0519"/>
    <w:rsid w:val="006A2693"/>
    <w:rsid w:val="006A7746"/>
    <w:rsid w:val="006A7B8B"/>
    <w:rsid w:val="006B08BE"/>
    <w:rsid w:val="006B1BDD"/>
    <w:rsid w:val="006B348B"/>
    <w:rsid w:val="006B4994"/>
    <w:rsid w:val="006E2E25"/>
    <w:rsid w:val="006E5CBF"/>
    <w:rsid w:val="006E60CE"/>
    <w:rsid w:val="006F303E"/>
    <w:rsid w:val="006F3B19"/>
    <w:rsid w:val="006F574E"/>
    <w:rsid w:val="006F68DE"/>
    <w:rsid w:val="006F6915"/>
    <w:rsid w:val="006F6DB9"/>
    <w:rsid w:val="00701FB7"/>
    <w:rsid w:val="00702B45"/>
    <w:rsid w:val="00703829"/>
    <w:rsid w:val="00705DDD"/>
    <w:rsid w:val="007067C9"/>
    <w:rsid w:val="00706D33"/>
    <w:rsid w:val="00712898"/>
    <w:rsid w:val="007163FA"/>
    <w:rsid w:val="00717AF1"/>
    <w:rsid w:val="007201E7"/>
    <w:rsid w:val="007241C5"/>
    <w:rsid w:val="00726CBA"/>
    <w:rsid w:val="007417BC"/>
    <w:rsid w:val="007429F3"/>
    <w:rsid w:val="00742ECD"/>
    <w:rsid w:val="007438F5"/>
    <w:rsid w:val="00744885"/>
    <w:rsid w:val="00745E8F"/>
    <w:rsid w:val="00751352"/>
    <w:rsid w:val="0075143B"/>
    <w:rsid w:val="00751BF3"/>
    <w:rsid w:val="00757153"/>
    <w:rsid w:val="00764957"/>
    <w:rsid w:val="00770C39"/>
    <w:rsid w:val="007754FA"/>
    <w:rsid w:val="007771D7"/>
    <w:rsid w:val="00783422"/>
    <w:rsid w:val="0078355E"/>
    <w:rsid w:val="007864B2"/>
    <w:rsid w:val="007868FF"/>
    <w:rsid w:val="00787C8C"/>
    <w:rsid w:val="007909C3"/>
    <w:rsid w:val="007924DE"/>
    <w:rsid w:val="00792B83"/>
    <w:rsid w:val="00796E1F"/>
    <w:rsid w:val="007972FA"/>
    <w:rsid w:val="00797723"/>
    <w:rsid w:val="007A1785"/>
    <w:rsid w:val="007A24A2"/>
    <w:rsid w:val="007A3FB8"/>
    <w:rsid w:val="007A4BF3"/>
    <w:rsid w:val="007A5A9C"/>
    <w:rsid w:val="007A76B1"/>
    <w:rsid w:val="007A7865"/>
    <w:rsid w:val="007B3638"/>
    <w:rsid w:val="007B40A1"/>
    <w:rsid w:val="007B45FB"/>
    <w:rsid w:val="007C04F8"/>
    <w:rsid w:val="007C0AA4"/>
    <w:rsid w:val="007C2A9E"/>
    <w:rsid w:val="007C3DAE"/>
    <w:rsid w:val="007C4F23"/>
    <w:rsid w:val="007C5509"/>
    <w:rsid w:val="007C5B2A"/>
    <w:rsid w:val="007D64C3"/>
    <w:rsid w:val="007D74F3"/>
    <w:rsid w:val="007E64BB"/>
    <w:rsid w:val="007F14DB"/>
    <w:rsid w:val="007F1F3B"/>
    <w:rsid w:val="007F3807"/>
    <w:rsid w:val="007F411D"/>
    <w:rsid w:val="00802A1C"/>
    <w:rsid w:val="008055B4"/>
    <w:rsid w:val="0080584A"/>
    <w:rsid w:val="00805E90"/>
    <w:rsid w:val="008100EF"/>
    <w:rsid w:val="00811473"/>
    <w:rsid w:val="00814788"/>
    <w:rsid w:val="00820558"/>
    <w:rsid w:val="008217D1"/>
    <w:rsid w:val="0082311F"/>
    <w:rsid w:val="0082345C"/>
    <w:rsid w:val="00825FAD"/>
    <w:rsid w:val="00831180"/>
    <w:rsid w:val="00831EA2"/>
    <w:rsid w:val="00834A5D"/>
    <w:rsid w:val="00837ADD"/>
    <w:rsid w:val="00842A6C"/>
    <w:rsid w:val="008443CE"/>
    <w:rsid w:val="0084517E"/>
    <w:rsid w:val="008458D3"/>
    <w:rsid w:val="00846D72"/>
    <w:rsid w:val="0085079A"/>
    <w:rsid w:val="0085347C"/>
    <w:rsid w:val="0085764C"/>
    <w:rsid w:val="00860FD9"/>
    <w:rsid w:val="0086173A"/>
    <w:rsid w:val="00862C21"/>
    <w:rsid w:val="00866C5E"/>
    <w:rsid w:val="00873075"/>
    <w:rsid w:val="008751F6"/>
    <w:rsid w:val="00877970"/>
    <w:rsid w:val="00877A28"/>
    <w:rsid w:val="0088163E"/>
    <w:rsid w:val="00882B32"/>
    <w:rsid w:val="008835DF"/>
    <w:rsid w:val="00884BB5"/>
    <w:rsid w:val="008911FC"/>
    <w:rsid w:val="00893E5A"/>
    <w:rsid w:val="00894015"/>
    <w:rsid w:val="00896A38"/>
    <w:rsid w:val="00896B7C"/>
    <w:rsid w:val="008A0799"/>
    <w:rsid w:val="008A0CB5"/>
    <w:rsid w:val="008A1F5A"/>
    <w:rsid w:val="008A2A5B"/>
    <w:rsid w:val="008A3B86"/>
    <w:rsid w:val="008A3E22"/>
    <w:rsid w:val="008B4395"/>
    <w:rsid w:val="008B69F7"/>
    <w:rsid w:val="008C5C71"/>
    <w:rsid w:val="008C6F3B"/>
    <w:rsid w:val="008D0F6F"/>
    <w:rsid w:val="008D271C"/>
    <w:rsid w:val="008D359C"/>
    <w:rsid w:val="008D3665"/>
    <w:rsid w:val="008D5C8C"/>
    <w:rsid w:val="008D6ADE"/>
    <w:rsid w:val="008D7AA0"/>
    <w:rsid w:val="008E17DD"/>
    <w:rsid w:val="008E3733"/>
    <w:rsid w:val="008E38A9"/>
    <w:rsid w:val="008E7F8E"/>
    <w:rsid w:val="008F2604"/>
    <w:rsid w:val="008F2813"/>
    <w:rsid w:val="008F33BA"/>
    <w:rsid w:val="008F3C40"/>
    <w:rsid w:val="008F3CD7"/>
    <w:rsid w:val="008F450C"/>
    <w:rsid w:val="008F5001"/>
    <w:rsid w:val="008F6229"/>
    <w:rsid w:val="008F6401"/>
    <w:rsid w:val="009005EA"/>
    <w:rsid w:val="009015FD"/>
    <w:rsid w:val="009046FC"/>
    <w:rsid w:val="00916BF7"/>
    <w:rsid w:val="00922DC2"/>
    <w:rsid w:val="009260E1"/>
    <w:rsid w:val="00926918"/>
    <w:rsid w:val="00931414"/>
    <w:rsid w:val="00933183"/>
    <w:rsid w:val="00933FEE"/>
    <w:rsid w:val="00934AF1"/>
    <w:rsid w:val="009357A6"/>
    <w:rsid w:val="00937248"/>
    <w:rsid w:val="00937644"/>
    <w:rsid w:val="009427F4"/>
    <w:rsid w:val="009468AE"/>
    <w:rsid w:val="00947F2F"/>
    <w:rsid w:val="00951161"/>
    <w:rsid w:val="00951E05"/>
    <w:rsid w:val="0095287D"/>
    <w:rsid w:val="009551A7"/>
    <w:rsid w:val="00957EA4"/>
    <w:rsid w:val="009646A1"/>
    <w:rsid w:val="00964902"/>
    <w:rsid w:val="00965EE8"/>
    <w:rsid w:val="009668D0"/>
    <w:rsid w:val="00971EB0"/>
    <w:rsid w:val="00971ECD"/>
    <w:rsid w:val="009762C8"/>
    <w:rsid w:val="00977E32"/>
    <w:rsid w:val="00987B4A"/>
    <w:rsid w:val="00993062"/>
    <w:rsid w:val="00994EB5"/>
    <w:rsid w:val="009968EF"/>
    <w:rsid w:val="00997964"/>
    <w:rsid w:val="009A21EB"/>
    <w:rsid w:val="009A2408"/>
    <w:rsid w:val="009A291E"/>
    <w:rsid w:val="009A2E64"/>
    <w:rsid w:val="009A4758"/>
    <w:rsid w:val="009A57BE"/>
    <w:rsid w:val="009A6FFB"/>
    <w:rsid w:val="009B16A2"/>
    <w:rsid w:val="009B3EAD"/>
    <w:rsid w:val="009B4D64"/>
    <w:rsid w:val="009B7C16"/>
    <w:rsid w:val="009C153B"/>
    <w:rsid w:val="009C2208"/>
    <w:rsid w:val="009C3975"/>
    <w:rsid w:val="009C3E29"/>
    <w:rsid w:val="009C559D"/>
    <w:rsid w:val="009C650D"/>
    <w:rsid w:val="009C6C65"/>
    <w:rsid w:val="009C74B0"/>
    <w:rsid w:val="009D0BDB"/>
    <w:rsid w:val="009D0CF9"/>
    <w:rsid w:val="009D2636"/>
    <w:rsid w:val="009D3FC1"/>
    <w:rsid w:val="009E0ADE"/>
    <w:rsid w:val="009E6504"/>
    <w:rsid w:val="009E695A"/>
    <w:rsid w:val="009F0F8B"/>
    <w:rsid w:val="00A01D71"/>
    <w:rsid w:val="00A0209C"/>
    <w:rsid w:val="00A0241F"/>
    <w:rsid w:val="00A05DBB"/>
    <w:rsid w:val="00A069F0"/>
    <w:rsid w:val="00A07D41"/>
    <w:rsid w:val="00A102C8"/>
    <w:rsid w:val="00A11779"/>
    <w:rsid w:val="00A12544"/>
    <w:rsid w:val="00A14320"/>
    <w:rsid w:val="00A146FB"/>
    <w:rsid w:val="00A14A12"/>
    <w:rsid w:val="00A203E7"/>
    <w:rsid w:val="00A20CCB"/>
    <w:rsid w:val="00A21356"/>
    <w:rsid w:val="00A22105"/>
    <w:rsid w:val="00A22602"/>
    <w:rsid w:val="00A22F29"/>
    <w:rsid w:val="00A23DAC"/>
    <w:rsid w:val="00A25851"/>
    <w:rsid w:val="00A33983"/>
    <w:rsid w:val="00A376B2"/>
    <w:rsid w:val="00A40C41"/>
    <w:rsid w:val="00A40F50"/>
    <w:rsid w:val="00A42FB8"/>
    <w:rsid w:val="00A4351F"/>
    <w:rsid w:val="00A455D9"/>
    <w:rsid w:val="00A45E0D"/>
    <w:rsid w:val="00A51025"/>
    <w:rsid w:val="00A51BE9"/>
    <w:rsid w:val="00A549B1"/>
    <w:rsid w:val="00A54BAE"/>
    <w:rsid w:val="00A54C1E"/>
    <w:rsid w:val="00A55B27"/>
    <w:rsid w:val="00A5659F"/>
    <w:rsid w:val="00A57602"/>
    <w:rsid w:val="00A609CF"/>
    <w:rsid w:val="00A63E4C"/>
    <w:rsid w:val="00A63EF9"/>
    <w:rsid w:val="00A66062"/>
    <w:rsid w:val="00A70CD2"/>
    <w:rsid w:val="00A72848"/>
    <w:rsid w:val="00A744FB"/>
    <w:rsid w:val="00A8226D"/>
    <w:rsid w:val="00A832B2"/>
    <w:rsid w:val="00A87591"/>
    <w:rsid w:val="00A91F4E"/>
    <w:rsid w:val="00A92272"/>
    <w:rsid w:val="00A92B87"/>
    <w:rsid w:val="00A933D0"/>
    <w:rsid w:val="00A93D16"/>
    <w:rsid w:val="00A969E1"/>
    <w:rsid w:val="00A9787E"/>
    <w:rsid w:val="00AA1A71"/>
    <w:rsid w:val="00AA20CA"/>
    <w:rsid w:val="00AA2384"/>
    <w:rsid w:val="00AA2439"/>
    <w:rsid w:val="00AA391A"/>
    <w:rsid w:val="00AA5C9F"/>
    <w:rsid w:val="00AA79F4"/>
    <w:rsid w:val="00AB0BFA"/>
    <w:rsid w:val="00AB2776"/>
    <w:rsid w:val="00AB27B3"/>
    <w:rsid w:val="00AB2CE5"/>
    <w:rsid w:val="00AB4312"/>
    <w:rsid w:val="00AC12D7"/>
    <w:rsid w:val="00AC24EE"/>
    <w:rsid w:val="00AD0044"/>
    <w:rsid w:val="00AD03CE"/>
    <w:rsid w:val="00AD2044"/>
    <w:rsid w:val="00AD64E1"/>
    <w:rsid w:val="00AE3058"/>
    <w:rsid w:val="00AE5827"/>
    <w:rsid w:val="00AE6482"/>
    <w:rsid w:val="00AE7926"/>
    <w:rsid w:val="00AF33D4"/>
    <w:rsid w:val="00AF478D"/>
    <w:rsid w:val="00AF4E56"/>
    <w:rsid w:val="00AF6356"/>
    <w:rsid w:val="00AF67C7"/>
    <w:rsid w:val="00AF74B3"/>
    <w:rsid w:val="00B000F5"/>
    <w:rsid w:val="00B01AE5"/>
    <w:rsid w:val="00B03693"/>
    <w:rsid w:val="00B06E61"/>
    <w:rsid w:val="00B10D05"/>
    <w:rsid w:val="00B14939"/>
    <w:rsid w:val="00B22AEA"/>
    <w:rsid w:val="00B22E9C"/>
    <w:rsid w:val="00B23693"/>
    <w:rsid w:val="00B2556D"/>
    <w:rsid w:val="00B2636D"/>
    <w:rsid w:val="00B33E8D"/>
    <w:rsid w:val="00B42158"/>
    <w:rsid w:val="00B4239F"/>
    <w:rsid w:val="00B42A23"/>
    <w:rsid w:val="00B42B3C"/>
    <w:rsid w:val="00B433C7"/>
    <w:rsid w:val="00B4481B"/>
    <w:rsid w:val="00B47785"/>
    <w:rsid w:val="00B51DC4"/>
    <w:rsid w:val="00B54651"/>
    <w:rsid w:val="00B55F83"/>
    <w:rsid w:val="00B566CD"/>
    <w:rsid w:val="00B57B69"/>
    <w:rsid w:val="00B606F1"/>
    <w:rsid w:val="00B65ECA"/>
    <w:rsid w:val="00B71B8F"/>
    <w:rsid w:val="00B7531C"/>
    <w:rsid w:val="00B77014"/>
    <w:rsid w:val="00B81E6C"/>
    <w:rsid w:val="00B84150"/>
    <w:rsid w:val="00B8447E"/>
    <w:rsid w:val="00B91F08"/>
    <w:rsid w:val="00B96607"/>
    <w:rsid w:val="00B96CBE"/>
    <w:rsid w:val="00BA2323"/>
    <w:rsid w:val="00BA3224"/>
    <w:rsid w:val="00BA669D"/>
    <w:rsid w:val="00BA71BC"/>
    <w:rsid w:val="00BA7B12"/>
    <w:rsid w:val="00BB2C26"/>
    <w:rsid w:val="00BD0700"/>
    <w:rsid w:val="00BD1366"/>
    <w:rsid w:val="00BD44EF"/>
    <w:rsid w:val="00BD4C70"/>
    <w:rsid w:val="00BD685A"/>
    <w:rsid w:val="00BE58D2"/>
    <w:rsid w:val="00BE710B"/>
    <w:rsid w:val="00BF0045"/>
    <w:rsid w:val="00BF1D11"/>
    <w:rsid w:val="00BF5A42"/>
    <w:rsid w:val="00BF6F52"/>
    <w:rsid w:val="00C00BE8"/>
    <w:rsid w:val="00C00E89"/>
    <w:rsid w:val="00C01888"/>
    <w:rsid w:val="00C02B80"/>
    <w:rsid w:val="00C03C5E"/>
    <w:rsid w:val="00C11968"/>
    <w:rsid w:val="00C17A9D"/>
    <w:rsid w:val="00C20074"/>
    <w:rsid w:val="00C246B8"/>
    <w:rsid w:val="00C25F68"/>
    <w:rsid w:val="00C3310A"/>
    <w:rsid w:val="00C336D4"/>
    <w:rsid w:val="00C406EA"/>
    <w:rsid w:val="00C422D2"/>
    <w:rsid w:val="00C45AC7"/>
    <w:rsid w:val="00C45D3A"/>
    <w:rsid w:val="00C47578"/>
    <w:rsid w:val="00C51C99"/>
    <w:rsid w:val="00C535C2"/>
    <w:rsid w:val="00C539A3"/>
    <w:rsid w:val="00C55802"/>
    <w:rsid w:val="00C57243"/>
    <w:rsid w:val="00C64621"/>
    <w:rsid w:val="00C66F74"/>
    <w:rsid w:val="00C719E4"/>
    <w:rsid w:val="00C763C7"/>
    <w:rsid w:val="00C77577"/>
    <w:rsid w:val="00C877E5"/>
    <w:rsid w:val="00C939CE"/>
    <w:rsid w:val="00C96060"/>
    <w:rsid w:val="00CA0CB1"/>
    <w:rsid w:val="00CA1C21"/>
    <w:rsid w:val="00CA31C5"/>
    <w:rsid w:val="00CA6E60"/>
    <w:rsid w:val="00CA7DB3"/>
    <w:rsid w:val="00CB6A30"/>
    <w:rsid w:val="00CB7DA8"/>
    <w:rsid w:val="00CC0F5F"/>
    <w:rsid w:val="00CC421F"/>
    <w:rsid w:val="00CC7DC3"/>
    <w:rsid w:val="00CD3698"/>
    <w:rsid w:val="00CD5222"/>
    <w:rsid w:val="00CD6881"/>
    <w:rsid w:val="00CD6A4C"/>
    <w:rsid w:val="00CD764C"/>
    <w:rsid w:val="00CE1707"/>
    <w:rsid w:val="00CE4037"/>
    <w:rsid w:val="00CF23ED"/>
    <w:rsid w:val="00CF29FA"/>
    <w:rsid w:val="00CF56B7"/>
    <w:rsid w:val="00CF5ABF"/>
    <w:rsid w:val="00CF774A"/>
    <w:rsid w:val="00D14278"/>
    <w:rsid w:val="00D21D1C"/>
    <w:rsid w:val="00D22310"/>
    <w:rsid w:val="00D2299F"/>
    <w:rsid w:val="00D22C2D"/>
    <w:rsid w:val="00D25F31"/>
    <w:rsid w:val="00D305B9"/>
    <w:rsid w:val="00D34180"/>
    <w:rsid w:val="00D346CD"/>
    <w:rsid w:val="00D40C0C"/>
    <w:rsid w:val="00D40D23"/>
    <w:rsid w:val="00D43BDD"/>
    <w:rsid w:val="00D441ED"/>
    <w:rsid w:val="00D46D6A"/>
    <w:rsid w:val="00D47D5A"/>
    <w:rsid w:val="00D502E4"/>
    <w:rsid w:val="00D50E0C"/>
    <w:rsid w:val="00D510E1"/>
    <w:rsid w:val="00D52C26"/>
    <w:rsid w:val="00D536DD"/>
    <w:rsid w:val="00D557AD"/>
    <w:rsid w:val="00D5741A"/>
    <w:rsid w:val="00D6533D"/>
    <w:rsid w:val="00D6561D"/>
    <w:rsid w:val="00D70764"/>
    <w:rsid w:val="00D71184"/>
    <w:rsid w:val="00D7488E"/>
    <w:rsid w:val="00D74B4D"/>
    <w:rsid w:val="00D77FB0"/>
    <w:rsid w:val="00D84A6C"/>
    <w:rsid w:val="00D85A0F"/>
    <w:rsid w:val="00D87A24"/>
    <w:rsid w:val="00D91903"/>
    <w:rsid w:val="00D94D6B"/>
    <w:rsid w:val="00D95507"/>
    <w:rsid w:val="00D963D3"/>
    <w:rsid w:val="00D97247"/>
    <w:rsid w:val="00DA2F5F"/>
    <w:rsid w:val="00DA4D62"/>
    <w:rsid w:val="00DA5D76"/>
    <w:rsid w:val="00DA6193"/>
    <w:rsid w:val="00DA68D6"/>
    <w:rsid w:val="00DA717C"/>
    <w:rsid w:val="00DB03D0"/>
    <w:rsid w:val="00DB0D36"/>
    <w:rsid w:val="00DB367E"/>
    <w:rsid w:val="00DB482F"/>
    <w:rsid w:val="00DB4B9C"/>
    <w:rsid w:val="00DB5893"/>
    <w:rsid w:val="00DB5B28"/>
    <w:rsid w:val="00DB6FEA"/>
    <w:rsid w:val="00DC0EA7"/>
    <w:rsid w:val="00DC23E3"/>
    <w:rsid w:val="00DD580F"/>
    <w:rsid w:val="00DD5D1F"/>
    <w:rsid w:val="00DD7D9C"/>
    <w:rsid w:val="00DE1731"/>
    <w:rsid w:val="00DE3213"/>
    <w:rsid w:val="00DE529E"/>
    <w:rsid w:val="00DE74DD"/>
    <w:rsid w:val="00DF25D2"/>
    <w:rsid w:val="00DF3CDD"/>
    <w:rsid w:val="00DF3D3D"/>
    <w:rsid w:val="00DF597E"/>
    <w:rsid w:val="00DF71A6"/>
    <w:rsid w:val="00E014B0"/>
    <w:rsid w:val="00E0193C"/>
    <w:rsid w:val="00E01BAB"/>
    <w:rsid w:val="00E020FE"/>
    <w:rsid w:val="00E0212F"/>
    <w:rsid w:val="00E0318F"/>
    <w:rsid w:val="00E05367"/>
    <w:rsid w:val="00E06F0A"/>
    <w:rsid w:val="00E103CD"/>
    <w:rsid w:val="00E148A1"/>
    <w:rsid w:val="00E16050"/>
    <w:rsid w:val="00E2000E"/>
    <w:rsid w:val="00E200C4"/>
    <w:rsid w:val="00E205A2"/>
    <w:rsid w:val="00E20929"/>
    <w:rsid w:val="00E23C37"/>
    <w:rsid w:val="00E25AC4"/>
    <w:rsid w:val="00E26553"/>
    <w:rsid w:val="00E27143"/>
    <w:rsid w:val="00E2733F"/>
    <w:rsid w:val="00E30DDB"/>
    <w:rsid w:val="00E31455"/>
    <w:rsid w:val="00E3264F"/>
    <w:rsid w:val="00E32CCC"/>
    <w:rsid w:val="00E372D0"/>
    <w:rsid w:val="00E37830"/>
    <w:rsid w:val="00E37DE4"/>
    <w:rsid w:val="00E37E51"/>
    <w:rsid w:val="00E5031C"/>
    <w:rsid w:val="00E51345"/>
    <w:rsid w:val="00E52214"/>
    <w:rsid w:val="00E53339"/>
    <w:rsid w:val="00E55981"/>
    <w:rsid w:val="00E643C4"/>
    <w:rsid w:val="00E64921"/>
    <w:rsid w:val="00E65D54"/>
    <w:rsid w:val="00E66054"/>
    <w:rsid w:val="00E70F0B"/>
    <w:rsid w:val="00E73464"/>
    <w:rsid w:val="00E92E2C"/>
    <w:rsid w:val="00E92F23"/>
    <w:rsid w:val="00E96E39"/>
    <w:rsid w:val="00EA00A9"/>
    <w:rsid w:val="00EA0912"/>
    <w:rsid w:val="00EA2720"/>
    <w:rsid w:val="00EA3F78"/>
    <w:rsid w:val="00EA478F"/>
    <w:rsid w:val="00EA71BB"/>
    <w:rsid w:val="00EA72CE"/>
    <w:rsid w:val="00EA7A20"/>
    <w:rsid w:val="00EB22CE"/>
    <w:rsid w:val="00EB6306"/>
    <w:rsid w:val="00EC0039"/>
    <w:rsid w:val="00EC2F52"/>
    <w:rsid w:val="00EC5811"/>
    <w:rsid w:val="00EC5E6F"/>
    <w:rsid w:val="00ED16F7"/>
    <w:rsid w:val="00ED5FE5"/>
    <w:rsid w:val="00ED6329"/>
    <w:rsid w:val="00ED6C87"/>
    <w:rsid w:val="00ED75DA"/>
    <w:rsid w:val="00EE0739"/>
    <w:rsid w:val="00EE6AD4"/>
    <w:rsid w:val="00EE7DFB"/>
    <w:rsid w:val="00EF4FCD"/>
    <w:rsid w:val="00EF62AC"/>
    <w:rsid w:val="00EF6300"/>
    <w:rsid w:val="00EF6FA0"/>
    <w:rsid w:val="00F058DA"/>
    <w:rsid w:val="00F06268"/>
    <w:rsid w:val="00F12E0D"/>
    <w:rsid w:val="00F149F4"/>
    <w:rsid w:val="00F14A9E"/>
    <w:rsid w:val="00F20768"/>
    <w:rsid w:val="00F2250D"/>
    <w:rsid w:val="00F22601"/>
    <w:rsid w:val="00F23A19"/>
    <w:rsid w:val="00F23D6C"/>
    <w:rsid w:val="00F26F71"/>
    <w:rsid w:val="00F317BA"/>
    <w:rsid w:val="00F33429"/>
    <w:rsid w:val="00F35D9A"/>
    <w:rsid w:val="00F36A4E"/>
    <w:rsid w:val="00F41087"/>
    <w:rsid w:val="00F418F9"/>
    <w:rsid w:val="00F427A6"/>
    <w:rsid w:val="00F4310F"/>
    <w:rsid w:val="00F44097"/>
    <w:rsid w:val="00F4529C"/>
    <w:rsid w:val="00F5525C"/>
    <w:rsid w:val="00F56C1D"/>
    <w:rsid w:val="00F57A2B"/>
    <w:rsid w:val="00F620E0"/>
    <w:rsid w:val="00F6236C"/>
    <w:rsid w:val="00F62CFF"/>
    <w:rsid w:val="00F63842"/>
    <w:rsid w:val="00F70967"/>
    <w:rsid w:val="00F71232"/>
    <w:rsid w:val="00F73C1B"/>
    <w:rsid w:val="00F76623"/>
    <w:rsid w:val="00F826E5"/>
    <w:rsid w:val="00F84940"/>
    <w:rsid w:val="00F902F4"/>
    <w:rsid w:val="00F9030B"/>
    <w:rsid w:val="00F91F71"/>
    <w:rsid w:val="00F9218C"/>
    <w:rsid w:val="00F937CC"/>
    <w:rsid w:val="00F93A0E"/>
    <w:rsid w:val="00F96782"/>
    <w:rsid w:val="00FA08B5"/>
    <w:rsid w:val="00FA5370"/>
    <w:rsid w:val="00FA5780"/>
    <w:rsid w:val="00FA602A"/>
    <w:rsid w:val="00FA69C7"/>
    <w:rsid w:val="00FB1A7D"/>
    <w:rsid w:val="00FB1C3A"/>
    <w:rsid w:val="00FB1D74"/>
    <w:rsid w:val="00FB1F39"/>
    <w:rsid w:val="00FB438E"/>
    <w:rsid w:val="00FB65CC"/>
    <w:rsid w:val="00FC0477"/>
    <w:rsid w:val="00FC0586"/>
    <w:rsid w:val="00FC306F"/>
    <w:rsid w:val="00FC41D4"/>
    <w:rsid w:val="00FC47CD"/>
    <w:rsid w:val="00FC7339"/>
    <w:rsid w:val="00FD1B1B"/>
    <w:rsid w:val="00FD3150"/>
    <w:rsid w:val="00FE2286"/>
    <w:rsid w:val="00FE51F7"/>
    <w:rsid w:val="00FF0273"/>
    <w:rsid w:val="00FF0AD2"/>
    <w:rsid w:val="00FF2127"/>
    <w:rsid w:val="00FF34A0"/>
    <w:rsid w:val="00FF5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FBD2E3"/>
  <w15:docId w15:val="{1D32B86A-5064-4946-91B2-6E97DAED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rsid w:val="00043EC2"/>
    <w:pPr>
      <w:autoSpaceDE w:val="0"/>
      <w:autoSpaceDN w:val="0"/>
      <w:adjustRightInd w:val="0"/>
    </w:pPr>
    <w:rPr>
      <w:rFonts w:ascii="NNFPLJ+TimesNewRoman" w:hAnsi="NNFPLJ+TimesNewRoman"/>
      <w:sz w:val="24"/>
      <w:szCs w:val="24"/>
    </w:rPr>
  </w:style>
  <w:style w:type="paragraph" w:styleId="Heading1">
    <w:name w:val="heading 1"/>
    <w:basedOn w:val="Normal"/>
    <w:next w:val="Normal"/>
    <w:link w:val="Heading1Char"/>
    <w:qFormat/>
    <w:rsid w:val="00811473"/>
    <w:pPr>
      <w:numPr>
        <w:numId w:val="6"/>
      </w:numPr>
      <w:outlineLvl w:val="0"/>
    </w:pPr>
    <w:rPr>
      <w:rFonts w:ascii="Times New Roman" w:hAnsi="Times New Roman"/>
      <w:b/>
      <w:sz w:val="28"/>
      <w:szCs w:val="28"/>
    </w:rPr>
  </w:style>
  <w:style w:type="paragraph" w:styleId="Heading2">
    <w:name w:val="heading 2"/>
    <w:basedOn w:val="Normal"/>
    <w:next w:val="Normal"/>
    <w:link w:val="Heading2Char"/>
    <w:semiHidden/>
    <w:unhideWhenUsed/>
    <w:qFormat/>
    <w:rsid w:val="00D510E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rsid w:val="008D7AA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7C0AA4"/>
    <w:rPr>
      <w:sz w:val="20"/>
      <w:szCs w:val="20"/>
    </w:rPr>
  </w:style>
  <w:style w:type="character" w:styleId="FootnoteReference">
    <w:name w:val="footnote reference"/>
    <w:semiHidden/>
    <w:rsid w:val="007C0AA4"/>
    <w:rPr>
      <w:vertAlign w:val="superscript"/>
    </w:rPr>
  </w:style>
  <w:style w:type="paragraph" w:styleId="Header">
    <w:name w:val="header"/>
    <w:basedOn w:val="Normal"/>
    <w:rsid w:val="00647502"/>
    <w:pPr>
      <w:tabs>
        <w:tab w:val="center" w:pos="4320"/>
        <w:tab w:val="right" w:pos="8640"/>
      </w:tabs>
    </w:pPr>
  </w:style>
  <w:style w:type="paragraph" w:styleId="Footer">
    <w:name w:val="footer"/>
    <w:basedOn w:val="Normal"/>
    <w:link w:val="FooterChar"/>
    <w:uiPriority w:val="99"/>
    <w:rsid w:val="00647502"/>
    <w:pPr>
      <w:tabs>
        <w:tab w:val="center" w:pos="4320"/>
        <w:tab w:val="right" w:pos="8640"/>
      </w:tabs>
    </w:pPr>
    <w:rPr>
      <w:lang w:val="x-none"/>
    </w:rPr>
  </w:style>
  <w:style w:type="character" w:styleId="PageNumber">
    <w:name w:val="page number"/>
    <w:basedOn w:val="DefaultParagraphFont"/>
    <w:rsid w:val="00647502"/>
  </w:style>
  <w:style w:type="paragraph" w:customStyle="1" w:styleId="Default">
    <w:name w:val="Default"/>
    <w:uiPriority w:val="99"/>
    <w:rsid w:val="005F1D0E"/>
    <w:pPr>
      <w:autoSpaceDE w:val="0"/>
      <w:autoSpaceDN w:val="0"/>
      <w:adjustRightInd w:val="0"/>
    </w:pPr>
    <w:rPr>
      <w:color w:val="000000"/>
      <w:sz w:val="24"/>
      <w:szCs w:val="24"/>
    </w:rPr>
  </w:style>
  <w:style w:type="paragraph" w:customStyle="1" w:styleId="ChecklistSimpleChecked">
    <w:name w:val="Checklist Simple Checked"/>
    <w:basedOn w:val="Normal"/>
    <w:rsid w:val="00B10D05"/>
    <w:pPr>
      <w:numPr>
        <w:numId w:val="1"/>
      </w:numPr>
    </w:pPr>
  </w:style>
  <w:style w:type="character" w:styleId="CommentReference">
    <w:name w:val="annotation reference"/>
    <w:uiPriority w:val="99"/>
    <w:semiHidden/>
    <w:rsid w:val="009D0BDB"/>
    <w:rPr>
      <w:sz w:val="16"/>
      <w:szCs w:val="16"/>
    </w:rPr>
  </w:style>
  <w:style w:type="paragraph" w:styleId="CommentText">
    <w:name w:val="annotation text"/>
    <w:basedOn w:val="Normal"/>
    <w:link w:val="CommentTextChar"/>
    <w:uiPriority w:val="99"/>
    <w:semiHidden/>
    <w:rsid w:val="009D0BDB"/>
    <w:rPr>
      <w:sz w:val="20"/>
      <w:szCs w:val="20"/>
    </w:rPr>
  </w:style>
  <w:style w:type="paragraph" w:styleId="CommentSubject">
    <w:name w:val="annotation subject"/>
    <w:basedOn w:val="CommentText"/>
    <w:next w:val="CommentText"/>
    <w:semiHidden/>
    <w:rsid w:val="009D0BDB"/>
    <w:rPr>
      <w:b/>
      <w:bCs/>
    </w:rPr>
  </w:style>
  <w:style w:type="paragraph" w:styleId="BalloonText">
    <w:name w:val="Balloon Text"/>
    <w:basedOn w:val="Normal"/>
    <w:link w:val="BalloonTextChar"/>
    <w:uiPriority w:val="99"/>
    <w:semiHidden/>
    <w:rsid w:val="009D0BDB"/>
    <w:rPr>
      <w:rFonts w:ascii="Tahoma" w:hAnsi="Tahoma" w:cs="Tahoma"/>
      <w:sz w:val="16"/>
      <w:szCs w:val="16"/>
    </w:rPr>
  </w:style>
  <w:style w:type="paragraph" w:customStyle="1" w:styleId="ChecklistFooter">
    <w:name w:val="Checklist Footer"/>
    <w:basedOn w:val="Normal"/>
    <w:rsid w:val="00DF3CDD"/>
    <w:pPr>
      <w:autoSpaceDE/>
      <w:autoSpaceDN/>
      <w:adjustRightInd/>
      <w:jc w:val="center"/>
    </w:pPr>
    <w:rPr>
      <w:rFonts w:ascii="Arial Narrow" w:hAnsi="Arial Narrow"/>
      <w:sz w:val="18"/>
    </w:rPr>
  </w:style>
  <w:style w:type="paragraph" w:customStyle="1" w:styleId="SOPFooter">
    <w:name w:val="SOP Footer"/>
    <w:basedOn w:val="Normal"/>
    <w:rsid w:val="006B1BDD"/>
    <w:pPr>
      <w:autoSpaceDE/>
      <w:autoSpaceDN/>
      <w:adjustRightInd/>
      <w:jc w:val="center"/>
    </w:pPr>
    <w:rPr>
      <w:rFonts w:ascii="Arial" w:hAnsi="Arial" w:cs="Tahoma"/>
      <w:sz w:val="18"/>
      <w:szCs w:val="20"/>
    </w:rPr>
  </w:style>
  <w:style w:type="paragraph" w:styleId="BodyText">
    <w:name w:val="Body Text"/>
    <w:basedOn w:val="Normal"/>
    <w:link w:val="BodyTextChar"/>
    <w:rsid w:val="00393FAF"/>
    <w:pPr>
      <w:autoSpaceDE/>
      <w:autoSpaceDN/>
      <w:adjustRightInd/>
      <w:spacing w:before="120" w:after="120"/>
    </w:pPr>
    <w:rPr>
      <w:rFonts w:ascii="Times New Roman" w:hAnsi="Times New Roman"/>
      <w:lang w:val="x-none"/>
    </w:rPr>
  </w:style>
  <w:style w:type="paragraph" w:styleId="ListBullet2">
    <w:name w:val="List Bullet 2"/>
    <w:basedOn w:val="Normal"/>
    <w:rsid w:val="0011551B"/>
    <w:pPr>
      <w:keepNext/>
      <w:numPr>
        <w:numId w:val="4"/>
      </w:numPr>
      <w:tabs>
        <w:tab w:val="clear" w:pos="360"/>
      </w:tabs>
      <w:autoSpaceDE/>
      <w:autoSpaceDN/>
      <w:adjustRightInd/>
      <w:ind w:left="540" w:hanging="540"/>
    </w:pPr>
    <w:rPr>
      <w:rFonts w:ascii="Times New Roman" w:hAnsi="Times New Roman"/>
      <w:b/>
      <w:sz w:val="28"/>
    </w:rPr>
  </w:style>
  <w:style w:type="paragraph" w:styleId="ListBullet3">
    <w:name w:val="List Bullet 3"/>
    <w:basedOn w:val="Normal"/>
    <w:rsid w:val="00393FAF"/>
    <w:pPr>
      <w:numPr>
        <w:numId w:val="2"/>
      </w:numPr>
      <w:autoSpaceDE/>
      <w:autoSpaceDN/>
      <w:adjustRightInd/>
    </w:pPr>
    <w:rPr>
      <w:rFonts w:ascii="Times New Roman" w:hAnsi="Times New Roman"/>
      <w:i/>
    </w:rPr>
  </w:style>
  <w:style w:type="paragraph" w:styleId="BlockText">
    <w:name w:val="Block Text"/>
    <w:basedOn w:val="Normal"/>
    <w:link w:val="BlockTextChar"/>
    <w:rsid w:val="00393FAF"/>
    <w:pPr>
      <w:autoSpaceDE/>
      <w:autoSpaceDN/>
      <w:adjustRightInd/>
      <w:spacing w:before="120" w:after="120"/>
      <w:ind w:left="720" w:right="720"/>
    </w:pPr>
    <w:rPr>
      <w:rFonts w:ascii="Times New Roman" w:hAnsi="Times New Roman"/>
      <w:i/>
    </w:rPr>
  </w:style>
  <w:style w:type="character" w:customStyle="1" w:styleId="BlockTextChar">
    <w:name w:val="Block Text Char"/>
    <w:link w:val="BlockText"/>
    <w:rsid w:val="00393FAF"/>
    <w:rPr>
      <w:i/>
      <w:sz w:val="24"/>
      <w:szCs w:val="24"/>
      <w:lang w:val="en-US" w:eastAsia="en-US" w:bidi="ar-SA"/>
    </w:rPr>
  </w:style>
  <w:style w:type="paragraph" w:styleId="ListBullet4">
    <w:name w:val="List Bullet 4"/>
    <w:basedOn w:val="Normal"/>
    <w:rsid w:val="00393FAF"/>
    <w:pPr>
      <w:numPr>
        <w:numId w:val="3"/>
      </w:numPr>
      <w:autoSpaceDE/>
      <w:autoSpaceDN/>
      <w:adjustRightInd/>
      <w:spacing w:before="60" w:after="60"/>
    </w:pPr>
    <w:rPr>
      <w:rFonts w:ascii="Times New Roman" w:hAnsi="Times New Roman"/>
      <w:i/>
    </w:rPr>
  </w:style>
  <w:style w:type="paragraph" w:customStyle="1" w:styleId="StyleBlockTextBefore5ptAfter5pt">
    <w:name w:val="Style Block Text + Before:  5 pt After:  5 pt"/>
    <w:basedOn w:val="BlockText"/>
    <w:rsid w:val="00393FAF"/>
    <w:rPr>
      <w:i w:val="0"/>
      <w:szCs w:val="20"/>
    </w:rPr>
  </w:style>
  <w:style w:type="character" w:styleId="Hyperlink">
    <w:name w:val="Hyperlink"/>
    <w:uiPriority w:val="99"/>
    <w:rsid w:val="004F2BAF"/>
    <w:rPr>
      <w:color w:val="0000FF"/>
      <w:u w:val="single"/>
    </w:rPr>
  </w:style>
  <w:style w:type="character" w:customStyle="1" w:styleId="FooterChar">
    <w:name w:val="Footer Char"/>
    <w:link w:val="Footer"/>
    <w:uiPriority w:val="99"/>
    <w:rsid w:val="008458D3"/>
    <w:rPr>
      <w:rFonts w:ascii="NNFPLJ+TimesNewRoman" w:hAnsi="NNFPLJ+TimesNewRoman"/>
      <w:sz w:val="24"/>
      <w:szCs w:val="24"/>
      <w:lang w:eastAsia="en-US"/>
    </w:rPr>
  </w:style>
  <w:style w:type="character" w:customStyle="1" w:styleId="Heading1Char">
    <w:name w:val="Heading 1 Char"/>
    <w:link w:val="Heading1"/>
    <w:rsid w:val="00811473"/>
    <w:rPr>
      <w:b/>
      <w:sz w:val="28"/>
      <w:szCs w:val="28"/>
    </w:rPr>
  </w:style>
  <w:style w:type="character" w:customStyle="1" w:styleId="BodyTextChar">
    <w:name w:val="Body Text Char"/>
    <w:link w:val="BodyText"/>
    <w:rsid w:val="00463A0F"/>
    <w:rPr>
      <w:sz w:val="24"/>
      <w:szCs w:val="24"/>
      <w:lang w:eastAsia="en-US"/>
    </w:rPr>
  </w:style>
  <w:style w:type="paragraph" w:styleId="List">
    <w:name w:val="List"/>
    <w:basedOn w:val="BlockText"/>
    <w:rsid w:val="00463A0F"/>
    <w:pPr>
      <w:numPr>
        <w:numId w:val="5"/>
      </w:numPr>
      <w:spacing w:before="100" w:beforeAutospacing="1" w:after="100" w:afterAutospacing="1"/>
    </w:pPr>
  </w:style>
  <w:style w:type="paragraph" w:styleId="List2">
    <w:name w:val="List 2"/>
    <w:basedOn w:val="List"/>
    <w:rsid w:val="00043EC2"/>
    <w:pPr>
      <w:numPr>
        <w:ilvl w:val="1"/>
      </w:numPr>
      <w:ind w:left="1440"/>
    </w:pPr>
  </w:style>
  <w:style w:type="paragraph" w:styleId="TOCHeading">
    <w:name w:val="TOC Heading"/>
    <w:basedOn w:val="Heading1"/>
    <w:next w:val="Normal"/>
    <w:uiPriority w:val="39"/>
    <w:semiHidden/>
    <w:unhideWhenUsed/>
    <w:qFormat/>
    <w:rsid w:val="001C7854"/>
    <w:pPr>
      <w:keepNext/>
      <w:keepLines/>
      <w:numPr>
        <w:numId w:val="0"/>
      </w:numPr>
      <w:autoSpaceDE/>
      <w:autoSpaceDN/>
      <w:adjustRightInd/>
      <w:spacing w:before="480" w:line="276" w:lineRule="auto"/>
      <w:outlineLvl w:val="9"/>
    </w:pPr>
    <w:rPr>
      <w:rFonts w:ascii="Cambria" w:eastAsia="MS Gothic" w:hAnsi="Cambria"/>
      <w:bCs/>
      <w:color w:val="365F91"/>
      <w:lang w:eastAsia="ja-JP"/>
    </w:rPr>
  </w:style>
  <w:style w:type="paragraph" w:styleId="TOC1">
    <w:name w:val="toc 1"/>
    <w:basedOn w:val="Normal"/>
    <w:next w:val="Normal"/>
    <w:autoRedefine/>
    <w:uiPriority w:val="39"/>
    <w:rsid w:val="001C7854"/>
  </w:style>
  <w:style w:type="character" w:customStyle="1" w:styleId="CommentTextChar">
    <w:name w:val="Comment Text Char"/>
    <w:basedOn w:val="DefaultParagraphFont"/>
    <w:link w:val="CommentText"/>
    <w:uiPriority w:val="99"/>
    <w:semiHidden/>
    <w:rsid w:val="000F6BBF"/>
    <w:rPr>
      <w:rFonts w:ascii="NNFPLJ+TimesNewRoman" w:hAnsi="NNFPLJ+TimesNewRoman"/>
    </w:rPr>
  </w:style>
  <w:style w:type="paragraph" w:styleId="ListParagraph">
    <w:name w:val="List Paragraph"/>
    <w:basedOn w:val="Normal"/>
    <w:uiPriority w:val="34"/>
    <w:qFormat/>
    <w:rsid w:val="00DF71A6"/>
    <w:pPr>
      <w:ind w:left="720"/>
      <w:contextualSpacing/>
    </w:pPr>
  </w:style>
  <w:style w:type="paragraph" w:styleId="Title">
    <w:name w:val="Title"/>
    <w:basedOn w:val="Normal"/>
    <w:next w:val="Normal"/>
    <w:link w:val="TitleChar"/>
    <w:uiPriority w:val="10"/>
    <w:qFormat/>
    <w:rsid w:val="00C11968"/>
    <w:pPr>
      <w:autoSpaceDE/>
      <w:autoSpaceDN/>
      <w:adjustRightInd/>
      <w:spacing w:before="1440" w:after="120"/>
      <w:jc w:val="center"/>
    </w:pPr>
    <w:rPr>
      <w:rFonts w:ascii="Arial" w:eastAsia="Arial" w:hAnsi="Arial" w:cs="Arial"/>
      <w:b/>
      <w:sz w:val="36"/>
      <w:szCs w:val="36"/>
    </w:rPr>
  </w:style>
  <w:style w:type="character" w:customStyle="1" w:styleId="TitleChar">
    <w:name w:val="Title Char"/>
    <w:basedOn w:val="DefaultParagraphFont"/>
    <w:link w:val="Title"/>
    <w:uiPriority w:val="10"/>
    <w:rsid w:val="00C11968"/>
    <w:rPr>
      <w:rFonts w:ascii="Arial" w:eastAsia="Arial" w:hAnsi="Arial" w:cs="Arial"/>
      <w:b/>
      <w:sz w:val="36"/>
      <w:szCs w:val="36"/>
    </w:rPr>
  </w:style>
  <w:style w:type="character" w:customStyle="1" w:styleId="BalloonTextChar">
    <w:name w:val="Balloon Text Char"/>
    <w:basedOn w:val="DefaultParagraphFont"/>
    <w:link w:val="BalloonText"/>
    <w:uiPriority w:val="99"/>
    <w:semiHidden/>
    <w:rsid w:val="00280A36"/>
    <w:rPr>
      <w:rFonts w:ascii="Tahoma" w:hAnsi="Tahoma" w:cs="Tahoma"/>
      <w:sz w:val="16"/>
      <w:szCs w:val="16"/>
    </w:rPr>
  </w:style>
  <w:style w:type="character" w:customStyle="1" w:styleId="s1">
    <w:name w:val="s1"/>
    <w:basedOn w:val="DefaultParagraphFont"/>
    <w:rsid w:val="00280A36"/>
  </w:style>
  <w:style w:type="character" w:customStyle="1" w:styleId="apple-converted-space">
    <w:name w:val="apple-converted-space"/>
    <w:basedOn w:val="DefaultParagraphFont"/>
    <w:rsid w:val="00280A36"/>
  </w:style>
  <w:style w:type="paragraph" w:customStyle="1" w:styleId="p1">
    <w:name w:val="p1"/>
    <w:basedOn w:val="Normal"/>
    <w:rsid w:val="008E7F8E"/>
    <w:pPr>
      <w:shd w:val="clear" w:color="auto" w:fill="FFFFFF"/>
      <w:autoSpaceDE/>
      <w:autoSpaceDN/>
      <w:adjustRightInd/>
    </w:pPr>
    <w:rPr>
      <w:rFonts w:ascii="Arial" w:hAnsi="Arial" w:cs="Arial"/>
      <w:color w:val="2E2E2E"/>
    </w:rPr>
  </w:style>
  <w:style w:type="paragraph" w:customStyle="1" w:styleId="After6ptTimes">
    <w:name w:val="After: 6pt+ Times"/>
    <w:basedOn w:val="Normal"/>
    <w:rsid w:val="007B3638"/>
    <w:pPr>
      <w:widowControl w:val="0"/>
      <w:numPr>
        <w:numId w:val="7"/>
      </w:numPr>
      <w:autoSpaceDE/>
      <w:autoSpaceDN/>
      <w:adjustRightInd/>
      <w:spacing w:after="120"/>
    </w:pPr>
    <w:rPr>
      <w:rFonts w:ascii="Arial" w:eastAsia="Arial" w:hAnsi="Arial" w:cs="Arial"/>
    </w:rPr>
  </w:style>
  <w:style w:type="character" w:customStyle="1" w:styleId="htmlpage">
    <w:name w:val="htmlpage"/>
    <w:rsid w:val="000A184B"/>
  </w:style>
  <w:style w:type="paragraph" w:customStyle="1" w:styleId="ChartisBulletLevel3">
    <w:name w:val="Chartis Bullet Level 3"/>
    <w:basedOn w:val="ListParagraph"/>
    <w:qFormat/>
    <w:rsid w:val="00476B70"/>
    <w:pPr>
      <w:autoSpaceDE/>
      <w:autoSpaceDN/>
      <w:adjustRightInd/>
      <w:spacing w:before="120" w:line="288" w:lineRule="auto"/>
      <w:ind w:left="1440" w:hanging="360"/>
      <w:contextualSpacing w:val="0"/>
    </w:pPr>
    <w:rPr>
      <w:rFonts w:ascii="Verdana" w:hAnsi="Verdana" w:cs="Arial"/>
      <w:sz w:val="20"/>
      <w:szCs w:val="20"/>
      <w:lang w:val="en"/>
    </w:rPr>
  </w:style>
  <w:style w:type="character" w:customStyle="1" w:styleId="Heading2Char">
    <w:name w:val="Heading 2 Char"/>
    <w:basedOn w:val="DefaultParagraphFont"/>
    <w:link w:val="Heading2"/>
    <w:semiHidden/>
    <w:rsid w:val="00D510E1"/>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qFormat/>
    <w:rsid w:val="009A2E64"/>
    <w:rPr>
      <w:i/>
      <w:iCs/>
    </w:rPr>
  </w:style>
  <w:style w:type="paragraph" w:styleId="BodyTextIndent">
    <w:name w:val="Body Text Indent"/>
    <w:basedOn w:val="Normal"/>
    <w:link w:val="BodyTextIndentChar"/>
    <w:semiHidden/>
    <w:unhideWhenUsed/>
    <w:rsid w:val="00D52C26"/>
    <w:pPr>
      <w:spacing w:after="120"/>
      <w:ind w:left="360"/>
    </w:pPr>
  </w:style>
  <w:style w:type="character" w:customStyle="1" w:styleId="BodyTextIndentChar">
    <w:name w:val="Body Text Indent Char"/>
    <w:basedOn w:val="DefaultParagraphFont"/>
    <w:link w:val="BodyTextIndent"/>
    <w:semiHidden/>
    <w:rsid w:val="00D52C26"/>
    <w:rPr>
      <w:rFonts w:ascii="NNFPLJ+TimesNewRoman" w:hAnsi="NNFPLJ+TimesNewRoman"/>
      <w:sz w:val="24"/>
      <w:szCs w:val="24"/>
    </w:rPr>
  </w:style>
  <w:style w:type="paragraph" w:styleId="BodyTextIndent2">
    <w:name w:val="Body Text Indent 2"/>
    <w:basedOn w:val="Normal"/>
    <w:link w:val="BodyTextIndent2Char"/>
    <w:semiHidden/>
    <w:unhideWhenUsed/>
    <w:rsid w:val="00D52C26"/>
    <w:pPr>
      <w:spacing w:after="120" w:line="480" w:lineRule="auto"/>
      <w:ind w:left="360"/>
    </w:pPr>
  </w:style>
  <w:style w:type="character" w:customStyle="1" w:styleId="BodyTextIndent2Char">
    <w:name w:val="Body Text Indent 2 Char"/>
    <w:basedOn w:val="DefaultParagraphFont"/>
    <w:link w:val="BodyTextIndent2"/>
    <w:semiHidden/>
    <w:rsid w:val="00D52C26"/>
    <w:rPr>
      <w:rFonts w:ascii="NNFPLJ+TimesNewRoman" w:hAnsi="NNFPLJ+TimesNewRoman"/>
      <w:sz w:val="24"/>
      <w:szCs w:val="24"/>
    </w:rPr>
  </w:style>
  <w:style w:type="paragraph" w:customStyle="1" w:styleId="ColorfulList-Accent11">
    <w:name w:val="Colorful List - Accent 11"/>
    <w:basedOn w:val="Normal"/>
    <w:uiPriority w:val="34"/>
    <w:qFormat/>
    <w:rsid w:val="00D52C26"/>
    <w:pPr>
      <w:widowControl w:val="0"/>
      <w:ind w:left="720"/>
    </w:pPr>
    <w:rPr>
      <w:rFonts w:ascii="WW Font" w:hAnsi="WW Font"/>
      <w:sz w:val="20"/>
      <w:szCs w:val="22"/>
    </w:rPr>
  </w:style>
  <w:style w:type="character" w:customStyle="1" w:styleId="details">
    <w:name w:val="details"/>
    <w:rsid w:val="00D52C26"/>
  </w:style>
  <w:style w:type="paragraph" w:styleId="Revision">
    <w:name w:val="Revision"/>
    <w:hidden/>
    <w:uiPriority w:val="99"/>
    <w:semiHidden/>
    <w:rsid w:val="009015FD"/>
    <w:rPr>
      <w:rFonts w:ascii="NNFPLJ+TimesNewRoman" w:hAnsi="NNFPLJ+TimesNewRoman"/>
      <w:sz w:val="24"/>
      <w:szCs w:val="24"/>
    </w:rPr>
  </w:style>
  <w:style w:type="table" w:customStyle="1" w:styleId="TableGrid1">
    <w:name w:val="Table Grid1"/>
    <w:basedOn w:val="TableNormal"/>
    <w:next w:val="TableGrid"/>
    <w:rsid w:val="00A40C41"/>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A69C7"/>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287401">
      <w:bodyDiv w:val="1"/>
      <w:marLeft w:val="0"/>
      <w:marRight w:val="0"/>
      <w:marTop w:val="0"/>
      <w:marBottom w:val="0"/>
      <w:divBdr>
        <w:top w:val="none" w:sz="0" w:space="0" w:color="auto"/>
        <w:left w:val="none" w:sz="0" w:space="0" w:color="auto"/>
        <w:bottom w:val="none" w:sz="0" w:space="0" w:color="auto"/>
        <w:right w:val="none" w:sz="0" w:space="0" w:color="auto"/>
      </w:divBdr>
    </w:div>
    <w:div w:id="427045805">
      <w:bodyDiv w:val="1"/>
      <w:marLeft w:val="0"/>
      <w:marRight w:val="0"/>
      <w:marTop w:val="0"/>
      <w:marBottom w:val="0"/>
      <w:divBdr>
        <w:top w:val="none" w:sz="0" w:space="0" w:color="auto"/>
        <w:left w:val="none" w:sz="0" w:space="0" w:color="auto"/>
        <w:bottom w:val="none" w:sz="0" w:space="0" w:color="auto"/>
        <w:right w:val="none" w:sz="0" w:space="0" w:color="auto"/>
      </w:divBdr>
    </w:div>
    <w:div w:id="1416367437">
      <w:bodyDiv w:val="1"/>
      <w:marLeft w:val="0"/>
      <w:marRight w:val="0"/>
      <w:marTop w:val="0"/>
      <w:marBottom w:val="0"/>
      <w:divBdr>
        <w:top w:val="none" w:sz="0" w:space="0" w:color="auto"/>
        <w:left w:val="none" w:sz="0" w:space="0" w:color="auto"/>
        <w:bottom w:val="none" w:sz="0" w:space="0" w:color="auto"/>
        <w:right w:val="none" w:sz="0" w:space="0" w:color="auto"/>
      </w:divBdr>
      <w:divsChild>
        <w:div w:id="568345140">
          <w:marLeft w:val="0"/>
          <w:marRight w:val="0"/>
          <w:marTop w:val="0"/>
          <w:marBottom w:val="0"/>
          <w:divBdr>
            <w:top w:val="none" w:sz="0" w:space="0" w:color="auto"/>
            <w:left w:val="none" w:sz="0" w:space="0" w:color="auto"/>
            <w:bottom w:val="none" w:sz="0" w:space="0" w:color="auto"/>
            <w:right w:val="none" w:sz="0" w:space="0" w:color="auto"/>
          </w:divBdr>
        </w:div>
      </w:divsChild>
    </w:div>
    <w:div w:id="197513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ichael.morowitz@chp.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CE3438E401CF94899896DF4027D5B3D" ma:contentTypeVersion="10" ma:contentTypeDescription="Create a new document." ma:contentTypeScope="" ma:versionID="d80ff67ecdd989cac68eee0eae1461de">
  <xsd:schema xmlns:xsd="http://www.w3.org/2001/XMLSchema" xmlns:xs="http://www.w3.org/2001/XMLSchema" xmlns:p="http://schemas.microsoft.com/office/2006/metadata/properties" xmlns:ns3="fd9cfcce-c982-4d3c-af5b-9cb61fa0791b" targetNamespace="http://schemas.microsoft.com/office/2006/metadata/properties" ma:root="true" ma:fieldsID="47eb7c7b538e74849ba42fd4a9975d95" ns3:_="">
    <xsd:import namespace="fd9cfcce-c982-4d3c-af5b-9cb61fa079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cfcce-c982-4d3c-af5b-9cb61fa07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88A79E-447B-4CD6-86CC-381267EF2D72}">
  <ds:schemaRefs>
    <ds:schemaRef ds:uri="http://schemas.microsoft.com/sharepoint/v3/contenttype/forms"/>
  </ds:schemaRefs>
</ds:datastoreItem>
</file>

<file path=customXml/itemProps2.xml><?xml version="1.0" encoding="utf-8"?>
<ds:datastoreItem xmlns:ds="http://schemas.openxmlformats.org/officeDocument/2006/customXml" ds:itemID="{5823CFC9-7FF2-4B5B-B28D-3FF6032B29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6B1E12-5C99-429F-8577-B46393F7A2B6}">
  <ds:schemaRefs>
    <ds:schemaRef ds:uri="http://schemas.openxmlformats.org/officeDocument/2006/bibliography"/>
  </ds:schemaRefs>
</ds:datastoreItem>
</file>

<file path=customXml/itemProps4.xml><?xml version="1.0" encoding="utf-8"?>
<ds:datastoreItem xmlns:ds="http://schemas.openxmlformats.org/officeDocument/2006/customXml" ds:itemID="{5D3503C7-38EB-4C17-B6E1-5B470E0FF737}">
  <ds:schemaRefs>
    <ds:schemaRef ds:uri="http://schemas.microsoft.com/office/2006/metadata/longProperties"/>
  </ds:schemaRefs>
</ds:datastoreItem>
</file>

<file path=customXml/itemProps5.xml><?xml version="1.0" encoding="utf-8"?>
<ds:datastoreItem xmlns:ds="http://schemas.openxmlformats.org/officeDocument/2006/customXml" ds:itemID="{17720E67-476F-401B-A10F-C11B20EEB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cfcce-c982-4d3c-af5b-9cb61fa07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26382</Words>
  <Characters>150379</Characters>
  <Application>Microsoft Office Word</Application>
  <DocSecurity>0</DocSecurity>
  <Lines>1253</Lines>
  <Paragraphs>352</Paragraphs>
  <ScaleCrop>false</ScaleCrop>
  <HeadingPairs>
    <vt:vector size="2" baseType="variant">
      <vt:variant>
        <vt:lpstr>Title</vt:lpstr>
      </vt:variant>
      <vt:variant>
        <vt:i4>1</vt:i4>
      </vt:variant>
    </vt:vector>
  </HeadingPairs>
  <TitlesOfParts>
    <vt:vector size="1" baseType="lpstr">
      <vt:lpstr>TEMPLATE PROTOCOL</vt:lpstr>
    </vt:vector>
  </TitlesOfParts>
  <Manager>Huron Consulting Group, Inc.</Manager>
  <Company>Huron Consulting Group, Inc.</Company>
  <LinksUpToDate>false</LinksUpToDate>
  <CharactersWithSpaces>176409</CharactersWithSpaces>
  <SharedDoc>false</SharedDoc>
  <HLinks>
    <vt:vector size="150" baseType="variant">
      <vt:variant>
        <vt:i4>1572917</vt:i4>
      </vt:variant>
      <vt:variant>
        <vt:i4>86</vt:i4>
      </vt:variant>
      <vt:variant>
        <vt:i4>0</vt:i4>
      </vt:variant>
      <vt:variant>
        <vt:i4>5</vt:i4>
      </vt:variant>
      <vt:variant>
        <vt:lpwstr/>
      </vt:variant>
      <vt:variant>
        <vt:lpwstr>_Toc496162154</vt:lpwstr>
      </vt:variant>
      <vt:variant>
        <vt:i4>1572917</vt:i4>
      </vt:variant>
      <vt:variant>
        <vt:i4>80</vt:i4>
      </vt:variant>
      <vt:variant>
        <vt:i4>0</vt:i4>
      </vt:variant>
      <vt:variant>
        <vt:i4>5</vt:i4>
      </vt:variant>
      <vt:variant>
        <vt:lpwstr/>
      </vt:variant>
      <vt:variant>
        <vt:lpwstr>_Toc496162153</vt:lpwstr>
      </vt:variant>
      <vt:variant>
        <vt:i4>1572917</vt:i4>
      </vt:variant>
      <vt:variant>
        <vt:i4>77</vt:i4>
      </vt:variant>
      <vt:variant>
        <vt:i4>0</vt:i4>
      </vt:variant>
      <vt:variant>
        <vt:i4>5</vt:i4>
      </vt:variant>
      <vt:variant>
        <vt:lpwstr/>
      </vt:variant>
      <vt:variant>
        <vt:lpwstr>_Toc496162152</vt:lpwstr>
      </vt:variant>
      <vt:variant>
        <vt:i4>1572917</vt:i4>
      </vt:variant>
      <vt:variant>
        <vt:i4>74</vt:i4>
      </vt:variant>
      <vt:variant>
        <vt:i4>0</vt:i4>
      </vt:variant>
      <vt:variant>
        <vt:i4>5</vt:i4>
      </vt:variant>
      <vt:variant>
        <vt:lpwstr/>
      </vt:variant>
      <vt:variant>
        <vt:lpwstr>_Toc496162151</vt:lpwstr>
      </vt:variant>
      <vt:variant>
        <vt:i4>1572917</vt:i4>
      </vt:variant>
      <vt:variant>
        <vt:i4>71</vt:i4>
      </vt:variant>
      <vt:variant>
        <vt:i4>0</vt:i4>
      </vt:variant>
      <vt:variant>
        <vt:i4>5</vt:i4>
      </vt:variant>
      <vt:variant>
        <vt:lpwstr/>
      </vt:variant>
      <vt:variant>
        <vt:lpwstr>_Toc496162150</vt:lpwstr>
      </vt:variant>
      <vt:variant>
        <vt:i4>1638453</vt:i4>
      </vt:variant>
      <vt:variant>
        <vt:i4>68</vt:i4>
      </vt:variant>
      <vt:variant>
        <vt:i4>0</vt:i4>
      </vt:variant>
      <vt:variant>
        <vt:i4>5</vt:i4>
      </vt:variant>
      <vt:variant>
        <vt:lpwstr/>
      </vt:variant>
      <vt:variant>
        <vt:lpwstr>_Toc496162148</vt:lpwstr>
      </vt:variant>
      <vt:variant>
        <vt:i4>1638453</vt:i4>
      </vt:variant>
      <vt:variant>
        <vt:i4>65</vt:i4>
      </vt:variant>
      <vt:variant>
        <vt:i4>0</vt:i4>
      </vt:variant>
      <vt:variant>
        <vt:i4>5</vt:i4>
      </vt:variant>
      <vt:variant>
        <vt:lpwstr/>
      </vt:variant>
      <vt:variant>
        <vt:lpwstr>_Toc496162147</vt:lpwstr>
      </vt:variant>
      <vt:variant>
        <vt:i4>1638453</vt:i4>
      </vt:variant>
      <vt:variant>
        <vt:i4>62</vt:i4>
      </vt:variant>
      <vt:variant>
        <vt:i4>0</vt:i4>
      </vt:variant>
      <vt:variant>
        <vt:i4>5</vt:i4>
      </vt:variant>
      <vt:variant>
        <vt:lpwstr/>
      </vt:variant>
      <vt:variant>
        <vt:lpwstr>_Toc496162146</vt:lpwstr>
      </vt:variant>
      <vt:variant>
        <vt:i4>1638453</vt:i4>
      </vt:variant>
      <vt:variant>
        <vt:i4>59</vt:i4>
      </vt:variant>
      <vt:variant>
        <vt:i4>0</vt:i4>
      </vt:variant>
      <vt:variant>
        <vt:i4>5</vt:i4>
      </vt:variant>
      <vt:variant>
        <vt:lpwstr/>
      </vt:variant>
      <vt:variant>
        <vt:lpwstr>_Toc496162145</vt:lpwstr>
      </vt:variant>
      <vt:variant>
        <vt:i4>1638453</vt:i4>
      </vt:variant>
      <vt:variant>
        <vt:i4>56</vt:i4>
      </vt:variant>
      <vt:variant>
        <vt:i4>0</vt:i4>
      </vt:variant>
      <vt:variant>
        <vt:i4>5</vt:i4>
      </vt:variant>
      <vt:variant>
        <vt:lpwstr/>
      </vt:variant>
      <vt:variant>
        <vt:lpwstr>_Toc496162144</vt:lpwstr>
      </vt:variant>
      <vt:variant>
        <vt:i4>1638453</vt:i4>
      </vt:variant>
      <vt:variant>
        <vt:i4>53</vt:i4>
      </vt:variant>
      <vt:variant>
        <vt:i4>0</vt:i4>
      </vt:variant>
      <vt:variant>
        <vt:i4>5</vt:i4>
      </vt:variant>
      <vt:variant>
        <vt:lpwstr/>
      </vt:variant>
      <vt:variant>
        <vt:lpwstr>_Toc496162143</vt:lpwstr>
      </vt:variant>
      <vt:variant>
        <vt:i4>1638453</vt:i4>
      </vt:variant>
      <vt:variant>
        <vt:i4>50</vt:i4>
      </vt:variant>
      <vt:variant>
        <vt:i4>0</vt:i4>
      </vt:variant>
      <vt:variant>
        <vt:i4>5</vt:i4>
      </vt:variant>
      <vt:variant>
        <vt:lpwstr/>
      </vt:variant>
      <vt:variant>
        <vt:lpwstr>_Toc496162142</vt:lpwstr>
      </vt:variant>
      <vt:variant>
        <vt:i4>1638453</vt:i4>
      </vt:variant>
      <vt:variant>
        <vt:i4>47</vt:i4>
      </vt:variant>
      <vt:variant>
        <vt:i4>0</vt:i4>
      </vt:variant>
      <vt:variant>
        <vt:i4>5</vt:i4>
      </vt:variant>
      <vt:variant>
        <vt:lpwstr/>
      </vt:variant>
      <vt:variant>
        <vt:lpwstr>_Toc496162141</vt:lpwstr>
      </vt:variant>
      <vt:variant>
        <vt:i4>1638453</vt:i4>
      </vt:variant>
      <vt:variant>
        <vt:i4>44</vt:i4>
      </vt:variant>
      <vt:variant>
        <vt:i4>0</vt:i4>
      </vt:variant>
      <vt:variant>
        <vt:i4>5</vt:i4>
      </vt:variant>
      <vt:variant>
        <vt:lpwstr/>
      </vt:variant>
      <vt:variant>
        <vt:lpwstr>_Toc496162140</vt:lpwstr>
      </vt:variant>
      <vt:variant>
        <vt:i4>1966133</vt:i4>
      </vt:variant>
      <vt:variant>
        <vt:i4>41</vt:i4>
      </vt:variant>
      <vt:variant>
        <vt:i4>0</vt:i4>
      </vt:variant>
      <vt:variant>
        <vt:i4>5</vt:i4>
      </vt:variant>
      <vt:variant>
        <vt:lpwstr/>
      </vt:variant>
      <vt:variant>
        <vt:lpwstr>_Toc496162138</vt:lpwstr>
      </vt:variant>
      <vt:variant>
        <vt:i4>1966133</vt:i4>
      </vt:variant>
      <vt:variant>
        <vt:i4>38</vt:i4>
      </vt:variant>
      <vt:variant>
        <vt:i4>0</vt:i4>
      </vt:variant>
      <vt:variant>
        <vt:i4>5</vt:i4>
      </vt:variant>
      <vt:variant>
        <vt:lpwstr/>
      </vt:variant>
      <vt:variant>
        <vt:lpwstr>_Toc496162137</vt:lpwstr>
      </vt:variant>
      <vt:variant>
        <vt:i4>1966133</vt:i4>
      </vt:variant>
      <vt:variant>
        <vt:i4>35</vt:i4>
      </vt:variant>
      <vt:variant>
        <vt:i4>0</vt:i4>
      </vt:variant>
      <vt:variant>
        <vt:i4>5</vt:i4>
      </vt:variant>
      <vt:variant>
        <vt:lpwstr/>
      </vt:variant>
      <vt:variant>
        <vt:lpwstr>_Toc496162136</vt:lpwstr>
      </vt:variant>
      <vt:variant>
        <vt:i4>1966133</vt:i4>
      </vt:variant>
      <vt:variant>
        <vt:i4>32</vt:i4>
      </vt:variant>
      <vt:variant>
        <vt:i4>0</vt:i4>
      </vt:variant>
      <vt:variant>
        <vt:i4>5</vt:i4>
      </vt:variant>
      <vt:variant>
        <vt:lpwstr/>
      </vt:variant>
      <vt:variant>
        <vt:lpwstr>_Toc496162135</vt:lpwstr>
      </vt:variant>
      <vt:variant>
        <vt:i4>1966133</vt:i4>
      </vt:variant>
      <vt:variant>
        <vt:i4>29</vt:i4>
      </vt:variant>
      <vt:variant>
        <vt:i4>0</vt:i4>
      </vt:variant>
      <vt:variant>
        <vt:i4>5</vt:i4>
      </vt:variant>
      <vt:variant>
        <vt:lpwstr/>
      </vt:variant>
      <vt:variant>
        <vt:lpwstr>_Toc496162134</vt:lpwstr>
      </vt:variant>
      <vt:variant>
        <vt:i4>1966133</vt:i4>
      </vt:variant>
      <vt:variant>
        <vt:i4>26</vt:i4>
      </vt:variant>
      <vt:variant>
        <vt:i4>0</vt:i4>
      </vt:variant>
      <vt:variant>
        <vt:i4>5</vt:i4>
      </vt:variant>
      <vt:variant>
        <vt:lpwstr/>
      </vt:variant>
      <vt:variant>
        <vt:lpwstr>_Toc496162133</vt:lpwstr>
      </vt:variant>
      <vt:variant>
        <vt:i4>1966133</vt:i4>
      </vt:variant>
      <vt:variant>
        <vt:i4>23</vt:i4>
      </vt:variant>
      <vt:variant>
        <vt:i4>0</vt:i4>
      </vt:variant>
      <vt:variant>
        <vt:i4>5</vt:i4>
      </vt:variant>
      <vt:variant>
        <vt:lpwstr/>
      </vt:variant>
      <vt:variant>
        <vt:lpwstr>_Toc496162132</vt:lpwstr>
      </vt:variant>
      <vt:variant>
        <vt:i4>1966133</vt:i4>
      </vt:variant>
      <vt:variant>
        <vt:i4>17</vt:i4>
      </vt:variant>
      <vt:variant>
        <vt:i4>0</vt:i4>
      </vt:variant>
      <vt:variant>
        <vt:i4>5</vt:i4>
      </vt:variant>
      <vt:variant>
        <vt:lpwstr/>
      </vt:variant>
      <vt:variant>
        <vt:lpwstr>_Toc496162131</vt:lpwstr>
      </vt:variant>
      <vt:variant>
        <vt:i4>1966133</vt:i4>
      </vt:variant>
      <vt:variant>
        <vt:i4>11</vt:i4>
      </vt:variant>
      <vt:variant>
        <vt:i4>0</vt:i4>
      </vt:variant>
      <vt:variant>
        <vt:i4>5</vt:i4>
      </vt:variant>
      <vt:variant>
        <vt:lpwstr/>
      </vt:variant>
      <vt:variant>
        <vt:lpwstr>_Toc496162130</vt:lpwstr>
      </vt:variant>
      <vt:variant>
        <vt:i4>2031669</vt:i4>
      </vt:variant>
      <vt:variant>
        <vt:i4>5</vt:i4>
      </vt:variant>
      <vt:variant>
        <vt:i4>0</vt:i4>
      </vt:variant>
      <vt:variant>
        <vt:i4>5</vt:i4>
      </vt:variant>
      <vt:variant>
        <vt:lpwstr/>
      </vt:variant>
      <vt:variant>
        <vt:lpwstr>_Toc496162129</vt:lpwstr>
      </vt:variant>
      <vt:variant>
        <vt:i4>2031717</vt:i4>
      </vt:variant>
      <vt:variant>
        <vt:i4>0</vt:i4>
      </vt:variant>
      <vt:variant>
        <vt:i4>0</vt:i4>
      </vt:variant>
      <vt:variant>
        <vt:i4>5</vt:i4>
      </vt:variant>
      <vt:variant>
        <vt:lpwstr>mailto:Michael.morowitz@chp.edu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PROTOCOL</dc:title>
  <dc:subject>Huron HRPP ToolKit</dc:subject>
  <dc:creator>Huron Consulting Group, Inc.</dc:creator>
  <cp:keywords>Huron, HRPP, SOP</cp:keywords>
  <dc:description>©2009-2016 Huron Consulting Services, LLC. Use and distribution subject to End User License Agreement</dc:description>
  <cp:lastModifiedBy>Pace, Elizabeth K</cp:lastModifiedBy>
  <cp:revision>2</cp:revision>
  <cp:lastPrinted>2020-01-06T14:18:00Z</cp:lastPrinted>
  <dcterms:created xsi:type="dcterms:W3CDTF">2020-10-08T20:38:00Z</dcterms:created>
  <dcterms:modified xsi:type="dcterms:W3CDTF">2020-10-08T20:38:00Z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ZZ3N2KNH64PS-1493-287</vt:lpwstr>
  </property>
  <property fmtid="{D5CDD505-2E9C-101B-9397-08002B2CF9AE}" pid="3" name="_dlc_DocIdItemGuid">
    <vt:lpwstr>3d9a0e3c-941f-4d06-be45-1865440477ab</vt:lpwstr>
  </property>
  <property fmtid="{D5CDD505-2E9C-101B-9397-08002B2CF9AE}" pid="4" name="_dlc_DocIdUrl">
    <vt:lpwstr>https://omega.huronconsultinggroup.com/hec/hels/meth/lsas/hrpp/_layouts/DocIdRedir.aspx?ID=ZZ3N2KNH64PS-1493-287, ZZ3N2KNH64PS-1493-287</vt:lpwstr>
  </property>
  <property fmtid="{D5CDD505-2E9C-101B-9397-08002B2CF9AE}" pid="5" name="ContentTypeId">
    <vt:lpwstr>0x0101007CE3438E401CF94899896DF4027D5B3D</vt:lpwstr>
  </property>
</Properties>
</file>