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4F" w:rsidRDefault="007B0C1F">
      <w:pPr>
        <w:pStyle w:val="Heading1"/>
        <w:spacing w:line="360" w:lineRule="auto"/>
      </w:pPr>
      <w:bookmarkStart w:id="0" w:name="_rlnpjdj1i13a" w:colFirst="0" w:colLast="0"/>
      <w:bookmarkEnd w:id="0"/>
      <w:proofErr w:type="spellStart"/>
      <w:r>
        <w:t>Supplementary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for: More efficient and inclusive time-to-</w:t>
      </w:r>
      <w:proofErr w:type="spellStart"/>
      <w:r>
        <w:t>event</w:t>
      </w:r>
      <w:proofErr w:type="spellEnd"/>
      <w:r>
        <w:t xml:space="preserve"> trials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covariate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: a simulation </w:t>
      </w:r>
      <w:proofErr w:type="spellStart"/>
      <w:r>
        <w:t>study</w:t>
      </w:r>
      <w:proofErr w:type="spellEnd"/>
    </w:p>
    <w:p w:rsidR="0006614F" w:rsidRDefault="007B0C1F">
      <w:pPr>
        <w:spacing w:line="480" w:lineRule="auto"/>
        <w:jc w:val="both"/>
        <w:rPr>
          <w:vertAlign w:val="superscript"/>
        </w:rPr>
      </w:pPr>
      <w:r>
        <w:t>Raphaëlle Momal</w:t>
      </w:r>
      <w:r>
        <w:rPr>
          <w:vertAlign w:val="superscript"/>
        </w:rPr>
        <w:t>1</w:t>
      </w:r>
      <w:r>
        <w:t xml:space="preserve">*, </w:t>
      </w:r>
      <w:proofErr w:type="spellStart"/>
      <w:r>
        <w:t>Honghao</w:t>
      </w:r>
      <w:proofErr w:type="spellEnd"/>
      <w:r>
        <w:t xml:space="preserve"> Li</w:t>
      </w:r>
      <w:r>
        <w:rPr>
          <w:vertAlign w:val="superscript"/>
        </w:rPr>
        <w:t>1</w:t>
      </w:r>
      <w:r>
        <w:t>*, Paul Trichelair</w:t>
      </w:r>
      <w:r>
        <w:rPr>
          <w:vertAlign w:val="superscript"/>
        </w:rPr>
        <w:t>1</w:t>
      </w:r>
      <w:r>
        <w:t>, Michael G.B. Blum</w:t>
      </w:r>
      <w:r>
        <w:rPr>
          <w:vertAlign w:val="superscript"/>
        </w:rPr>
        <w:t>1</w:t>
      </w:r>
      <w:r>
        <w:t>, Félix Balazard</w:t>
      </w:r>
      <w:r>
        <w:rPr>
          <w:vertAlign w:val="superscript"/>
        </w:rPr>
        <w:t>1$</w:t>
      </w:r>
    </w:p>
    <w:p w:rsidR="0006614F" w:rsidRDefault="0006614F">
      <w:pPr>
        <w:spacing w:line="480" w:lineRule="auto"/>
        <w:jc w:val="both"/>
        <w:rPr>
          <w:vertAlign w:val="superscript"/>
        </w:rPr>
      </w:pPr>
    </w:p>
    <w:p w:rsidR="0006614F" w:rsidRDefault="007B0C1F">
      <w:pPr>
        <w:spacing w:line="480" w:lineRule="auto"/>
        <w:jc w:val="both"/>
      </w:pPr>
      <w:r>
        <w:t xml:space="preserve">1. </w:t>
      </w:r>
      <w:proofErr w:type="spellStart"/>
      <w:r>
        <w:t>Owkin</w:t>
      </w:r>
      <w:proofErr w:type="spellEnd"/>
      <w:r>
        <w:t xml:space="preserve"> Inc., New York, USA</w:t>
      </w:r>
    </w:p>
    <w:p w:rsidR="0006614F" w:rsidRDefault="007B0C1F">
      <w:pPr>
        <w:spacing w:line="480" w:lineRule="auto"/>
        <w:jc w:val="both"/>
      </w:pPr>
      <w:r>
        <w:t xml:space="preserve">*: </w:t>
      </w:r>
      <w:proofErr w:type="spellStart"/>
      <w:r>
        <w:t>contributed</w:t>
      </w:r>
      <w:proofErr w:type="spellEnd"/>
      <w:r>
        <w:t xml:space="preserve"> </w:t>
      </w:r>
      <w:proofErr w:type="spellStart"/>
      <w:r>
        <w:t>equally</w:t>
      </w:r>
      <w:proofErr w:type="spellEnd"/>
    </w:p>
    <w:p w:rsidR="0006614F" w:rsidRDefault="007B0C1F">
      <w:pPr>
        <w:spacing w:line="480" w:lineRule="auto"/>
        <w:jc w:val="both"/>
      </w:pPr>
      <w:r>
        <w:t xml:space="preserve">$: </w:t>
      </w:r>
      <w:proofErr w:type="spellStart"/>
      <w:proofErr w:type="gramStart"/>
      <w:r>
        <w:t>corresponding</w:t>
      </w:r>
      <w:proofErr w:type="spellEnd"/>
      <w:proofErr w:type="gramEnd"/>
      <w:r>
        <w:t xml:space="preserve"> </w:t>
      </w:r>
      <w:proofErr w:type="spellStart"/>
      <w:r>
        <w:t>author</w:t>
      </w:r>
      <w:proofErr w:type="spellEnd"/>
      <w:r>
        <w:t xml:space="preserve"> felix.balazard@owkin.com</w:t>
      </w:r>
    </w:p>
    <w:p w:rsidR="0006614F" w:rsidRDefault="007B0C1F">
      <w:pPr>
        <w:pStyle w:val="Heading4"/>
        <w:spacing w:line="480" w:lineRule="auto"/>
      </w:pPr>
      <w:bookmarkStart w:id="1" w:name="_mwa908uqhbz5" w:colFirst="0" w:colLast="0"/>
      <w:bookmarkEnd w:id="1"/>
      <w:proofErr w:type="spellStart"/>
      <w:r>
        <w:t>Supplementary</w:t>
      </w:r>
      <w:proofErr w:type="spellEnd"/>
      <w:r>
        <w:t xml:space="preserve"> Tables</w:t>
      </w: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6614F">
        <w:trPr>
          <w:trHeight w:val="3637"/>
        </w:trPr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614F" w:rsidRDefault="0006614F">
            <w:pPr>
              <w:spacing w:line="480" w:lineRule="auto"/>
            </w:pPr>
          </w:p>
          <w:tbl>
            <w:tblPr>
              <w:tblStyle w:val="a0"/>
              <w:tblW w:w="62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580"/>
              <w:gridCol w:w="1140"/>
              <w:gridCol w:w="2505"/>
            </w:tblGrid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w:proofErr w:type="spellStart"/>
                  <w:r>
                    <w:t>Quantity</w:t>
                  </w:r>
                  <w:proofErr w:type="spellEnd"/>
                </w:p>
              </w:tc>
              <w:tc>
                <w:tcPr>
                  <w:tcW w:w="114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w:r>
                    <w:t>Notation</w:t>
                  </w:r>
                </w:p>
              </w:tc>
              <w:tc>
                <w:tcPr>
                  <w:tcW w:w="25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w:r>
                    <w:t>Values</w:t>
                  </w:r>
                </w:p>
              </w:tc>
            </w:tr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</w:pPr>
                  <w:r>
                    <w:t>Cumulative incidence</w:t>
                  </w:r>
                </w:p>
              </w:tc>
              <w:tc>
                <w:tcPr>
                  <w:tcW w:w="114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Λ</m:t>
                      </m:r>
                    </m:oMath>
                  </m:oMathPara>
                </w:p>
              </w:tc>
              <w:tc>
                <w:tcPr>
                  <w:tcW w:w="25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right"/>
                  </w:pPr>
                  <w:r>
                    <w:t>{0.1, 0.2, 0.3, 0.4, 0.5, 0.6, 0.7, 0.8, 0.9}</w:t>
                  </w:r>
                </w:p>
              </w:tc>
            </w:tr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</w:pPr>
                  <w:r>
                    <w:t>C-index</w:t>
                  </w:r>
                </w:p>
              </w:tc>
              <w:tc>
                <w:tcPr>
                  <w:tcW w:w="114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C</m:t>
                      </m:r>
                    </m:oMath>
                  </m:oMathPara>
                </w:p>
              </w:tc>
              <w:tc>
                <w:tcPr>
                  <w:tcW w:w="25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right"/>
                  </w:pPr>
                  <w:r>
                    <w:t>{0.55, 0.65, 0.75, 0.85}</w:t>
                  </w:r>
                </w:p>
              </w:tc>
            </w:tr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</w:pPr>
                  <w:proofErr w:type="spellStart"/>
                  <w:r>
                    <w:t>Weibull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shape</w:t>
                  </w:r>
                  <w:proofErr w:type="spellEnd"/>
                </w:p>
              </w:tc>
              <w:tc>
                <w:tcPr>
                  <w:tcW w:w="114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w</m:t>
                      </m:r>
                    </m:oMath>
                  </m:oMathPara>
                </w:p>
              </w:tc>
              <w:tc>
                <w:tcPr>
                  <w:tcW w:w="2505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right"/>
                  </w:pPr>
                  <w:r>
                    <w:t>{0.5, 1, 1.5}</w:t>
                  </w:r>
                </w:p>
              </w:tc>
            </w:tr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</w:pPr>
                  <w:r>
                    <w:t>Drop-out rate</w:t>
                  </w:r>
                </w:p>
              </w:tc>
              <w:tc>
                <w:tcPr>
                  <w:tcW w:w="1140" w:type="dxa"/>
                  <w:tcBorders>
                    <w:right w:val="single" w:sz="4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d</m:t>
                      </m:r>
                    </m:oMath>
                  </m:oMathPara>
                </w:p>
              </w:tc>
              <w:tc>
                <w:tcPr>
                  <w:tcW w:w="2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right"/>
                  </w:pPr>
                  <w:r>
                    <w:t>{0.01, 0.1}</w:t>
                  </w:r>
                </w:p>
              </w:tc>
            </w:tr>
            <w:tr w:rsidR="0006614F">
              <w:tc>
                <w:tcPr>
                  <w:tcW w:w="258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</w:pPr>
                  <w:proofErr w:type="spellStart"/>
                  <w:r>
                    <w:t>Treatment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hazard</w:t>
                  </w:r>
                  <w:proofErr w:type="spellEnd"/>
                  <w:r>
                    <w:t xml:space="preserve"> ratio</w:t>
                  </w:r>
                </w:p>
              </w:tc>
              <w:tc>
                <w:tcPr>
                  <w:tcW w:w="114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center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h</m:t>
                      </m:r>
                      <m:r>
                        <w:rPr>
                          <w:rFonts w:ascii="Cambria Math" w:hAnsi="Cambria Math"/>
                        </w:rPr>
                        <m:t>r</m:t>
                      </m:r>
                    </m:oMath>
                  </m:oMathPara>
                </w:p>
              </w:tc>
              <w:tc>
                <w:tcPr>
                  <w:tcW w:w="2505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6614F" w:rsidRDefault="007B0C1F">
                  <w:pPr>
                    <w:widowControl w:val="0"/>
                    <w:spacing w:line="480" w:lineRule="auto"/>
                    <w:jc w:val="right"/>
                  </w:pPr>
                  <w:r>
                    <w:t>{0.4, 0.7}</w:t>
                  </w:r>
                </w:p>
              </w:tc>
            </w:tr>
          </w:tbl>
          <w:p w:rsidR="0006614F" w:rsidRDefault="0006614F">
            <w:pPr>
              <w:widowControl w:val="0"/>
              <w:spacing w:line="480" w:lineRule="auto"/>
            </w:pPr>
          </w:p>
        </w:tc>
      </w:tr>
      <w:tr w:rsidR="0006614F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614F" w:rsidRDefault="007B0C1F">
            <w:pPr>
              <w:widowControl w:val="0"/>
              <w:spacing w:line="480" w:lineRule="auto"/>
            </w:pPr>
            <w:r>
              <w:t xml:space="preserve">Table S1: Description of simulation </w:t>
            </w:r>
            <w:proofErr w:type="spellStart"/>
            <w:r>
              <w:t>parameters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for </w:t>
            </w:r>
            <w:proofErr w:type="spellStart"/>
            <w:r>
              <w:t>parametric</w:t>
            </w:r>
            <w:proofErr w:type="spellEnd"/>
            <w:r>
              <w:t xml:space="preserve"> simulations of the time-to-</w:t>
            </w:r>
            <w:proofErr w:type="spellStart"/>
            <w:r>
              <w:t>event</w:t>
            </w:r>
            <w:proofErr w:type="spellEnd"/>
            <w:r>
              <w:t xml:space="preserve"> model.</w:t>
            </w:r>
          </w:p>
        </w:tc>
      </w:tr>
    </w:tbl>
    <w:p w:rsidR="0006614F" w:rsidRDefault="007B0C1F">
      <w:pPr>
        <w:pStyle w:val="Heading4"/>
        <w:spacing w:line="480" w:lineRule="auto"/>
      </w:pPr>
      <w:bookmarkStart w:id="2" w:name="_kx0tiyx97vd0" w:colFirst="0" w:colLast="0"/>
      <w:bookmarkEnd w:id="2"/>
      <w:proofErr w:type="spellStart"/>
      <w:r>
        <w:lastRenderedPageBreak/>
        <w:t>Supplementary</w:t>
      </w:r>
      <w:proofErr w:type="spellEnd"/>
      <w:r>
        <w:t xml:space="preserve"> Figures</w:t>
      </w:r>
    </w:p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6614F">
        <w:tc>
          <w:tcPr>
            <w:tcW w:w="9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614F" w:rsidRDefault="007B0C1F">
            <w:pPr>
              <w:widowControl w:val="0"/>
              <w:spacing w:line="480" w:lineRule="auto"/>
              <w:rPr>
                <w:u w:val="single"/>
              </w:rPr>
            </w:pPr>
            <w:r>
              <w:rPr>
                <w:noProof/>
                <w:u w:val="single"/>
                <w:lang w:val="en-PH"/>
              </w:rPr>
              <w:drawing>
                <wp:inline distT="114300" distB="114300" distL="114300" distR="114300">
                  <wp:extent cx="5591175" cy="67056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75" cy="6705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14F">
        <w:tc>
          <w:tcPr>
            <w:tcW w:w="9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614F" w:rsidRDefault="007B0C1F">
            <w:pPr>
              <w:widowControl w:val="0"/>
              <w:spacing w:line="480" w:lineRule="auto"/>
            </w:pPr>
            <w:r>
              <w:t xml:space="preserve">Figure S1: Evolution of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cr m:val="sans-serif"/>
                    </m:rPr>
                    <w:rPr>
                      <w:rFonts w:ascii="Cambria Math" w:hAnsi="Cambria Math"/>
                    </w:rPr>
                    <m:t>obs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>
              <w:t xml:space="preserve"> as a function of C-index, cumulative incidence, treatment effect, Weibull shape </w:t>
            </w:r>
            <w:r>
              <w:rPr>
                <w:i/>
              </w:rPr>
              <w:t>w</w:t>
            </w:r>
            <w:r>
              <w:t xml:space="preserve"> and drop-out rate </w:t>
            </w:r>
            <w:r>
              <w:rPr>
                <w:i/>
              </w:rPr>
              <w:t>d</w:t>
            </w:r>
            <w:r>
              <w:t xml:space="preserve">. A: </w:t>
            </w:r>
            <m:oMath>
              <m:r>
                <w:rPr>
                  <w:rFonts w:ascii="Cambria Math" w:hAnsi="Cambria Math"/>
                  <w:color w:val="0000FF"/>
                </w:rPr>
                <m:t>θ</m:t>
              </m:r>
              <m:r>
                <w:rPr>
                  <w:rFonts w:ascii="Cambria Math" w:hAnsi="Cambria Math"/>
                  <w:color w:val="0000FF"/>
                </w:rPr>
                <m:t>=0.7</m:t>
              </m:r>
            </m:oMath>
            <w:r>
              <w:t xml:space="preserve">, B: </w:t>
            </w:r>
            <m:oMath>
              <m:r>
                <w:rPr>
                  <w:rFonts w:ascii="Cambria Math" w:hAnsi="Cambria Math"/>
                  <w:color w:val="0000FF"/>
                </w:rPr>
                <m:t>θ</m:t>
              </m:r>
              <m:r>
                <w:rPr>
                  <w:rFonts w:ascii="Cambria Math" w:hAnsi="Cambria Math"/>
                  <w:color w:val="0000FF"/>
                </w:rPr>
                <m:t>=0.4</m:t>
              </m:r>
            </m:oMath>
            <w:r>
              <w:t>.</w:t>
            </w:r>
          </w:p>
        </w:tc>
      </w:tr>
    </w:tbl>
    <w:p w:rsidR="0006614F" w:rsidRDefault="007B0C1F">
      <w:pPr>
        <w:widowControl w:val="0"/>
        <w:spacing w:line="480" w:lineRule="auto"/>
      </w:pPr>
      <w:r>
        <w:rPr>
          <w:noProof/>
          <w:lang w:val="en-PH"/>
        </w:rPr>
        <w:lastRenderedPageBreak/>
        <w:drawing>
          <wp:inline distT="114300" distB="114300" distL="114300" distR="114300">
            <wp:extent cx="5731200" cy="45847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8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614F" w:rsidRDefault="007B0C1F">
      <w:pPr>
        <w:widowControl w:val="0"/>
        <w:spacing w:line="480" w:lineRule="auto"/>
      </w:pPr>
      <w:r>
        <w:t xml:space="preserve">Figure S2: Power </w:t>
      </w:r>
      <w:proofErr w:type="spellStart"/>
      <w:r>
        <w:t>curves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variables </w:t>
      </w:r>
      <w:proofErr w:type="spellStart"/>
      <w:r>
        <w:t>only</w:t>
      </w:r>
      <w:proofErr w:type="spellEnd"/>
      <w:r>
        <w:t xml:space="preserve"> (</w:t>
      </w:r>
      <w:proofErr w:type="spellStart"/>
      <w:r>
        <w:t>tumor</w:t>
      </w:r>
      <w:proofErr w:type="spellEnd"/>
      <w:r>
        <w:t xml:space="preserve"> </w:t>
      </w:r>
      <w:proofErr w:type="spellStart"/>
      <w:r>
        <w:t>staging</w:t>
      </w:r>
      <w:proofErr w:type="spellEnd"/>
      <w:r>
        <w:t xml:space="preserve"> and ECOG score) or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HCCnet</w:t>
      </w:r>
      <w:proofErr w:type="spellEnd"/>
      <w:r>
        <w:t xml:space="preserve"> </w:t>
      </w:r>
      <w:proofErr w:type="spellStart"/>
      <w:r>
        <w:t>covariate</w:t>
      </w:r>
      <w:proofErr w:type="spellEnd"/>
      <w:r>
        <w:t xml:space="preserve">. </w:t>
      </w:r>
      <w:proofErr w:type="spellStart"/>
      <w:r>
        <w:t>Covariates</w:t>
      </w:r>
      <w:proofErr w:type="spellEnd"/>
      <w:r>
        <w:t xml:space="preserve"> are </w:t>
      </w:r>
      <w:proofErr w:type="spellStart"/>
      <w:r>
        <w:t>sampled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HCC patients of the TCGA </w:t>
      </w:r>
      <w:proofErr w:type="spellStart"/>
      <w:r>
        <w:t>dataset</w:t>
      </w:r>
      <w:proofErr w:type="spellEnd"/>
      <w:r>
        <w:t>.</w:t>
      </w:r>
      <w:r>
        <w:br w:type="page"/>
      </w:r>
    </w:p>
    <w:p w:rsidR="0006614F" w:rsidRDefault="007B0C1F">
      <w:pPr>
        <w:widowControl w:val="0"/>
        <w:spacing w:line="480" w:lineRule="auto"/>
      </w:pPr>
      <w:r>
        <w:rPr>
          <w:noProof/>
          <w:lang w:val="en-PH"/>
        </w:rPr>
        <w:lastRenderedPageBreak/>
        <w:drawing>
          <wp:inline distT="114300" distB="114300" distL="114300" distR="114300">
            <wp:extent cx="5731200" cy="71628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6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614F" w:rsidRDefault="007B0C1F">
      <w:pPr>
        <w:widowControl w:val="0"/>
        <w:spacing w:line="480" w:lineRule="auto"/>
      </w:pPr>
      <w:r>
        <w:t xml:space="preserve">Figure S3: </w:t>
      </w:r>
      <w:proofErr w:type="spellStart"/>
      <w:r>
        <w:t>Relationships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measures and the reduction of sample size provided by covariate adjustment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m:rPr>
                <m:scr m:val="sans-serif"/>
              </m:rPr>
              <w:rPr>
                <w:rFonts w:ascii="Cambria Math" w:hAnsi="Cambria Math"/>
              </w:rPr>
              <m:t>obs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over the grid of parameters described in table S1. </w:t>
      </w:r>
      <w:proofErr w:type="spellStart"/>
      <w:r>
        <w:rPr>
          <w:highlight w:val="white"/>
        </w:rPr>
        <w:t>Each</w:t>
      </w:r>
      <w:proofErr w:type="spellEnd"/>
      <w:r>
        <w:rPr>
          <w:highlight w:val="white"/>
        </w:rPr>
        <w:t xml:space="preserve"> point on </w:t>
      </w:r>
      <w:proofErr w:type="spellStart"/>
      <w:r>
        <w:rPr>
          <w:highlight w:val="white"/>
        </w:rPr>
        <w:t>each</w:t>
      </w:r>
      <w:proofErr w:type="spellEnd"/>
      <w:r>
        <w:rPr>
          <w:highlight w:val="white"/>
        </w:rPr>
        <w:t xml:space="preserve"> panel corresponds to a unique </w:t>
      </w:r>
      <w:proofErr w:type="spellStart"/>
      <w:r>
        <w:rPr>
          <w:highlight w:val="white"/>
        </w:rPr>
        <w:t>combination</w:t>
      </w:r>
      <w:proofErr w:type="spellEnd"/>
      <w:r>
        <w:rPr>
          <w:highlight w:val="white"/>
        </w:rPr>
        <w:t xml:space="preserve"> of values for</w:t>
      </w:r>
      <w:r>
        <w:rPr>
          <w:highlight w:val="white"/>
        </w:rPr>
        <w:t xml:space="preserve"> the five </w:t>
      </w:r>
      <w:proofErr w:type="spellStart"/>
      <w:r>
        <w:rPr>
          <w:highlight w:val="white"/>
        </w:rPr>
        <w:t>parameters</w:t>
      </w:r>
      <w:proofErr w:type="spellEnd"/>
      <w:r>
        <w:rPr>
          <w:highlight w:val="white"/>
        </w:rPr>
        <w:t xml:space="preserve"> in Table S1. </w:t>
      </w:r>
      <w:proofErr w:type="spellStart"/>
      <w:r>
        <w:rPr>
          <w:highlight w:val="white"/>
        </w:rPr>
        <w:t>Each</w:t>
      </w:r>
      <w:proofErr w:type="spellEnd"/>
      <w:r>
        <w:rPr>
          <w:highlight w:val="white"/>
        </w:rPr>
        <w:t xml:space="preserve"> unique </w:t>
      </w:r>
      <w:proofErr w:type="spellStart"/>
      <w:r>
        <w:rPr>
          <w:highlight w:val="white"/>
        </w:rPr>
        <w:t>combination</w:t>
      </w:r>
      <w:proofErr w:type="spellEnd"/>
      <w:r>
        <w:rPr>
          <w:highlight w:val="white"/>
        </w:rPr>
        <w:t xml:space="preserve"> of </w:t>
      </w:r>
      <w:proofErr w:type="spellStart"/>
      <w:r>
        <w:rPr>
          <w:highlight w:val="white"/>
        </w:rPr>
        <w:t>parameters</w:t>
      </w:r>
      <w:proofErr w:type="spellEnd"/>
      <w:r>
        <w:rPr>
          <w:highlight w:val="white"/>
        </w:rPr>
        <w:t xml:space="preserve"> has </w:t>
      </w:r>
      <w:proofErr w:type="spellStart"/>
      <w:r>
        <w:rPr>
          <w:highlight w:val="white"/>
        </w:rPr>
        <w:t>therefore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eight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corresponding</w:t>
      </w:r>
      <w:proofErr w:type="spellEnd"/>
      <w:r>
        <w:rPr>
          <w:highlight w:val="white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measures. The notations for different measures of</w:t>
      </w:r>
      <w:r>
        <w:rPr>
          <w:highlight w:val="white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follow mainly [28].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</w:t>
      </w:r>
      <w:proofErr w:type="gramStart"/>
      <w:r>
        <w:t>is</w:t>
      </w:r>
      <w:proofErr w:type="gramEnd"/>
      <w:r>
        <w:t xml:space="preserve"> the Cox-Snell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CS</m:t>
            </m:r>
            <w:bookmarkStart w:id="3" w:name="_GoBack"/>
            <w:bookmarkEnd w:id="3"/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which is related to the likelihood ratio be</w:t>
      </w:r>
      <w:r>
        <w:t xml:space="preserve">tween the model of </w:t>
      </w:r>
      <w:proofErr w:type="spellStart"/>
      <w:r>
        <w:t>interest</w:t>
      </w:r>
      <w:proofErr w:type="spellEnd"/>
      <w:r>
        <w:t xml:space="preserve"> and a </w:t>
      </w:r>
      <w:proofErr w:type="spellStart"/>
      <w:r>
        <w:t>null</w:t>
      </w:r>
      <w:proofErr w:type="spellEnd"/>
      <w:r>
        <w:t xml:space="preserve"> model.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is a variation </w:t>
      </w:r>
      <w:proofErr w:type="gramStart"/>
      <w:r>
        <w:t xml:space="preserve">of </w:t>
      </w:r>
      <w:proofErr w:type="gramEnd"/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D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</w:t>
      </w:r>
      <w:proofErr w:type="gramStart"/>
      <w:r>
        <w:t>is</w:t>
      </w:r>
      <w:proofErr w:type="gramEnd"/>
      <w:r>
        <w:t xml:space="preserve"> a transformation of the </w:t>
      </w:r>
      <m:oMath>
        <m:r>
          <w:rPr>
            <w:rFonts w:ascii="Cambria Math" w:hAnsi="Cambria Math"/>
          </w:rPr>
          <m:t>D</m:t>
        </m:r>
      </m:oMath>
      <w:r>
        <w:t xml:space="preserve"> measure.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is a variation </w:t>
      </w:r>
      <w:proofErr w:type="gramStart"/>
      <w:r>
        <w:t xml:space="preserve">of </w:t>
      </w:r>
      <w:proofErr w:type="gramEnd"/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D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PM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is a measure related to the squared Pearson correlation between the logarithm of transformed </w:t>
      </w:r>
      <w:proofErr w:type="spellStart"/>
      <w:r>
        <w:t>survival</w:t>
      </w:r>
      <w:proofErr w:type="spellEnd"/>
      <w:r>
        <w:t xml:space="preserve"> time and the </w:t>
      </w:r>
      <w:proofErr w:type="spellStart"/>
      <w:proofErr w:type="gramStart"/>
      <w:r>
        <w:t>term</w:t>
      </w:r>
      <w:proofErr w:type="spellEnd"/>
      <w:r>
        <w:t xml:space="preserve"> </w:t>
      </w:r>
      <w:proofErr w:type="gramEnd"/>
      <m:oMath>
        <m:r>
          <w:rPr>
            <w:rFonts w:ascii="Cambria Math" w:hAnsi="Cambria Math"/>
          </w:rPr>
          <m:t>βX</m:t>
        </m:r>
        <m:r>
          <w:rPr>
            <w:rFonts w:ascii="Cambria Math" w:hAnsi="Cambria Math"/>
          </w:rPr>
          <m:t xml:space="preserve"> </m:t>
        </m:r>
      </m:oMath>
      <w:r>
        <w:t xml:space="preserve">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R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</w:t>
      </w:r>
      <w:proofErr w:type="gramStart"/>
      <w:r>
        <w:t>is</w:t>
      </w:r>
      <w:proofErr w:type="gramEnd"/>
      <w:r>
        <w:t xml:space="preserve"> the measure proposed by Royston in the same paper of reference [28].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WA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</w:t>
      </w:r>
      <w:proofErr w:type="gramStart"/>
      <w:r>
        <w:t>is</w:t>
      </w:r>
      <w:proofErr w:type="gramEnd"/>
      <w:r>
        <w:t xml:space="preserve"> an approximated version of a more complex measure related to the Weibull model.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XOQ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</w:t>
      </w:r>
      <w:proofErr w:type="gramStart"/>
      <w:r>
        <w:t>is</w:t>
      </w:r>
      <w:proofErr w:type="gramEnd"/>
      <w:r>
        <w:t xml:space="preserve"> a measure named after the authors of the</w:t>
      </w:r>
      <w:r>
        <w:t xml:space="preserve"> </w:t>
      </w:r>
      <w:proofErr w:type="spellStart"/>
      <w:r>
        <w:t>paper</w:t>
      </w:r>
      <w:proofErr w:type="spellEnd"/>
      <w:r>
        <w:t xml:space="preserve">: Xu, </w:t>
      </w:r>
      <w:proofErr w:type="spellStart"/>
      <w:r>
        <w:t>O’Quigley</w:t>
      </w:r>
      <w:proofErr w:type="spellEnd"/>
      <w:r>
        <w:t xml:space="preserve"> [30].</w:t>
      </w:r>
    </w:p>
    <w:sectPr w:rsidR="0006614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6614F"/>
    <w:rsid w:val="0006614F"/>
    <w:rsid w:val="007B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fr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0C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C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0C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C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E743394</cp:lastModifiedBy>
  <cp:revision>2</cp:revision>
  <dcterms:created xsi:type="dcterms:W3CDTF">2023-06-02T04:58:00Z</dcterms:created>
  <dcterms:modified xsi:type="dcterms:W3CDTF">2023-06-02T04:58:00Z</dcterms:modified>
</cp:coreProperties>
</file>