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AB0A66" w14:textId="7589A468" w:rsidR="0074201C" w:rsidRPr="00EA460E" w:rsidRDefault="0044756C" w:rsidP="007E3B09">
      <w:pPr>
        <w:pStyle w:val="Title"/>
      </w:pPr>
      <w:r w:rsidRPr="00EA460E">
        <w:t>PERSONALISED CARE FOR PEOPLE WITH PARKINSON’S DISEASE</w:t>
      </w:r>
      <w:r w:rsidR="00EA460E" w:rsidRPr="00EA460E">
        <w:t>:</w:t>
      </w:r>
      <w:r w:rsidRPr="00EA460E">
        <w:t xml:space="preserve"> </w:t>
      </w:r>
      <w:r w:rsidR="0074201C" w:rsidRPr="00EA460E">
        <w:t>PD-CARE</w:t>
      </w:r>
    </w:p>
    <w:p w14:paraId="74BAADE3" w14:textId="2DAD3CB1" w:rsidR="0074201C" w:rsidRPr="00EA460E" w:rsidRDefault="0074201C" w:rsidP="007E3B09">
      <w:pPr>
        <w:pStyle w:val="Title"/>
      </w:pPr>
      <w:bookmarkStart w:id="0" w:name="_Toc69489437"/>
      <w:r w:rsidRPr="00EA460E">
        <w:t>Statistical Analysis Plan</w:t>
      </w:r>
      <w:bookmarkEnd w:id="0"/>
    </w:p>
    <w:p w14:paraId="69FE1416" w14:textId="2F0714A8" w:rsidR="00E24467" w:rsidRPr="00EA460E" w:rsidRDefault="00E24467" w:rsidP="007E3B09">
      <w:pPr>
        <w:pStyle w:val="Subtitle"/>
      </w:pPr>
      <w:r w:rsidRPr="00EA460E">
        <w:t xml:space="preserve">Version </w:t>
      </w:r>
      <w:r w:rsidR="00285E21">
        <w:t>1</w:t>
      </w:r>
      <w:r w:rsidRPr="00EA460E">
        <w:t>.</w:t>
      </w:r>
      <w:r w:rsidR="00285E21">
        <w:t>0</w:t>
      </w:r>
    </w:p>
    <w:p w14:paraId="2B247B7F" w14:textId="41A280D3" w:rsidR="00E24467" w:rsidRDefault="00285E21" w:rsidP="007E3B09">
      <w:pPr>
        <w:pStyle w:val="Subtitle"/>
      </w:pPr>
      <w:r>
        <w:t>22</w:t>
      </w:r>
      <w:r w:rsidR="007253D0">
        <w:t xml:space="preserve"> September</w:t>
      </w:r>
      <w:r w:rsidR="00602BA0" w:rsidRPr="00EA460E">
        <w:t xml:space="preserve"> 2023</w:t>
      </w:r>
    </w:p>
    <w:p w14:paraId="5585ED4C" w14:textId="77777777" w:rsidR="00EA460E" w:rsidRPr="00EA460E" w:rsidRDefault="00EA460E" w:rsidP="007E3B09"/>
    <w:p w14:paraId="29AE79C0" w14:textId="77777777" w:rsidR="00B30832" w:rsidRPr="00FA64CB" w:rsidRDefault="00B30832" w:rsidP="007E3B09">
      <w:pPr>
        <w:pStyle w:val="Heading1"/>
      </w:pPr>
      <w:bookmarkStart w:id="1" w:name="_Toc115088883"/>
      <w:r w:rsidRPr="00FA64CB">
        <w:t>Introduction</w:t>
      </w:r>
      <w:bookmarkEnd w:id="1"/>
      <w:r w:rsidRPr="00FA64CB">
        <w:t xml:space="preserve"> </w:t>
      </w:r>
    </w:p>
    <w:p w14:paraId="25817D83" w14:textId="68515381" w:rsidR="00B30832" w:rsidRPr="00FA64CB" w:rsidRDefault="00B30832" w:rsidP="007E3B09">
      <w:pPr>
        <w:pStyle w:val="Heading2"/>
      </w:pPr>
      <w:bookmarkStart w:id="2" w:name="_Toc115088884"/>
      <w:r w:rsidRPr="00FA64CB">
        <w:t>Purpose and scope of the statistical analysis plan</w:t>
      </w:r>
      <w:bookmarkEnd w:id="2"/>
    </w:p>
    <w:p w14:paraId="0DD7F7D6" w14:textId="5CA30F25" w:rsidR="00CE57EF" w:rsidRPr="00B64B06" w:rsidRDefault="00B30832" w:rsidP="007E3B09">
      <w:r w:rsidRPr="00B64B06">
        <w:t xml:space="preserve">This statistical analysis plan (SAP) contains details of the main pre-specified statistical analyses for the </w:t>
      </w:r>
      <w:r w:rsidR="003D237D">
        <w:t>PD-CARE</w:t>
      </w:r>
      <w:r w:rsidRPr="00B64B06">
        <w:t xml:space="preserve"> trial. This SAP describes the statistical analysis of the clinical outcomes. The SAP does not preclude the undertaking of further ad hoc or exploratory analyses, although the results of any such analyses should be interpreted with caution. Furthermore, the SAP does not preclude the adaptation of any part of the trial analysis should situations arise in which such adaptation is deemed necessary; any such adaptation will be transparent and fully justified.</w:t>
      </w:r>
      <w:r w:rsidR="00CE57EF">
        <w:t xml:space="preserve"> This SAP does not contain details of analyses related to health economics and process evaluation</w:t>
      </w:r>
      <w:r w:rsidR="00C40670">
        <w:t>; these are described in separate documents</w:t>
      </w:r>
      <w:r w:rsidR="00CE57EF">
        <w:t>.</w:t>
      </w:r>
    </w:p>
    <w:p w14:paraId="3EF4A925" w14:textId="77777777" w:rsidR="00E24467" w:rsidRPr="00B64B06" w:rsidRDefault="00E24467" w:rsidP="007E3B09"/>
    <w:p w14:paraId="5F02F4E2" w14:textId="44616756" w:rsidR="00B30832" w:rsidRPr="00B64B06" w:rsidRDefault="00B30832" w:rsidP="007E3B09">
      <w:pPr>
        <w:pStyle w:val="Heading2"/>
      </w:pPr>
      <w:bookmarkStart w:id="3" w:name="_Toc115088885"/>
      <w:r w:rsidRPr="00B64B06">
        <w:t>Protocol version</w:t>
      </w:r>
      <w:bookmarkEnd w:id="3"/>
    </w:p>
    <w:p w14:paraId="39AE8BC6" w14:textId="1CA15DAF" w:rsidR="00B30832" w:rsidRPr="00B64B06" w:rsidRDefault="00B30832" w:rsidP="007E3B09">
      <w:r w:rsidRPr="00B64B06">
        <w:t>Full details of the trial design, population, intervention, comparison and outcome variables may be found in the protocol (version 1.</w:t>
      </w:r>
      <w:r w:rsidR="0003202C">
        <w:t>4</w:t>
      </w:r>
      <w:r w:rsidRPr="00B64B06">
        <w:t xml:space="preserve"> dated 2</w:t>
      </w:r>
      <w:r w:rsidR="00B360CF">
        <w:t>3</w:t>
      </w:r>
      <w:r w:rsidRPr="00B64B06">
        <w:t>/0</w:t>
      </w:r>
      <w:r w:rsidR="0003202C">
        <w:t>3</w:t>
      </w:r>
      <w:r w:rsidRPr="00B64B06">
        <w:t>/202</w:t>
      </w:r>
      <w:r w:rsidR="0003202C">
        <w:t>3</w:t>
      </w:r>
      <w:r w:rsidRPr="00B64B06">
        <w:t>).</w:t>
      </w:r>
    </w:p>
    <w:p w14:paraId="67C63365" w14:textId="77777777" w:rsidR="00B30832" w:rsidRPr="00B64B06" w:rsidRDefault="00B30832" w:rsidP="007E3B09"/>
    <w:p w14:paraId="73B8DE5B" w14:textId="1DEAA51F" w:rsidR="00B30832" w:rsidRDefault="00B30832" w:rsidP="007E3B09">
      <w:pPr>
        <w:pStyle w:val="Heading2"/>
      </w:pPr>
      <w:bookmarkStart w:id="4" w:name="_Toc115088886"/>
      <w:r w:rsidRPr="00B64B06">
        <w:t>Trial registration</w:t>
      </w:r>
      <w:bookmarkEnd w:id="4"/>
    </w:p>
    <w:p w14:paraId="1DE07C4C" w14:textId="688907E8" w:rsidR="00E24467" w:rsidRDefault="0003202C" w:rsidP="007E3B09">
      <w:r w:rsidRPr="0003202C">
        <w:t>The trial is registered with the ISRCTN registry (</w:t>
      </w:r>
      <w:hyperlink r:id="rId8" w:history="1">
        <w:r w:rsidRPr="00985D5F">
          <w:rPr>
            <w:rStyle w:val="Hyperlink"/>
          </w:rPr>
          <w:t>https://doi.org/10.1186/ISRCTN92831552</w:t>
        </w:r>
      </w:hyperlink>
      <w:r>
        <w:t>).</w:t>
      </w:r>
    </w:p>
    <w:p w14:paraId="2D18198E" w14:textId="77777777" w:rsidR="0003202C" w:rsidRPr="00B64B06" w:rsidRDefault="0003202C" w:rsidP="007E3B09"/>
    <w:p w14:paraId="16374C1C" w14:textId="3EBD244B" w:rsidR="00B30832" w:rsidRPr="00B64B06" w:rsidRDefault="007D5570" w:rsidP="007E3B09">
      <w:pPr>
        <w:pStyle w:val="Heading2"/>
      </w:pPr>
      <w:bookmarkStart w:id="5" w:name="_Toc115088887"/>
      <w:r w:rsidRPr="00B64B06">
        <w:t>Authorship</w:t>
      </w:r>
      <w:bookmarkEnd w:id="5"/>
    </w:p>
    <w:p w14:paraId="79261880" w14:textId="5D4FCD2E" w:rsidR="007D5570" w:rsidRPr="00B64B06" w:rsidRDefault="007D5570" w:rsidP="007E3B09">
      <w:r w:rsidRPr="00B64B06">
        <w:t xml:space="preserve">This SAP has been written by </w:t>
      </w:r>
      <w:r w:rsidR="00E24467" w:rsidRPr="00B64B06">
        <w:t xml:space="preserve">Mariam Adeleke (MA) and </w:t>
      </w:r>
      <w:r w:rsidRPr="00B64B06">
        <w:t>Gareth Ambler (GA)</w:t>
      </w:r>
      <w:r w:rsidR="00E24467" w:rsidRPr="00B64B06">
        <w:t xml:space="preserve">, </w:t>
      </w:r>
      <w:r w:rsidRPr="00B64B06">
        <w:t xml:space="preserve">following the guidelines of Gamble </w:t>
      </w:r>
      <w:r w:rsidRPr="00B64B06">
        <w:rPr>
          <w:i/>
          <w:iCs/>
        </w:rPr>
        <w:t>et al</w:t>
      </w:r>
      <w:r w:rsidRPr="00B64B06">
        <w:t xml:space="preserve"> (2017</w:t>
      </w:r>
      <w:r w:rsidR="00AF3EEB">
        <w:t>).</w:t>
      </w:r>
    </w:p>
    <w:p w14:paraId="0C854BB2" w14:textId="77777777" w:rsidR="00E24467" w:rsidRPr="00B64B06" w:rsidRDefault="00E24467" w:rsidP="007E3B09"/>
    <w:p w14:paraId="50F424F4" w14:textId="2DF33126" w:rsidR="00E24467" w:rsidRDefault="00E24467" w:rsidP="007E3B09">
      <w:pPr>
        <w:pStyle w:val="Heading2"/>
      </w:pPr>
      <w:r w:rsidRPr="00B64B06">
        <w:t>SAP Revisions</w:t>
      </w:r>
    </w:p>
    <w:p w14:paraId="0ECCEFCA" w14:textId="77777777" w:rsidR="00D9673D" w:rsidRPr="00D9673D" w:rsidRDefault="00D9673D" w:rsidP="007E3B09"/>
    <w:tbl>
      <w:tblPr>
        <w:tblStyle w:val="TableGrid"/>
        <w:tblW w:w="5000" w:type="pct"/>
        <w:jc w:val="center"/>
        <w:tblLook w:val="04A0" w:firstRow="1" w:lastRow="0" w:firstColumn="1" w:lastColumn="0" w:noHBand="0" w:noVBand="1"/>
      </w:tblPr>
      <w:tblGrid>
        <w:gridCol w:w="1129"/>
        <w:gridCol w:w="1560"/>
        <w:gridCol w:w="6327"/>
      </w:tblGrid>
      <w:tr w:rsidR="00E24467" w:rsidRPr="00B64B06" w14:paraId="71DF208D" w14:textId="77777777" w:rsidTr="00443EB1">
        <w:trPr>
          <w:jc w:val="center"/>
        </w:trPr>
        <w:tc>
          <w:tcPr>
            <w:tcW w:w="626" w:type="pct"/>
          </w:tcPr>
          <w:p w14:paraId="010D58D9" w14:textId="77777777" w:rsidR="00E24467" w:rsidRPr="00B64B06" w:rsidRDefault="00E24467" w:rsidP="007E3B09">
            <w:r w:rsidRPr="00B64B06">
              <w:t>Version</w:t>
            </w:r>
          </w:p>
        </w:tc>
        <w:tc>
          <w:tcPr>
            <w:tcW w:w="865" w:type="pct"/>
          </w:tcPr>
          <w:p w14:paraId="78161F25" w14:textId="77777777" w:rsidR="00E24467" w:rsidRPr="00B64B06" w:rsidRDefault="00E24467" w:rsidP="007E3B09">
            <w:r w:rsidRPr="00B64B06">
              <w:t>Date</w:t>
            </w:r>
          </w:p>
        </w:tc>
        <w:tc>
          <w:tcPr>
            <w:tcW w:w="3509" w:type="pct"/>
          </w:tcPr>
          <w:p w14:paraId="03B5D5FE" w14:textId="77777777" w:rsidR="00E24467" w:rsidRPr="00B64B06" w:rsidRDefault="00E24467" w:rsidP="007E3B09">
            <w:r w:rsidRPr="00B64B06">
              <w:t>Changes</w:t>
            </w:r>
          </w:p>
        </w:tc>
      </w:tr>
      <w:tr w:rsidR="00E24467" w:rsidRPr="00B64B06" w14:paraId="40A84691" w14:textId="77777777" w:rsidTr="00443EB1">
        <w:trPr>
          <w:jc w:val="center"/>
        </w:trPr>
        <w:tc>
          <w:tcPr>
            <w:tcW w:w="626" w:type="pct"/>
          </w:tcPr>
          <w:p w14:paraId="17F0B2AB" w14:textId="5E43B580" w:rsidR="00E24467" w:rsidRPr="00B64B06" w:rsidRDefault="00E24467" w:rsidP="007E3B09">
            <w:r w:rsidRPr="00B64B06">
              <w:t>1.0</w:t>
            </w:r>
          </w:p>
        </w:tc>
        <w:tc>
          <w:tcPr>
            <w:tcW w:w="865" w:type="pct"/>
          </w:tcPr>
          <w:p w14:paraId="0802FDE6" w14:textId="369E179A" w:rsidR="00E24467" w:rsidRPr="00B64B06" w:rsidRDefault="00B2498D" w:rsidP="007E3B09">
            <w:r>
              <w:t>22.09.23</w:t>
            </w:r>
          </w:p>
        </w:tc>
        <w:tc>
          <w:tcPr>
            <w:tcW w:w="3509" w:type="pct"/>
          </w:tcPr>
          <w:p w14:paraId="75D327BC" w14:textId="77777777" w:rsidR="00E24467" w:rsidRPr="00B64B06" w:rsidRDefault="00E24467" w:rsidP="007E3B09"/>
        </w:tc>
      </w:tr>
    </w:tbl>
    <w:p w14:paraId="44AE8377" w14:textId="355D473C" w:rsidR="00E24467" w:rsidRPr="00B64B06" w:rsidRDefault="00E24467" w:rsidP="007E3B09"/>
    <w:p w14:paraId="568299CB" w14:textId="5C515480" w:rsidR="00D9673D" w:rsidRDefault="00D9673D" w:rsidP="007E3B09">
      <w:r>
        <w:br w:type="page"/>
      </w:r>
    </w:p>
    <w:p w14:paraId="48E8E538" w14:textId="0A1B3DF8" w:rsidR="00B30832" w:rsidRPr="00EA460E" w:rsidRDefault="006908CE" w:rsidP="007E3B09">
      <w:pPr>
        <w:pStyle w:val="Heading1"/>
      </w:pPr>
      <w:bookmarkStart w:id="6" w:name="_Toc115088890"/>
      <w:r w:rsidRPr="00EA460E">
        <w:lastRenderedPageBreak/>
        <w:t>Trial Summary</w:t>
      </w:r>
      <w:bookmarkEnd w:id="6"/>
    </w:p>
    <w:p w14:paraId="7445A082" w14:textId="46CF75D8" w:rsidR="006908CE" w:rsidRPr="00EA460E" w:rsidRDefault="00E87072" w:rsidP="007E3B09">
      <w:pPr>
        <w:pStyle w:val="Heading2"/>
      </w:pPr>
      <w:bookmarkStart w:id="7" w:name="_Toc115088891"/>
      <w:r w:rsidRPr="00EA460E">
        <w:t>Title</w:t>
      </w:r>
      <w:bookmarkEnd w:id="7"/>
    </w:p>
    <w:p w14:paraId="1B2FB724" w14:textId="656AB1FF" w:rsidR="007B037D" w:rsidRDefault="006908CE" w:rsidP="007E3B09">
      <w:r w:rsidRPr="00B64B06">
        <w:t>Personalised care for people with Parkinson’s Disease: PD-Care</w:t>
      </w:r>
    </w:p>
    <w:p w14:paraId="68C4DB85" w14:textId="77777777" w:rsidR="00EA460E" w:rsidRPr="00B64B06" w:rsidRDefault="00EA460E" w:rsidP="007E3B09"/>
    <w:p w14:paraId="2594938B" w14:textId="55512EE0" w:rsidR="006908CE" w:rsidRDefault="006908CE" w:rsidP="007E3B09">
      <w:pPr>
        <w:pStyle w:val="Heading2"/>
      </w:pPr>
      <w:bookmarkStart w:id="8" w:name="_Toc115088892"/>
      <w:r w:rsidRPr="00B64B06">
        <w:t>Aims</w:t>
      </w:r>
      <w:bookmarkEnd w:id="8"/>
    </w:p>
    <w:p w14:paraId="0CA2C396" w14:textId="77777777" w:rsidR="00100995" w:rsidRDefault="00100995" w:rsidP="007E3B09">
      <w:r>
        <w:t>The study objectives are to evaluate the effectiveness and cost-effectiveness of the “Live Well with Parkinson’s” facilitated self-management toolkit, which aims to enable personalised care for community-living people with Parkinson’s, to reduce disability and preventable hospital admissions and to improve quality of life.</w:t>
      </w:r>
    </w:p>
    <w:p w14:paraId="77268212" w14:textId="77777777" w:rsidR="00EA460E" w:rsidRDefault="00EA460E" w:rsidP="007E3B09"/>
    <w:p w14:paraId="5B360138" w14:textId="77777777" w:rsidR="00100995" w:rsidRDefault="00100995" w:rsidP="007E3B09">
      <w:r>
        <w:t>The specific objectives are to:</w:t>
      </w:r>
    </w:p>
    <w:p w14:paraId="630414B7" w14:textId="0F67916B" w:rsidR="00100995" w:rsidRPr="00EA460E" w:rsidRDefault="00100995" w:rsidP="007E3B09">
      <w:pPr>
        <w:pStyle w:val="ListParagraph"/>
      </w:pPr>
      <w:r w:rsidRPr="00EA460E">
        <w:t>Determine the clinical effectiveness of the ‘Live Well with Parkinson’s’ intervention (facilitated self-management toolkit) through a definitive Randomised Controlled Trial, with internal pilot.</w:t>
      </w:r>
    </w:p>
    <w:p w14:paraId="2E9B9D47" w14:textId="28BA0B5B" w:rsidR="00100995" w:rsidRPr="00EA460E" w:rsidRDefault="00100995" w:rsidP="007E3B09">
      <w:pPr>
        <w:pStyle w:val="ListParagraph"/>
      </w:pPr>
      <w:r w:rsidRPr="00EA460E">
        <w:t>Determine the cost-effectiveness of the intervention from the perspective of the NHS and personal social services.</w:t>
      </w:r>
    </w:p>
    <w:p w14:paraId="26801B72" w14:textId="26BCAFBA" w:rsidR="00100995" w:rsidRPr="00EA460E" w:rsidRDefault="00100995" w:rsidP="007E3B09">
      <w:pPr>
        <w:pStyle w:val="ListParagraph"/>
      </w:pPr>
      <w:r w:rsidRPr="00EA460E">
        <w:t>Determine the factors promoting or inhibiting implementation of the toolkit in the NHS.</w:t>
      </w:r>
    </w:p>
    <w:p w14:paraId="3930CF04" w14:textId="77777777" w:rsidR="00140698" w:rsidRPr="00B64B06" w:rsidRDefault="00140698" w:rsidP="007E3B09"/>
    <w:p w14:paraId="5DF00128" w14:textId="3D10A36D" w:rsidR="006908CE" w:rsidRPr="00B64B06" w:rsidRDefault="00F95EA4" w:rsidP="007E3B09">
      <w:pPr>
        <w:pStyle w:val="Heading2"/>
      </w:pPr>
      <w:bookmarkStart w:id="9" w:name="_Toc115088893"/>
      <w:r w:rsidRPr="00B64B06">
        <w:t>Population</w:t>
      </w:r>
      <w:bookmarkEnd w:id="9"/>
    </w:p>
    <w:p w14:paraId="69F4C0EA" w14:textId="0DECA97E" w:rsidR="00F95EA4" w:rsidRPr="00B64B06" w:rsidRDefault="007B037D" w:rsidP="007E3B09">
      <w:r w:rsidRPr="00B64B06">
        <w:t>Community-dwelling people with Parkinson’s disease.</w:t>
      </w:r>
    </w:p>
    <w:p w14:paraId="4B2EF7A0" w14:textId="77777777" w:rsidR="002845B3" w:rsidRPr="00B64B06" w:rsidRDefault="002845B3" w:rsidP="007E3B09"/>
    <w:p w14:paraId="0124B438" w14:textId="6C012CCB" w:rsidR="007B037D" w:rsidRPr="00EA460E" w:rsidRDefault="007B037D" w:rsidP="007E3B09">
      <w:pPr>
        <w:pStyle w:val="Heading3"/>
      </w:pPr>
      <w:bookmarkStart w:id="10" w:name="_Toc115088894"/>
      <w:r w:rsidRPr="00EA460E">
        <w:t>Inclusion criteria</w:t>
      </w:r>
      <w:bookmarkEnd w:id="10"/>
    </w:p>
    <w:p w14:paraId="04204DF4" w14:textId="48B9A7D4" w:rsidR="007B037D" w:rsidRPr="00B64B06" w:rsidRDefault="007B037D" w:rsidP="007E3B09">
      <w:r w:rsidRPr="00B64B06">
        <w:t>Community-dwelling adults with a confirmed diagnosis of Parkinson’s Disease</w:t>
      </w:r>
      <w:r w:rsidR="0044468B">
        <w:t xml:space="preserve"> (PD)</w:t>
      </w:r>
      <w:r w:rsidRPr="00B64B06">
        <w:t>, (defined using UK Brain Bank Criteria (89)), including those with dementia diagnosed at least one year after PD.</w:t>
      </w:r>
    </w:p>
    <w:p w14:paraId="6860EB1B" w14:textId="77777777" w:rsidR="002845B3" w:rsidRPr="00B64B06" w:rsidRDefault="002845B3" w:rsidP="007E3B09"/>
    <w:p w14:paraId="1931AE23" w14:textId="2665F99E" w:rsidR="007B037D" w:rsidRPr="00B64B06" w:rsidRDefault="007B037D" w:rsidP="007E3B09">
      <w:pPr>
        <w:pStyle w:val="Heading3"/>
      </w:pPr>
      <w:bookmarkStart w:id="11" w:name="_Toc115088895"/>
      <w:r w:rsidRPr="00B64B06">
        <w:t>Exclusion criteria</w:t>
      </w:r>
      <w:bookmarkEnd w:id="11"/>
    </w:p>
    <w:p w14:paraId="03B31B23" w14:textId="77777777" w:rsidR="007B037D" w:rsidRPr="00EA460E" w:rsidRDefault="007B037D" w:rsidP="007E3B09">
      <w:pPr>
        <w:pStyle w:val="BulletParagraph"/>
      </w:pPr>
      <w:r w:rsidRPr="00EA460E">
        <w:t>Atypical Parkinsonism</w:t>
      </w:r>
    </w:p>
    <w:p w14:paraId="0924C457" w14:textId="77777777" w:rsidR="007B037D" w:rsidRPr="00EA460E" w:rsidRDefault="007B037D" w:rsidP="007E3B09">
      <w:pPr>
        <w:pStyle w:val="BulletParagraph"/>
      </w:pPr>
      <w:r w:rsidRPr="00EA460E">
        <w:lastRenderedPageBreak/>
        <w:t>Currently an inpatient or living in a care home</w:t>
      </w:r>
    </w:p>
    <w:p w14:paraId="628D010A" w14:textId="77777777" w:rsidR="007B037D" w:rsidRPr="00EA460E" w:rsidRDefault="007B037D" w:rsidP="007E3B09">
      <w:pPr>
        <w:pStyle w:val="BulletParagraph"/>
      </w:pPr>
      <w:r w:rsidRPr="00EA460E">
        <w:t>Lack of capacity to take part MoCA &lt;11</w:t>
      </w:r>
    </w:p>
    <w:p w14:paraId="1E1C0AC3" w14:textId="242C208D" w:rsidR="00F95EA4" w:rsidRPr="00EA460E" w:rsidRDefault="007B037D" w:rsidP="007E3B09">
      <w:pPr>
        <w:pStyle w:val="BulletParagraph"/>
      </w:pPr>
      <w:r w:rsidRPr="00EA460E">
        <w:t>Life expectancy &lt;6months</w:t>
      </w:r>
    </w:p>
    <w:p w14:paraId="4BE9931E" w14:textId="686694D9" w:rsidR="000B1352" w:rsidRDefault="000B1352" w:rsidP="007E3B09">
      <w:r>
        <w:br w:type="page"/>
      </w:r>
    </w:p>
    <w:p w14:paraId="42693B8C" w14:textId="4F45974D" w:rsidR="002845B3" w:rsidRPr="00B64B06" w:rsidRDefault="000B1352" w:rsidP="007E3B09">
      <w:pPr>
        <w:pStyle w:val="Heading1"/>
      </w:pPr>
      <w:r>
        <w:lastRenderedPageBreak/>
        <w:t>Study Methods</w:t>
      </w:r>
    </w:p>
    <w:p w14:paraId="07007153" w14:textId="7F3DCF3B" w:rsidR="00725F69" w:rsidRPr="00B64B06" w:rsidRDefault="00725F69" w:rsidP="007E3B09">
      <w:pPr>
        <w:pStyle w:val="Heading2"/>
      </w:pPr>
      <w:bookmarkStart w:id="12" w:name="_Toc115088896"/>
      <w:r w:rsidRPr="00B64B06">
        <w:t>Design</w:t>
      </w:r>
      <w:bookmarkEnd w:id="12"/>
    </w:p>
    <w:p w14:paraId="01440146" w14:textId="1FEF9F5C" w:rsidR="00EF60D8" w:rsidRPr="00B64B06" w:rsidRDefault="00EF60D8" w:rsidP="007E3B09">
      <w:r w:rsidRPr="00B64B06">
        <w:t>A multi-cent</w:t>
      </w:r>
      <w:r w:rsidR="00EA460E">
        <w:t>re</w:t>
      </w:r>
      <w:r w:rsidRPr="00B64B06">
        <w:t>, single blind trial, parallel group, two arm, randomised controlled trial to assess the clinical and cost effectiveness of PD-CARE in people with Parkinson’s disease with a</w:t>
      </w:r>
      <w:r w:rsidR="00351E20" w:rsidRPr="00B64B06">
        <w:t xml:space="preserve"> 6-month</w:t>
      </w:r>
      <w:r w:rsidRPr="00B64B06">
        <w:t xml:space="preserve"> internal pilot</w:t>
      </w:r>
      <w:r w:rsidR="002845B3" w:rsidRPr="00B64B06">
        <w:t>.</w:t>
      </w:r>
    </w:p>
    <w:p w14:paraId="72714108" w14:textId="77777777" w:rsidR="002845B3" w:rsidRPr="00B64B06" w:rsidRDefault="002845B3" w:rsidP="007E3B09"/>
    <w:p w14:paraId="375C2CEC" w14:textId="7943B7E1" w:rsidR="00725F69" w:rsidRPr="00B64B06" w:rsidRDefault="00725F69" w:rsidP="007E3B09">
      <w:pPr>
        <w:pStyle w:val="Heading2"/>
      </w:pPr>
      <w:bookmarkStart w:id="13" w:name="_Toc115088897"/>
      <w:r w:rsidRPr="00B64B06">
        <w:t>Intervention</w:t>
      </w:r>
      <w:bookmarkEnd w:id="13"/>
      <w:r w:rsidRPr="00B64B06">
        <w:t xml:space="preserve"> </w:t>
      </w:r>
    </w:p>
    <w:p w14:paraId="35F22B13" w14:textId="750675F4" w:rsidR="00A4641A" w:rsidRPr="00B64B06" w:rsidRDefault="00A4641A" w:rsidP="007E3B09">
      <w:r w:rsidRPr="00B64B06">
        <w:rPr>
          <w:spacing w:val="-3"/>
        </w:rPr>
        <w:t xml:space="preserve">The usual care plus training and access to PD-Care, supported by trained </w:t>
      </w:r>
      <w:r w:rsidRPr="00B64B06">
        <w:t>service providers (nurses independent of their usual care to prevent contamination of the control arm)</w:t>
      </w:r>
      <w:r w:rsidR="00857AEE">
        <w:t xml:space="preserve"> for up to 6 sessions</w:t>
      </w:r>
      <w:r w:rsidRPr="00B64B06">
        <w:t>.</w:t>
      </w:r>
    </w:p>
    <w:p w14:paraId="7E227D0A" w14:textId="77777777" w:rsidR="002845B3" w:rsidRPr="00B64B06" w:rsidRDefault="002845B3" w:rsidP="007E3B09"/>
    <w:p w14:paraId="6C39DF87" w14:textId="41972FD8" w:rsidR="00725F69" w:rsidRPr="00B64B06" w:rsidRDefault="00725F69" w:rsidP="007E3B09">
      <w:pPr>
        <w:pStyle w:val="Heading2"/>
      </w:pPr>
      <w:bookmarkStart w:id="14" w:name="_Toc115088898"/>
      <w:r w:rsidRPr="00B64B06">
        <w:t>Comparison</w:t>
      </w:r>
      <w:bookmarkEnd w:id="14"/>
      <w:r w:rsidRPr="00B64B06">
        <w:t xml:space="preserve"> </w:t>
      </w:r>
    </w:p>
    <w:p w14:paraId="601344DD" w14:textId="1B262F31" w:rsidR="00406148" w:rsidRPr="00B64B06" w:rsidRDefault="00406148" w:rsidP="007E3B09">
      <w:r w:rsidRPr="00B64B06">
        <w:t>The usual care from existing sources</w:t>
      </w:r>
      <w:r w:rsidR="00A4641A" w:rsidRPr="00B64B06">
        <w:t xml:space="preserve"> (GP, PD specialist service +/- NHS PD</w:t>
      </w:r>
      <w:r w:rsidR="0044468B">
        <w:t xml:space="preserve"> </w:t>
      </w:r>
      <w:r w:rsidR="00A4641A" w:rsidRPr="00B64B06">
        <w:t>N</w:t>
      </w:r>
      <w:r w:rsidR="0044468B">
        <w:t xml:space="preserve">urse </w:t>
      </w:r>
      <w:r w:rsidR="00A4641A" w:rsidRPr="00B64B06">
        <w:t>S</w:t>
      </w:r>
      <w:r w:rsidR="0044468B">
        <w:t>pecialist</w:t>
      </w:r>
      <w:r w:rsidR="00A4641A" w:rsidRPr="00B64B06">
        <w:t>).</w:t>
      </w:r>
    </w:p>
    <w:p w14:paraId="301DA424" w14:textId="77777777" w:rsidR="002845B3" w:rsidRPr="00B64B06" w:rsidRDefault="002845B3" w:rsidP="007E3B09"/>
    <w:p w14:paraId="148BF3C0" w14:textId="57D301FA" w:rsidR="00CE1370" w:rsidRPr="00B64B06" w:rsidRDefault="00CE1370" w:rsidP="007E3B09">
      <w:pPr>
        <w:pStyle w:val="Heading2"/>
      </w:pPr>
      <w:bookmarkStart w:id="15" w:name="_Toc115088899"/>
      <w:r w:rsidRPr="00B64B06">
        <w:t>Sample size</w:t>
      </w:r>
      <w:bookmarkEnd w:id="15"/>
    </w:p>
    <w:p w14:paraId="1176B412" w14:textId="058ED5D6" w:rsidR="002845B3" w:rsidRDefault="009C5C2A" w:rsidP="007E3B09">
      <w:r w:rsidRPr="009C5C2A">
        <w:t>To detect a 4.7</w:t>
      </w:r>
      <w:r>
        <w:t>-</w:t>
      </w:r>
      <w:r w:rsidRPr="009C5C2A">
        <w:t>point difference in PDQ-39 with 90% power and 5% significance, 135 participants per arm are required, assuming a SD of 19.8 and a correlation between baseline and follow-up measurements of 0.8. Allowing for 20% attrition at 12 months increases the total to 338 people with Parkinson’s.</w:t>
      </w:r>
    </w:p>
    <w:p w14:paraId="2F8B9D9A" w14:textId="77777777" w:rsidR="002C2376" w:rsidRPr="00DA0E26" w:rsidRDefault="002C2376" w:rsidP="007E3B09"/>
    <w:p w14:paraId="4D6C429B" w14:textId="77777777" w:rsidR="00725F69" w:rsidRPr="00B64B06" w:rsidRDefault="00725F69" w:rsidP="007E3B09">
      <w:pPr>
        <w:pStyle w:val="Heading2"/>
      </w:pPr>
      <w:bookmarkStart w:id="16" w:name="_Toc115088900"/>
      <w:r w:rsidRPr="00B64B06">
        <w:t>Randomisation</w:t>
      </w:r>
      <w:bookmarkEnd w:id="16"/>
    </w:p>
    <w:p w14:paraId="5DFFCD45" w14:textId="7F6104DA" w:rsidR="00725F69" w:rsidRPr="00B64B06" w:rsidRDefault="00725F69" w:rsidP="007E3B09">
      <w:r w:rsidRPr="00B64B06">
        <w:t xml:space="preserve">Randomisation of study participants will be performed by PRIMENT CTU using a web-based service Sealed Envelope in a 1:1 ratio to the intervention or treatment as usual </w:t>
      </w:r>
      <w:r w:rsidR="0044468B">
        <w:t>(</w:t>
      </w:r>
      <w:r w:rsidRPr="00B64B06">
        <w:t>TAU</w:t>
      </w:r>
      <w:r w:rsidR="0044468B">
        <w:t>)</w:t>
      </w:r>
      <w:r w:rsidRPr="00B64B06">
        <w:t>. Minimisation will be used to perform individual randomisation based on site and disease severity (early vs advanced disease).</w:t>
      </w:r>
    </w:p>
    <w:p w14:paraId="6112714A" w14:textId="77777777" w:rsidR="002845B3" w:rsidRPr="00B64B06" w:rsidRDefault="002845B3" w:rsidP="007E3B09"/>
    <w:p w14:paraId="4E141433" w14:textId="7049BC8B" w:rsidR="007B037D" w:rsidRPr="00B64B06" w:rsidRDefault="00543C7D" w:rsidP="007E3B09">
      <w:pPr>
        <w:pStyle w:val="Heading2"/>
      </w:pPr>
      <w:bookmarkStart w:id="17" w:name="_Toc115088901"/>
      <w:r w:rsidRPr="00B64B06">
        <w:lastRenderedPageBreak/>
        <w:t>B</w:t>
      </w:r>
      <w:r w:rsidR="001903E3" w:rsidRPr="00B64B06">
        <w:t>linding</w:t>
      </w:r>
      <w:bookmarkEnd w:id="17"/>
      <w:r w:rsidRPr="00B64B06">
        <w:t xml:space="preserve"> </w:t>
      </w:r>
    </w:p>
    <w:p w14:paraId="4C498213" w14:textId="48041A3A" w:rsidR="00F144EA" w:rsidRPr="00B64B06" w:rsidRDefault="00EF60D8" w:rsidP="007E3B09">
      <w:r w:rsidRPr="00B64B06">
        <w:t xml:space="preserve">This is a single blind trial. Assessors are blind to treatment allocation; participants are not. Statisticians </w:t>
      </w:r>
      <w:r w:rsidR="00857AEE">
        <w:t xml:space="preserve">and health economists </w:t>
      </w:r>
      <w:r w:rsidRPr="00B64B06">
        <w:t xml:space="preserve">will also be blinded to allocation as far as possible until after the primary analysis has been agreed. One of the statisticians will attend the Data Monitoring and Ethics Committee </w:t>
      </w:r>
      <w:r w:rsidR="00857AEE">
        <w:t xml:space="preserve">part of the Trial Steering Committee (TSC) </w:t>
      </w:r>
      <w:r w:rsidRPr="00B64B06">
        <w:t xml:space="preserve">and consequently may become unblinded if the committee requires any statistics to be reported separately by study arm. </w:t>
      </w:r>
    </w:p>
    <w:p w14:paraId="23A36A80" w14:textId="2459459F" w:rsidR="002845B3" w:rsidRPr="00B64B06" w:rsidRDefault="002845B3" w:rsidP="007E3B09"/>
    <w:p w14:paraId="0FD09997" w14:textId="2EDC0D3C" w:rsidR="002B6324" w:rsidRDefault="002B6324" w:rsidP="007E3B09">
      <w:r>
        <w:br w:type="page"/>
      </w:r>
    </w:p>
    <w:p w14:paraId="6CD1C881" w14:textId="10A63712" w:rsidR="00F144EA" w:rsidRPr="00E46F37" w:rsidRDefault="00F144EA" w:rsidP="007E3B09">
      <w:pPr>
        <w:pStyle w:val="Heading1"/>
      </w:pPr>
      <w:bookmarkStart w:id="18" w:name="_Toc115088902"/>
      <w:r w:rsidRPr="00E46F37">
        <w:lastRenderedPageBreak/>
        <w:t>Statistical Principles</w:t>
      </w:r>
      <w:bookmarkEnd w:id="18"/>
    </w:p>
    <w:p w14:paraId="539B7818" w14:textId="177CD6F2" w:rsidR="00F144EA" w:rsidRPr="00B64B06" w:rsidRDefault="00F144EA" w:rsidP="007E3B09">
      <w:pPr>
        <w:pStyle w:val="Heading2"/>
      </w:pPr>
      <w:bookmarkStart w:id="19" w:name="_Toc115088903"/>
      <w:r w:rsidRPr="00B64B06">
        <w:t>Organisation of data and analyses</w:t>
      </w:r>
      <w:bookmarkEnd w:id="19"/>
    </w:p>
    <w:p w14:paraId="0ADAE269" w14:textId="2B57AC52" w:rsidR="00F144EA" w:rsidRDefault="00F144EA" w:rsidP="007E3B09">
      <w:r w:rsidRPr="00B64B06">
        <w:t>The SAP will be finalised and approved prior to unblinding.</w:t>
      </w:r>
      <w:r w:rsidR="00355015">
        <w:t xml:space="preserve"> </w:t>
      </w:r>
      <w:r w:rsidRPr="00B64B06">
        <w:t>The programs and code to be used for statistical analyses will be prepared prior to unblinding as far as possible.</w:t>
      </w:r>
      <w:r w:rsidR="00355015">
        <w:t xml:space="preserve"> </w:t>
      </w:r>
      <w:r w:rsidRPr="00B64B06">
        <w:t>Two statisticians will perform the analysis relating to the primary outcome independently, in order to ensure its accuracy.</w:t>
      </w:r>
      <w:r w:rsidR="00355015">
        <w:t xml:space="preserve"> </w:t>
      </w:r>
    </w:p>
    <w:p w14:paraId="048BB72F" w14:textId="77777777" w:rsidR="006F6C31" w:rsidRPr="00B64B06" w:rsidRDefault="006F6C31" w:rsidP="007E3B09"/>
    <w:p w14:paraId="0A2C7A0A" w14:textId="4342410F" w:rsidR="00F144EA" w:rsidRPr="00B64B06" w:rsidRDefault="00F144EA" w:rsidP="007E3B09">
      <w:r w:rsidRPr="00B64B06">
        <w:t>Prior to performing analyses, basic checks will be performed by the statisticians on the blinded data to ensure accuracy.</w:t>
      </w:r>
      <w:r w:rsidR="00355015">
        <w:t xml:space="preserve"> </w:t>
      </w:r>
      <w:r w:rsidRPr="00B64B06">
        <w:t xml:space="preserve">Each outcome (primary and secondary) variable and baseline demographic variable will be checked for: </w:t>
      </w:r>
    </w:p>
    <w:p w14:paraId="67528555" w14:textId="794DD432" w:rsidR="00F144EA" w:rsidRPr="00B64B06" w:rsidRDefault="00FB7C2C" w:rsidP="007E3B09">
      <w:pPr>
        <w:pStyle w:val="BulletParagraph"/>
      </w:pPr>
      <w:r>
        <w:t>m</w:t>
      </w:r>
      <w:r w:rsidR="00F144EA" w:rsidRPr="00B64B06">
        <w:t>issing values</w:t>
      </w:r>
    </w:p>
    <w:p w14:paraId="63D1F474" w14:textId="5922C173" w:rsidR="00F144EA" w:rsidRPr="00B64B06" w:rsidRDefault="00FB7C2C" w:rsidP="007E3B09">
      <w:pPr>
        <w:pStyle w:val="BulletParagraph"/>
      </w:pPr>
      <w:r>
        <w:t>v</w:t>
      </w:r>
      <w:r w:rsidR="00F144EA" w:rsidRPr="00B64B06">
        <w:t>alues outside an acceptable range</w:t>
      </w:r>
    </w:p>
    <w:p w14:paraId="62C0A5C1" w14:textId="12272FDB" w:rsidR="00F144EA" w:rsidRDefault="00FB7C2C" w:rsidP="007E3B09">
      <w:pPr>
        <w:pStyle w:val="BulletParagraph"/>
      </w:pPr>
      <w:r>
        <w:t>o</w:t>
      </w:r>
      <w:r w:rsidR="00F144EA" w:rsidRPr="00B64B06">
        <w:t>ther inconsistencies</w:t>
      </w:r>
    </w:p>
    <w:p w14:paraId="1397888B" w14:textId="77777777" w:rsidR="006F6C31" w:rsidRPr="00B64B06" w:rsidRDefault="006F6C31" w:rsidP="007E3B09"/>
    <w:p w14:paraId="54271356" w14:textId="2DD48071" w:rsidR="00F144EA" w:rsidRPr="00B64B06" w:rsidRDefault="00F144EA" w:rsidP="007E3B09">
      <w:r w:rsidRPr="007E3B09">
        <w:t>If missing values or other inconsistencies are found, the corresponding data will be sent to the</w:t>
      </w:r>
      <w:r w:rsidRPr="00B64B06">
        <w:t xml:space="preserve"> Trial Manager for checking and will either be corrected, deemed to be missing or confirmed correct, as appropriate</w:t>
      </w:r>
      <w:r w:rsidR="0038140F" w:rsidRPr="00B64B06">
        <w:t>.</w:t>
      </w:r>
    </w:p>
    <w:p w14:paraId="4C504824" w14:textId="77777777" w:rsidR="002845B3" w:rsidRPr="00B64B06" w:rsidRDefault="002845B3" w:rsidP="007E3B09"/>
    <w:p w14:paraId="0650C8DF" w14:textId="2AA0C6D3" w:rsidR="0038140F" w:rsidRPr="00B64B06" w:rsidRDefault="0038140F" w:rsidP="007E3B09">
      <w:pPr>
        <w:pStyle w:val="Heading2"/>
      </w:pPr>
      <w:bookmarkStart w:id="20" w:name="_Toc115088904"/>
      <w:r w:rsidRPr="00B64B06">
        <w:t>Confidence intervals and p-values</w:t>
      </w:r>
      <w:bookmarkEnd w:id="20"/>
    </w:p>
    <w:p w14:paraId="09065E4A" w14:textId="77777777" w:rsidR="00E923C0" w:rsidRDefault="00E923C0" w:rsidP="007E3B09">
      <w:r>
        <w:t>All statistical tests will be two-sided. All estimates will be presented with two-sided 95% confidence intervals.</w:t>
      </w:r>
    </w:p>
    <w:p w14:paraId="23D401CF" w14:textId="77777777" w:rsidR="0038140F" w:rsidRPr="00B64B06" w:rsidRDefault="0038140F" w:rsidP="007E3B09"/>
    <w:p w14:paraId="17562BB5" w14:textId="66D1429C" w:rsidR="0038140F" w:rsidRPr="00B64B06" w:rsidRDefault="0038140F" w:rsidP="007E3B09">
      <w:pPr>
        <w:pStyle w:val="Heading2"/>
      </w:pPr>
      <w:bookmarkStart w:id="21" w:name="_Toc115088905"/>
      <w:r w:rsidRPr="00B64B06">
        <w:t>Adherence to intervention</w:t>
      </w:r>
      <w:bookmarkEnd w:id="21"/>
      <w:r w:rsidR="00553E92">
        <w:t xml:space="preserve"> supporter sessions</w:t>
      </w:r>
    </w:p>
    <w:p w14:paraId="0589A0B9" w14:textId="3FF06EEB" w:rsidR="00B232D4" w:rsidRDefault="00B232D4" w:rsidP="00B232D4">
      <w:r>
        <w:t xml:space="preserve">For the main analyses, adherence is defined as attending at least 3 intervention </w:t>
      </w:r>
      <w:r w:rsidR="00553E92">
        <w:t xml:space="preserve">supporter </w:t>
      </w:r>
      <w:r>
        <w:t>sessions. Other definitions of adherence may be used for exploratory analyses.</w:t>
      </w:r>
    </w:p>
    <w:p w14:paraId="614AEF14" w14:textId="77777777" w:rsidR="00B232D4" w:rsidRDefault="00B232D4" w:rsidP="00B232D4"/>
    <w:p w14:paraId="6B3B4E17" w14:textId="12318A8E" w:rsidR="00E05927" w:rsidRPr="00B64B06" w:rsidRDefault="0038140F" w:rsidP="007E3B09">
      <w:pPr>
        <w:pStyle w:val="Heading2"/>
      </w:pPr>
      <w:bookmarkStart w:id="22" w:name="_Toc115088906"/>
      <w:r w:rsidRPr="00B64B06">
        <w:lastRenderedPageBreak/>
        <w:t>Analysis populations</w:t>
      </w:r>
      <w:bookmarkEnd w:id="22"/>
    </w:p>
    <w:p w14:paraId="36D5B9CE" w14:textId="119D2C5A" w:rsidR="0038140F" w:rsidRDefault="0038140F" w:rsidP="007E3B09">
      <w:r w:rsidRPr="00B64B06">
        <w:t>The ‘intention-to-treat’ population will include all randomised patients according to the treatment to which they were randomised to receive. Any patients that have withdrawn from the trial, and withdrawn permission to keep and use their data, will be necessarily excluded.</w:t>
      </w:r>
    </w:p>
    <w:p w14:paraId="77DAD332" w14:textId="20E51F13" w:rsidR="00BB3272" w:rsidRDefault="00BB3272">
      <w:pPr>
        <w:autoSpaceDE/>
        <w:autoSpaceDN/>
        <w:adjustRightInd/>
        <w:spacing w:after="160" w:line="259" w:lineRule="auto"/>
        <w:jc w:val="left"/>
      </w:pPr>
      <w:r>
        <w:br w:type="page"/>
      </w:r>
    </w:p>
    <w:p w14:paraId="10E5E3C3" w14:textId="4569EDA4" w:rsidR="00BB3272" w:rsidRDefault="00BB3272" w:rsidP="00BB3272">
      <w:pPr>
        <w:pStyle w:val="Heading1"/>
      </w:pPr>
      <w:r>
        <w:lastRenderedPageBreak/>
        <w:t>Trial Population</w:t>
      </w:r>
    </w:p>
    <w:p w14:paraId="0C7D8EC1" w14:textId="3A7EB277" w:rsidR="00BB3272" w:rsidRDefault="00BB3272" w:rsidP="00BB3272">
      <w:pPr>
        <w:pStyle w:val="Heading2"/>
      </w:pPr>
      <w:r>
        <w:t>Recruitment and retention</w:t>
      </w:r>
    </w:p>
    <w:p w14:paraId="6311373D" w14:textId="648E4F17" w:rsidR="001C1522" w:rsidRDefault="001C1522" w:rsidP="002D60C6">
      <w:r w:rsidRPr="00B64B06">
        <w:t>A CONSORT diagram will be presented to provide a detailed description of participant numbers at each time point during the trial.</w:t>
      </w:r>
      <w:r w:rsidR="00355015">
        <w:t xml:space="preserve"> </w:t>
      </w:r>
      <w:r w:rsidRPr="001C1522">
        <w:t>In addition, a table summarising the number of participants who have been lost to follow up at each stage of the trial and reasons for loss to follow up (if supplied) will be presented.</w:t>
      </w:r>
    </w:p>
    <w:p w14:paraId="197408EC" w14:textId="77777777" w:rsidR="00BB3272" w:rsidRDefault="00BB3272" w:rsidP="00BB3272"/>
    <w:p w14:paraId="3D5DEF6B" w14:textId="4FFF8721" w:rsidR="00BB3272" w:rsidRDefault="00BB3272" w:rsidP="00BB3272">
      <w:pPr>
        <w:pStyle w:val="Heading2"/>
      </w:pPr>
      <w:r>
        <w:t>Baseline Characteristics</w:t>
      </w:r>
    </w:p>
    <w:p w14:paraId="5CA11B89" w14:textId="6264FD9F" w:rsidR="002D60C6" w:rsidRDefault="002D60C6" w:rsidP="002D60C6">
      <w:r w:rsidRPr="00B64B06">
        <w:t>The demographic information and other questionnaire scores collected at baseline will be presented in a table summarised separately by study arm.</w:t>
      </w:r>
      <w:r w:rsidR="00355015">
        <w:t xml:space="preserve"> </w:t>
      </w:r>
      <w:r w:rsidRPr="00B64B06">
        <w:t>Categorical variables will be reported as counts and percentages.</w:t>
      </w:r>
      <w:r w:rsidR="00355015">
        <w:t xml:space="preserve"> </w:t>
      </w:r>
      <w:r w:rsidRPr="00B64B06">
        <w:t>Continuous variables will be summarised as means and standard deviations (SD) or medians and interquartile ranges as appropriate depending on the distribution of the data.</w:t>
      </w:r>
      <w:r w:rsidR="00355015">
        <w:t xml:space="preserve"> </w:t>
      </w:r>
      <w:r w:rsidRPr="00B64B06">
        <w:t>No statistical tests will be performed to assess baseline differences between study arms.</w:t>
      </w:r>
      <w:r w:rsidR="00355015">
        <w:t xml:space="preserve"> </w:t>
      </w:r>
      <w:r w:rsidR="00E0124B" w:rsidRPr="00E0124B">
        <w:t>In addition, all baseline outcomes (see Table 1) will be presented in a table summarised separately by study arm.</w:t>
      </w:r>
    </w:p>
    <w:p w14:paraId="0342F8F4" w14:textId="77777777" w:rsidR="002D60C6" w:rsidRPr="00B64B06" w:rsidRDefault="002D60C6" w:rsidP="002D60C6"/>
    <w:p w14:paraId="2BAA3435" w14:textId="77777777" w:rsidR="002D60C6" w:rsidRPr="00B64B06" w:rsidRDefault="002D60C6" w:rsidP="002D60C6">
      <w:r w:rsidRPr="00B64B06">
        <w:t>The following characteristics will be summarised:</w:t>
      </w:r>
    </w:p>
    <w:p w14:paraId="3BA19C23" w14:textId="6983E323" w:rsidR="002D60C6" w:rsidRPr="00B64B06" w:rsidRDefault="002D60C6" w:rsidP="000D6F0B">
      <w:pPr>
        <w:pStyle w:val="BulletParagraph"/>
      </w:pPr>
      <w:r w:rsidRPr="00B64B06">
        <w:t>age</w:t>
      </w:r>
    </w:p>
    <w:p w14:paraId="41EFBE1C" w14:textId="36DBB011" w:rsidR="002D60C6" w:rsidRPr="00B64B06" w:rsidRDefault="00C0590E" w:rsidP="000D6F0B">
      <w:pPr>
        <w:pStyle w:val="BulletParagraph"/>
      </w:pPr>
      <w:r>
        <w:t>g</w:t>
      </w:r>
      <w:r w:rsidR="002D60C6" w:rsidRPr="00B64B06">
        <w:t>ender</w:t>
      </w:r>
    </w:p>
    <w:p w14:paraId="255D1862" w14:textId="49BE4594" w:rsidR="002D60C6" w:rsidRPr="00B64B06" w:rsidRDefault="00C0590E" w:rsidP="000D6F0B">
      <w:pPr>
        <w:pStyle w:val="BulletParagraph"/>
      </w:pPr>
      <w:r>
        <w:t>e</w:t>
      </w:r>
      <w:r w:rsidR="002D60C6" w:rsidRPr="00B64B06">
        <w:t>thnicity</w:t>
      </w:r>
    </w:p>
    <w:p w14:paraId="7F7D23C4" w14:textId="020F1D13" w:rsidR="002D60C6" w:rsidRPr="00B64B06" w:rsidRDefault="00C0590E" w:rsidP="000D6F0B">
      <w:pPr>
        <w:pStyle w:val="BulletParagraph"/>
      </w:pPr>
      <w:r>
        <w:t>m</w:t>
      </w:r>
      <w:r w:rsidR="002D60C6" w:rsidRPr="00B64B06">
        <w:t>arital status</w:t>
      </w:r>
    </w:p>
    <w:p w14:paraId="7ED210EF" w14:textId="26D3074C" w:rsidR="002D60C6" w:rsidRPr="00B64B06" w:rsidRDefault="00C0590E" w:rsidP="000D6F0B">
      <w:pPr>
        <w:pStyle w:val="BulletParagraph"/>
      </w:pPr>
      <w:r>
        <w:t>l</w:t>
      </w:r>
      <w:r w:rsidR="002D60C6" w:rsidRPr="00B64B06">
        <w:t>iving arrangements</w:t>
      </w:r>
    </w:p>
    <w:p w14:paraId="5BE08F0B" w14:textId="075254F4" w:rsidR="002D60C6" w:rsidRPr="00B64B06" w:rsidRDefault="00C0590E" w:rsidP="000D6F0B">
      <w:pPr>
        <w:pStyle w:val="BulletParagraph"/>
      </w:pPr>
      <w:r>
        <w:t>e</w:t>
      </w:r>
      <w:r w:rsidR="002D60C6" w:rsidRPr="00B64B06">
        <w:t>mployment status and time since last paid employment</w:t>
      </w:r>
    </w:p>
    <w:p w14:paraId="50DC7A54" w14:textId="7E2D2A49" w:rsidR="002D60C6" w:rsidRDefault="00C0590E" w:rsidP="000D6F0B">
      <w:pPr>
        <w:pStyle w:val="BulletParagraph"/>
      </w:pPr>
      <w:r>
        <w:t>d</w:t>
      </w:r>
      <w:r w:rsidR="002D60C6" w:rsidRPr="00B64B06">
        <w:t>isease duration and severity</w:t>
      </w:r>
    </w:p>
    <w:p w14:paraId="445EE431" w14:textId="010A6256" w:rsidR="00C0590E" w:rsidRPr="00B64B06" w:rsidRDefault="00C0590E" w:rsidP="00C0590E">
      <w:pPr>
        <w:pStyle w:val="BulletParagraph"/>
      </w:pPr>
      <w:r>
        <w:t>baseline outcomes</w:t>
      </w:r>
      <w:r w:rsidRPr="00815ADA">
        <w:t xml:space="preserve"> </w:t>
      </w:r>
    </w:p>
    <w:p w14:paraId="354DC07B" w14:textId="77777777" w:rsidR="002D60C6" w:rsidRPr="00B64B06" w:rsidRDefault="002D60C6" w:rsidP="002D60C6"/>
    <w:p w14:paraId="02DE11F8" w14:textId="77777777" w:rsidR="002D60C6" w:rsidRPr="00B64B06" w:rsidRDefault="002D60C6" w:rsidP="002D60C6">
      <w:r w:rsidRPr="00B64B06">
        <w:t>Other available data will comprise:</w:t>
      </w:r>
    </w:p>
    <w:p w14:paraId="1C63FE0F" w14:textId="3E43885A" w:rsidR="002D60C6" w:rsidRPr="00B64B06" w:rsidRDefault="00C0590E" w:rsidP="000D6F0B">
      <w:pPr>
        <w:pStyle w:val="BulletParagraph"/>
      </w:pPr>
      <w:r>
        <w:t>c</w:t>
      </w:r>
      <w:r w:rsidR="002D60C6" w:rsidRPr="00B64B06">
        <w:t>entre identifier</w:t>
      </w:r>
    </w:p>
    <w:p w14:paraId="43164A50" w14:textId="14852CB1" w:rsidR="002D60C6" w:rsidRPr="00B64B06" w:rsidRDefault="00C0590E" w:rsidP="000D6F0B">
      <w:pPr>
        <w:pStyle w:val="BulletParagraph"/>
      </w:pPr>
      <w:r>
        <w:lastRenderedPageBreak/>
        <w:t>d</w:t>
      </w:r>
      <w:r w:rsidR="002D60C6" w:rsidRPr="00B64B06">
        <w:t>ates of assessments</w:t>
      </w:r>
    </w:p>
    <w:p w14:paraId="45062BB4" w14:textId="77777777" w:rsidR="002D60C6" w:rsidRPr="00B64B06" w:rsidRDefault="002D60C6" w:rsidP="002D60C6"/>
    <w:p w14:paraId="4228AAAC" w14:textId="77777777" w:rsidR="00BB3272" w:rsidRDefault="00BB3272" w:rsidP="00BB3272"/>
    <w:p w14:paraId="02C0CB46" w14:textId="77777777" w:rsidR="00BB3272" w:rsidRPr="00BB3272" w:rsidRDefault="00BB3272" w:rsidP="00BB3272"/>
    <w:p w14:paraId="55BB3D1B" w14:textId="6B2EA773" w:rsidR="007E3B09" w:rsidRDefault="007E3B09">
      <w:pPr>
        <w:autoSpaceDE/>
        <w:autoSpaceDN/>
        <w:adjustRightInd/>
        <w:spacing w:after="160" w:line="259" w:lineRule="auto"/>
        <w:jc w:val="left"/>
      </w:pPr>
      <w:r>
        <w:br w:type="page"/>
      </w:r>
    </w:p>
    <w:p w14:paraId="1CBC18BF" w14:textId="744A91D1" w:rsidR="00374AA2" w:rsidRDefault="00E76F47" w:rsidP="007E3B09">
      <w:pPr>
        <w:pStyle w:val="Heading1"/>
      </w:pPr>
      <w:bookmarkStart w:id="23" w:name="_Toc115088907"/>
      <w:r w:rsidRPr="00B64B06">
        <w:lastRenderedPageBreak/>
        <w:t>Statistical analysis plan</w:t>
      </w:r>
      <w:bookmarkEnd w:id="23"/>
    </w:p>
    <w:p w14:paraId="70C7A923" w14:textId="6E91B5EA" w:rsidR="009D7DAF" w:rsidRDefault="009D7DAF" w:rsidP="009D7DAF">
      <w:pPr>
        <w:pStyle w:val="Heading2"/>
      </w:pPr>
      <w:r>
        <w:t>Outcomes</w:t>
      </w:r>
    </w:p>
    <w:p w14:paraId="3833CD63" w14:textId="5FAEFAE3" w:rsidR="009F5067" w:rsidRDefault="009F5067" w:rsidP="009F5067">
      <w:r>
        <w:t>Below we list the outcomes that will be analysed as part of the main statistical analysis. Outcomes that will be used for the Health Economics and Process Evaluation analyses are not listed, though they appear in Table 1. In addition, the motion sensor and saliva outcomes are not listed as they will be analysed later, as part of a separate statistical analysis.</w:t>
      </w:r>
    </w:p>
    <w:p w14:paraId="6216BA0F" w14:textId="77777777" w:rsidR="009F5067" w:rsidRPr="009F5067" w:rsidRDefault="009F5067" w:rsidP="009F5067"/>
    <w:p w14:paraId="6F43EDDD" w14:textId="06941814" w:rsidR="00374AA2" w:rsidRDefault="00374AA2" w:rsidP="009D7DAF">
      <w:pPr>
        <w:pStyle w:val="Heading3"/>
      </w:pPr>
      <w:bookmarkStart w:id="24" w:name="_Toc115088908"/>
      <w:r w:rsidRPr="00B64B06">
        <w:t xml:space="preserve">Primary outcome </w:t>
      </w:r>
      <w:bookmarkEnd w:id="24"/>
    </w:p>
    <w:p w14:paraId="7FABA86B" w14:textId="4E18DA4C" w:rsidR="00790FF3" w:rsidRPr="00790FF3" w:rsidRDefault="00C7058F" w:rsidP="007E3B09">
      <w:r>
        <w:t xml:space="preserve">The primary outcome is </w:t>
      </w:r>
      <w:r w:rsidR="00790FF3" w:rsidRPr="00790FF3">
        <w:t>Parkinson’s Disease Questionnaire (PDQ-39) score at 12 months.</w:t>
      </w:r>
    </w:p>
    <w:p w14:paraId="3AAEB0BC" w14:textId="72E63E8D" w:rsidR="00F33BC6" w:rsidRPr="00B64B06" w:rsidRDefault="00F33BC6" w:rsidP="007E3B09"/>
    <w:p w14:paraId="7A94F91E" w14:textId="3776DCE8" w:rsidR="00374AA2" w:rsidRDefault="00374AA2" w:rsidP="009D7DAF">
      <w:pPr>
        <w:pStyle w:val="Heading3"/>
      </w:pPr>
      <w:bookmarkStart w:id="25" w:name="_Toc115088909"/>
      <w:r w:rsidRPr="00B64B06">
        <w:t>Secondary outcomes</w:t>
      </w:r>
      <w:bookmarkEnd w:id="25"/>
    </w:p>
    <w:p w14:paraId="745AEA44" w14:textId="4ED826E4" w:rsidR="001B1736" w:rsidRPr="001B1736" w:rsidRDefault="001B1736" w:rsidP="001B1736">
      <w:r w:rsidRPr="001B1736">
        <w:t>All secondary outcomes will be analysed at all available time-points (</w:t>
      </w:r>
      <w:r>
        <w:t>typically 6</w:t>
      </w:r>
      <w:r w:rsidRPr="001B1736">
        <w:t xml:space="preserve"> and 1</w:t>
      </w:r>
      <w:r>
        <w:t>2</w:t>
      </w:r>
      <w:r w:rsidRPr="001B1736">
        <w:t xml:space="preserve"> months, though see Table 1</w:t>
      </w:r>
      <w:r>
        <w:t xml:space="preserve"> in Section 6.1.4</w:t>
      </w:r>
      <w:r w:rsidRPr="001B1736">
        <w:t>). These outcomes are:</w:t>
      </w:r>
    </w:p>
    <w:p w14:paraId="0E7D1DE8" w14:textId="4BD1CD01" w:rsidR="001B1736" w:rsidRDefault="001B1736" w:rsidP="00837417">
      <w:pPr>
        <w:pStyle w:val="BulletParagraph"/>
      </w:pPr>
      <w:r w:rsidRPr="00790FF3">
        <w:t>Parkinson’s Disease Questionnaire (PDQ-39) score at</w:t>
      </w:r>
      <w:r>
        <w:t xml:space="preserve"> 6</w:t>
      </w:r>
      <w:r w:rsidRPr="00790FF3">
        <w:t xml:space="preserve"> months</w:t>
      </w:r>
    </w:p>
    <w:p w14:paraId="12ED7170" w14:textId="5FD877E9" w:rsidR="00790FF3" w:rsidRPr="00100995" w:rsidRDefault="00790FF3" w:rsidP="00837417">
      <w:pPr>
        <w:pStyle w:val="BulletParagraph"/>
      </w:pPr>
      <w:r w:rsidRPr="00100995">
        <w:t>Movement Disorders Society - Unified Parkinson’s Disease Rating Scale (MDS-UPDRS) Part I and II</w:t>
      </w:r>
    </w:p>
    <w:p w14:paraId="4E3F7417" w14:textId="2F1DEAD0" w:rsidR="00790FF3" w:rsidRPr="00100995" w:rsidRDefault="00790FF3" w:rsidP="00837417">
      <w:pPr>
        <w:pStyle w:val="BulletParagraph"/>
      </w:pPr>
      <w:r w:rsidRPr="00100995">
        <w:t>Off-time, MDS-UPDRS part 3 (motor), part 4 (motor-complications) and total score</w:t>
      </w:r>
    </w:p>
    <w:p w14:paraId="32953F1E" w14:textId="33F30CA0" w:rsidR="00790FF3" w:rsidRPr="00100995" w:rsidRDefault="00790FF3" w:rsidP="00837417">
      <w:pPr>
        <w:pStyle w:val="BulletParagraph"/>
      </w:pPr>
      <w:r w:rsidRPr="00100995">
        <w:t xml:space="preserve">Non-Motor Rating Scale (MDS-NMS) </w:t>
      </w:r>
    </w:p>
    <w:p w14:paraId="22A3348C" w14:textId="589B5AF8" w:rsidR="00790FF3" w:rsidRPr="00100995" w:rsidRDefault="00790FF3" w:rsidP="00837417">
      <w:pPr>
        <w:pStyle w:val="BulletParagraph"/>
      </w:pPr>
      <w:r w:rsidRPr="00100995">
        <w:t>Psychological well-being (GHQ12, 12 items)</w:t>
      </w:r>
    </w:p>
    <w:p w14:paraId="280D1DE9" w14:textId="3853DDB9" w:rsidR="00B90B96" w:rsidRDefault="006D3D34" w:rsidP="00B6353C">
      <w:pPr>
        <w:pStyle w:val="BulletParagraph"/>
      </w:pPr>
      <w:r>
        <w:t>Zarit carer burden inventory</w:t>
      </w:r>
    </w:p>
    <w:p w14:paraId="6D3CC657" w14:textId="046DC7E5" w:rsidR="006D3D34" w:rsidRDefault="006D3D34" w:rsidP="00B6353C">
      <w:pPr>
        <w:pStyle w:val="BulletParagraph"/>
      </w:pPr>
      <w:r>
        <w:t>Carer quality of life questionnaire for Parkinsonism</w:t>
      </w:r>
    </w:p>
    <w:p w14:paraId="1A99EB28" w14:textId="77777777" w:rsidR="00B6353C" w:rsidRDefault="00B6353C" w:rsidP="007E3B09"/>
    <w:p w14:paraId="10049905" w14:textId="22892950" w:rsidR="00B6353C" w:rsidRDefault="00B6353C" w:rsidP="00B6353C">
      <w:pPr>
        <w:pStyle w:val="Heading3"/>
      </w:pPr>
      <w:r>
        <w:t>Safety</w:t>
      </w:r>
      <w:r w:rsidRPr="00B64B06">
        <w:t xml:space="preserve"> outcomes</w:t>
      </w:r>
    </w:p>
    <w:p w14:paraId="7E2AE49C" w14:textId="016B6FDB" w:rsidR="00071C1F" w:rsidRDefault="00071C1F" w:rsidP="00837417">
      <w:pPr>
        <w:pStyle w:val="BulletParagraph"/>
      </w:pPr>
      <w:r>
        <w:t>Serious Adverse Events / Adverse Events</w:t>
      </w:r>
    </w:p>
    <w:p w14:paraId="1AAE5668" w14:textId="4969E2B4" w:rsidR="00837417" w:rsidRPr="00100995" w:rsidRDefault="00F425C7" w:rsidP="00837417">
      <w:pPr>
        <w:pStyle w:val="BulletParagraph"/>
      </w:pPr>
      <w:r>
        <w:t>D</w:t>
      </w:r>
      <w:r w:rsidR="00837417">
        <w:t>eaths</w:t>
      </w:r>
    </w:p>
    <w:p w14:paraId="5F541120" w14:textId="77777777" w:rsidR="00B6353C" w:rsidRDefault="00B6353C" w:rsidP="007E3B09"/>
    <w:p w14:paraId="30892B8F" w14:textId="25A661FB" w:rsidR="00F425C7" w:rsidRDefault="00F425C7">
      <w:pPr>
        <w:autoSpaceDE/>
        <w:autoSpaceDN/>
        <w:adjustRightInd/>
        <w:spacing w:after="160" w:line="259" w:lineRule="auto"/>
        <w:jc w:val="left"/>
      </w:pPr>
      <w:r>
        <w:br w:type="page"/>
      </w:r>
    </w:p>
    <w:p w14:paraId="587A2F70" w14:textId="527B5BE5" w:rsidR="008B4415" w:rsidRDefault="00E41259" w:rsidP="009D7DAF">
      <w:pPr>
        <w:pStyle w:val="Heading3"/>
      </w:pPr>
      <w:r>
        <w:lastRenderedPageBreak/>
        <w:t>Timing of outcomes</w:t>
      </w:r>
    </w:p>
    <w:p w14:paraId="0823E210" w14:textId="2936584E" w:rsidR="009D7DAF" w:rsidRDefault="009D7DAF" w:rsidP="009D7DAF">
      <w:bookmarkStart w:id="26" w:name="_Toc115088911"/>
      <w:r>
        <w:t>Table 1 provides an overview of primary and secondary outcomes and the time points at which they will be collected.</w:t>
      </w:r>
      <w:r w:rsidR="00D13364">
        <w:t xml:space="preserve"> This analysis will only describe the analysis of those outcomes listed under ‘Statistical Outcomes’.</w:t>
      </w:r>
    </w:p>
    <w:p w14:paraId="63A427AC" w14:textId="77777777" w:rsidR="009D7DAF" w:rsidRDefault="009D7DAF" w:rsidP="009D7DAF"/>
    <w:p w14:paraId="2B92E39A" w14:textId="4F7C03CB" w:rsidR="009D7DAF" w:rsidRPr="00DA168E" w:rsidRDefault="009D7DAF" w:rsidP="009D7DAF">
      <w:r w:rsidRPr="009D7DAF">
        <w:rPr>
          <w:u w:val="single"/>
        </w:rPr>
        <w:t>Table 1</w:t>
      </w:r>
      <w:r>
        <w:t>: Data collection measures and time points</w:t>
      </w:r>
      <w:r w:rsidR="0036770A">
        <w:t xml:space="preserve"> (from Table 1 in the Protocol)</w:t>
      </w:r>
      <w:r>
        <w:t>.</w:t>
      </w:r>
    </w:p>
    <w:bookmarkEnd w:id="26"/>
    <w:p w14:paraId="2D1EFD06" w14:textId="77777777" w:rsidR="009D7DAF" w:rsidRPr="009D7DAF" w:rsidRDefault="009D7DAF" w:rsidP="009D7DAF"/>
    <w:tbl>
      <w:tblPr>
        <w:tblW w:w="9075" w:type="dxa"/>
        <w:tblCellSpacing w:w="11" w:type="dxa"/>
        <w:tblBorders>
          <w:insideH w:val="single" w:sz="4" w:space="0" w:color="auto"/>
          <w:insideV w:val="single" w:sz="4" w:space="0" w:color="auto"/>
        </w:tblBorders>
        <w:tblLayout w:type="fixed"/>
        <w:tblLook w:val="01E0" w:firstRow="1" w:lastRow="1" w:firstColumn="1" w:lastColumn="1" w:noHBand="0" w:noVBand="0"/>
      </w:tblPr>
      <w:tblGrid>
        <w:gridCol w:w="5103"/>
        <w:gridCol w:w="1324"/>
        <w:gridCol w:w="1324"/>
        <w:gridCol w:w="1324"/>
      </w:tblGrid>
      <w:tr w:rsidR="00831C94" w:rsidRPr="00831C94" w14:paraId="21329534" w14:textId="77777777" w:rsidTr="00831C94">
        <w:trPr>
          <w:trHeight w:val="397"/>
          <w:tblCellSpacing w:w="11" w:type="dxa"/>
        </w:trPr>
        <w:tc>
          <w:tcPr>
            <w:tcW w:w="5070" w:type="dxa"/>
            <w:tcBorders>
              <w:top w:val="nil"/>
              <w:left w:val="nil"/>
              <w:bottom w:val="single" w:sz="4" w:space="0" w:color="auto"/>
              <w:right w:val="single" w:sz="4" w:space="0" w:color="auto"/>
            </w:tcBorders>
            <w:shd w:val="clear" w:color="auto" w:fill="F2F2F2" w:themeFill="background1" w:themeFillShade="F2"/>
            <w:vAlign w:val="center"/>
          </w:tcPr>
          <w:p w14:paraId="2EAB760A" w14:textId="0B2B4032" w:rsidR="008B4415" w:rsidRPr="00831C94" w:rsidRDefault="008B4415" w:rsidP="00831C94">
            <w:pPr>
              <w:jc w:val="center"/>
              <w:rPr>
                <w:sz w:val="22"/>
                <w:szCs w:val="22"/>
                <w:lang w:val="en-US"/>
              </w:rPr>
            </w:pPr>
          </w:p>
        </w:tc>
        <w:tc>
          <w:tcPr>
            <w:tcW w:w="130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2DC2D96" w14:textId="6F3D7743" w:rsidR="008B4415" w:rsidRPr="00831C94" w:rsidRDefault="008B4415" w:rsidP="00831C94">
            <w:pPr>
              <w:jc w:val="center"/>
              <w:rPr>
                <w:color w:val="FF0000"/>
                <w:sz w:val="22"/>
                <w:szCs w:val="22"/>
                <w:lang w:val="en-US"/>
              </w:rPr>
            </w:pPr>
            <w:r w:rsidRPr="00831C94">
              <w:rPr>
                <w:sz w:val="22"/>
                <w:szCs w:val="22"/>
                <w:lang w:val="en-US"/>
              </w:rPr>
              <w:t>Baseline</w:t>
            </w:r>
          </w:p>
        </w:tc>
        <w:tc>
          <w:tcPr>
            <w:tcW w:w="130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3CD7FB3" w14:textId="24152840" w:rsidR="008B4415" w:rsidRPr="00831C94" w:rsidRDefault="008B4415" w:rsidP="00831C94">
            <w:pPr>
              <w:jc w:val="center"/>
              <w:rPr>
                <w:bCs/>
                <w:sz w:val="22"/>
                <w:szCs w:val="22"/>
                <w:lang w:val="en-US"/>
              </w:rPr>
            </w:pPr>
            <w:r w:rsidRPr="00831C94">
              <w:rPr>
                <w:sz w:val="22"/>
                <w:szCs w:val="22"/>
              </w:rPr>
              <w:t>6 months</w:t>
            </w:r>
          </w:p>
        </w:tc>
        <w:tc>
          <w:tcPr>
            <w:tcW w:w="1291" w:type="dxa"/>
            <w:tcBorders>
              <w:top w:val="single" w:sz="4" w:space="0" w:color="auto"/>
              <w:left w:val="single" w:sz="4" w:space="0" w:color="auto"/>
              <w:bottom w:val="single" w:sz="4" w:space="0" w:color="auto"/>
              <w:right w:val="nil"/>
            </w:tcBorders>
            <w:shd w:val="clear" w:color="auto" w:fill="D9D9D9"/>
            <w:vAlign w:val="center"/>
            <w:hideMark/>
          </w:tcPr>
          <w:p w14:paraId="0DA8D651" w14:textId="77777777" w:rsidR="008B4415" w:rsidRPr="00831C94" w:rsidRDefault="008B4415" w:rsidP="00831C94">
            <w:pPr>
              <w:jc w:val="center"/>
              <w:rPr>
                <w:bCs/>
                <w:sz w:val="22"/>
                <w:szCs w:val="22"/>
                <w:lang w:val="en-US"/>
              </w:rPr>
            </w:pPr>
            <w:r w:rsidRPr="00831C94">
              <w:rPr>
                <w:sz w:val="22"/>
                <w:szCs w:val="22"/>
              </w:rPr>
              <w:t>12 months</w:t>
            </w:r>
          </w:p>
        </w:tc>
      </w:tr>
      <w:tr w:rsidR="008B4415" w:rsidRPr="00831C94" w14:paraId="4DC8610C" w14:textId="77777777" w:rsidTr="00831C94">
        <w:trPr>
          <w:trHeight w:val="397"/>
          <w:tblCellSpacing w:w="11" w:type="dxa"/>
        </w:trPr>
        <w:tc>
          <w:tcPr>
            <w:tcW w:w="9031" w:type="dxa"/>
            <w:gridSpan w:val="4"/>
            <w:tcBorders>
              <w:top w:val="single" w:sz="4" w:space="0" w:color="auto"/>
              <w:left w:val="nil"/>
              <w:bottom w:val="single" w:sz="4" w:space="0" w:color="auto"/>
              <w:right w:val="nil"/>
            </w:tcBorders>
            <w:shd w:val="clear" w:color="auto" w:fill="D9D9D9" w:themeFill="background1" w:themeFillShade="D9"/>
            <w:vAlign w:val="center"/>
            <w:hideMark/>
          </w:tcPr>
          <w:p w14:paraId="5F15436C" w14:textId="77777777" w:rsidR="008B4415" w:rsidRPr="00831C94" w:rsidRDefault="008B4415" w:rsidP="000B0207">
            <w:pPr>
              <w:jc w:val="center"/>
              <w:rPr>
                <w:sz w:val="22"/>
                <w:szCs w:val="22"/>
                <w:highlight w:val="lightGray"/>
                <w:lang w:val="en-US"/>
              </w:rPr>
            </w:pPr>
            <w:r w:rsidRPr="00831C94">
              <w:rPr>
                <w:sz w:val="22"/>
                <w:szCs w:val="22"/>
                <w:lang w:val="en-US"/>
              </w:rPr>
              <w:t>People with PD</w:t>
            </w:r>
          </w:p>
        </w:tc>
      </w:tr>
      <w:tr w:rsidR="00831C94" w:rsidRPr="00831C94" w14:paraId="2FCE1B7B" w14:textId="77777777" w:rsidTr="00831C94">
        <w:trPr>
          <w:trHeight w:val="397"/>
          <w:tblCellSpacing w:w="11" w:type="dxa"/>
        </w:trPr>
        <w:tc>
          <w:tcPr>
            <w:tcW w:w="5070" w:type="dxa"/>
            <w:tcBorders>
              <w:top w:val="single" w:sz="4" w:space="0" w:color="auto"/>
              <w:left w:val="nil"/>
              <w:bottom w:val="single" w:sz="4" w:space="0" w:color="auto"/>
              <w:right w:val="nil"/>
            </w:tcBorders>
            <w:shd w:val="clear" w:color="auto" w:fill="FFFFFF" w:themeFill="background1"/>
            <w:vAlign w:val="center"/>
          </w:tcPr>
          <w:p w14:paraId="6DF1EF39" w14:textId="74A0C9C5" w:rsidR="00322675" w:rsidRPr="00831C94" w:rsidRDefault="00322675" w:rsidP="008834DF">
            <w:pPr>
              <w:ind w:left="291" w:hanging="284"/>
              <w:jc w:val="left"/>
              <w:rPr>
                <w:i/>
                <w:iCs/>
                <w:sz w:val="22"/>
                <w:szCs w:val="22"/>
              </w:rPr>
            </w:pPr>
            <w:r w:rsidRPr="00831C94">
              <w:rPr>
                <w:i/>
                <w:iCs/>
                <w:sz w:val="22"/>
                <w:szCs w:val="22"/>
              </w:rPr>
              <w:t>Statistical Outcomes</w:t>
            </w:r>
          </w:p>
        </w:tc>
        <w:tc>
          <w:tcPr>
            <w:tcW w:w="1302" w:type="dxa"/>
            <w:tcBorders>
              <w:top w:val="single" w:sz="4" w:space="0" w:color="auto"/>
              <w:left w:val="nil"/>
              <w:bottom w:val="single" w:sz="4" w:space="0" w:color="auto"/>
              <w:right w:val="nil"/>
            </w:tcBorders>
            <w:shd w:val="clear" w:color="auto" w:fill="FFFFFF" w:themeFill="background1"/>
            <w:vAlign w:val="center"/>
          </w:tcPr>
          <w:p w14:paraId="75735660" w14:textId="77777777" w:rsidR="00322675" w:rsidRPr="00831C94" w:rsidRDefault="00322675" w:rsidP="000B0207">
            <w:pPr>
              <w:jc w:val="center"/>
              <w:rPr>
                <w:i/>
                <w:iCs/>
                <w:sz w:val="22"/>
                <w:szCs w:val="22"/>
                <w:lang w:val="en-US"/>
              </w:rPr>
            </w:pPr>
          </w:p>
        </w:tc>
        <w:tc>
          <w:tcPr>
            <w:tcW w:w="1302" w:type="dxa"/>
            <w:tcBorders>
              <w:top w:val="single" w:sz="4" w:space="0" w:color="auto"/>
              <w:left w:val="nil"/>
              <w:bottom w:val="single" w:sz="4" w:space="0" w:color="auto"/>
              <w:right w:val="nil"/>
            </w:tcBorders>
            <w:shd w:val="clear" w:color="auto" w:fill="FFFFFF" w:themeFill="background1"/>
            <w:vAlign w:val="center"/>
          </w:tcPr>
          <w:p w14:paraId="64C5A26D" w14:textId="77777777" w:rsidR="00322675" w:rsidRPr="00831C94" w:rsidRDefault="00322675" w:rsidP="000B0207">
            <w:pPr>
              <w:jc w:val="center"/>
              <w:rPr>
                <w:i/>
                <w:iCs/>
                <w:sz w:val="22"/>
                <w:szCs w:val="22"/>
                <w:lang w:val="en-US"/>
              </w:rPr>
            </w:pPr>
          </w:p>
        </w:tc>
        <w:tc>
          <w:tcPr>
            <w:tcW w:w="1291" w:type="dxa"/>
            <w:tcBorders>
              <w:top w:val="single" w:sz="4" w:space="0" w:color="auto"/>
              <w:left w:val="nil"/>
              <w:bottom w:val="single" w:sz="4" w:space="0" w:color="auto"/>
              <w:right w:val="nil"/>
            </w:tcBorders>
            <w:shd w:val="clear" w:color="auto" w:fill="FFFFFF" w:themeFill="background1"/>
            <w:vAlign w:val="center"/>
          </w:tcPr>
          <w:p w14:paraId="0CF50BB0" w14:textId="77777777" w:rsidR="00322675" w:rsidRPr="00831C94" w:rsidRDefault="00322675" w:rsidP="000B0207">
            <w:pPr>
              <w:jc w:val="center"/>
              <w:rPr>
                <w:i/>
                <w:iCs/>
                <w:sz w:val="22"/>
                <w:szCs w:val="22"/>
                <w:lang w:val="en-US"/>
              </w:rPr>
            </w:pPr>
          </w:p>
        </w:tc>
      </w:tr>
      <w:tr w:rsidR="00322675" w:rsidRPr="00831C94" w14:paraId="323EC49B" w14:textId="77777777" w:rsidTr="00831C94">
        <w:trPr>
          <w:trHeight w:val="397"/>
          <w:tblCellSpacing w:w="11" w:type="dxa"/>
        </w:trPr>
        <w:tc>
          <w:tcPr>
            <w:tcW w:w="5070" w:type="dxa"/>
            <w:tcBorders>
              <w:top w:val="nil"/>
              <w:left w:val="nil"/>
              <w:bottom w:val="nil"/>
              <w:right w:val="nil"/>
            </w:tcBorders>
            <w:vAlign w:val="center"/>
          </w:tcPr>
          <w:p w14:paraId="7A15C373" w14:textId="2664B3A1" w:rsidR="00322675" w:rsidRPr="00831C94" w:rsidRDefault="00322675" w:rsidP="008834DF">
            <w:pPr>
              <w:ind w:left="291" w:hanging="284"/>
              <w:jc w:val="left"/>
              <w:rPr>
                <w:sz w:val="22"/>
                <w:szCs w:val="22"/>
              </w:rPr>
            </w:pPr>
            <w:r w:rsidRPr="00831C94">
              <w:rPr>
                <w:sz w:val="22"/>
                <w:szCs w:val="22"/>
              </w:rPr>
              <w:t xml:space="preserve">PDQ-39 </w:t>
            </w:r>
          </w:p>
        </w:tc>
        <w:tc>
          <w:tcPr>
            <w:tcW w:w="1302" w:type="dxa"/>
            <w:tcBorders>
              <w:top w:val="nil"/>
              <w:left w:val="nil"/>
              <w:bottom w:val="nil"/>
              <w:right w:val="nil"/>
            </w:tcBorders>
            <w:vAlign w:val="center"/>
            <w:hideMark/>
          </w:tcPr>
          <w:p w14:paraId="2FF800A0" w14:textId="77777777" w:rsidR="00322675" w:rsidRPr="00831C94" w:rsidRDefault="00322675" w:rsidP="0039536D">
            <w:pPr>
              <w:jc w:val="center"/>
              <w:rPr>
                <w:sz w:val="22"/>
                <w:szCs w:val="22"/>
                <w:lang w:val="en-US"/>
              </w:rPr>
            </w:pPr>
            <w:r w:rsidRPr="00831C94">
              <w:rPr>
                <w:sz w:val="22"/>
                <w:szCs w:val="22"/>
                <w:lang w:val="en-US"/>
              </w:rPr>
              <w:t>X</w:t>
            </w:r>
          </w:p>
        </w:tc>
        <w:tc>
          <w:tcPr>
            <w:tcW w:w="1302" w:type="dxa"/>
            <w:tcBorders>
              <w:top w:val="nil"/>
              <w:left w:val="nil"/>
              <w:bottom w:val="nil"/>
              <w:right w:val="nil"/>
            </w:tcBorders>
            <w:vAlign w:val="center"/>
            <w:hideMark/>
          </w:tcPr>
          <w:p w14:paraId="583CB8B0" w14:textId="77777777" w:rsidR="00322675" w:rsidRPr="00831C94" w:rsidRDefault="00322675" w:rsidP="0039536D">
            <w:pPr>
              <w:jc w:val="center"/>
              <w:rPr>
                <w:sz w:val="22"/>
                <w:szCs w:val="22"/>
                <w:lang w:val="en-US"/>
              </w:rPr>
            </w:pPr>
            <w:r w:rsidRPr="00831C94">
              <w:rPr>
                <w:sz w:val="22"/>
                <w:szCs w:val="22"/>
                <w:lang w:val="en-US"/>
              </w:rPr>
              <w:t>X</w:t>
            </w:r>
          </w:p>
        </w:tc>
        <w:tc>
          <w:tcPr>
            <w:tcW w:w="1291" w:type="dxa"/>
            <w:tcBorders>
              <w:top w:val="nil"/>
              <w:left w:val="nil"/>
              <w:bottom w:val="nil"/>
              <w:right w:val="nil"/>
            </w:tcBorders>
            <w:vAlign w:val="center"/>
            <w:hideMark/>
          </w:tcPr>
          <w:p w14:paraId="2C862B7A" w14:textId="77777777" w:rsidR="00322675" w:rsidRPr="00831C94" w:rsidRDefault="00322675" w:rsidP="0039536D">
            <w:pPr>
              <w:jc w:val="center"/>
              <w:rPr>
                <w:sz w:val="22"/>
                <w:szCs w:val="22"/>
                <w:lang w:val="en-US"/>
              </w:rPr>
            </w:pPr>
            <w:r w:rsidRPr="00831C94">
              <w:rPr>
                <w:sz w:val="22"/>
                <w:szCs w:val="22"/>
                <w:lang w:val="en-US"/>
              </w:rPr>
              <w:t>X</w:t>
            </w:r>
          </w:p>
        </w:tc>
      </w:tr>
      <w:tr w:rsidR="008B4415" w:rsidRPr="00831C94" w14:paraId="435A766E" w14:textId="77777777" w:rsidTr="00831C94">
        <w:trPr>
          <w:trHeight w:val="397"/>
          <w:tblCellSpacing w:w="11" w:type="dxa"/>
        </w:trPr>
        <w:tc>
          <w:tcPr>
            <w:tcW w:w="5070" w:type="dxa"/>
            <w:tcBorders>
              <w:top w:val="nil"/>
              <w:left w:val="nil"/>
              <w:bottom w:val="nil"/>
              <w:right w:val="nil"/>
            </w:tcBorders>
            <w:vAlign w:val="center"/>
          </w:tcPr>
          <w:p w14:paraId="483854B7" w14:textId="004BEA7A" w:rsidR="008B4415" w:rsidRPr="00831C94" w:rsidRDefault="008B4415" w:rsidP="008834DF">
            <w:pPr>
              <w:ind w:left="291" w:hanging="284"/>
              <w:jc w:val="left"/>
              <w:rPr>
                <w:spacing w:val="-4"/>
                <w:sz w:val="22"/>
                <w:szCs w:val="22"/>
              </w:rPr>
            </w:pPr>
            <w:r w:rsidRPr="00831C94">
              <w:rPr>
                <w:spacing w:val="-3"/>
                <w:sz w:val="22"/>
                <w:szCs w:val="22"/>
              </w:rPr>
              <w:t xml:space="preserve">Montreal </w:t>
            </w:r>
            <w:r w:rsidRPr="00831C94">
              <w:rPr>
                <w:sz w:val="22"/>
                <w:szCs w:val="22"/>
              </w:rPr>
              <w:t>Cognitive Assessment</w:t>
            </w:r>
            <w:r w:rsidR="00A824CC" w:rsidRPr="00831C94">
              <w:rPr>
                <w:sz w:val="22"/>
                <w:szCs w:val="22"/>
              </w:rPr>
              <w:t xml:space="preserve"> </w:t>
            </w:r>
            <w:r w:rsidRPr="00831C94">
              <w:rPr>
                <w:sz w:val="22"/>
                <w:szCs w:val="22"/>
              </w:rPr>
              <w:t xml:space="preserve">test (MoCA) </w:t>
            </w:r>
          </w:p>
        </w:tc>
        <w:tc>
          <w:tcPr>
            <w:tcW w:w="1302" w:type="dxa"/>
            <w:tcBorders>
              <w:top w:val="nil"/>
              <w:left w:val="nil"/>
              <w:bottom w:val="nil"/>
              <w:right w:val="nil"/>
            </w:tcBorders>
            <w:vAlign w:val="center"/>
            <w:hideMark/>
          </w:tcPr>
          <w:p w14:paraId="3416DEB3" w14:textId="77777777" w:rsidR="008B4415" w:rsidRPr="00831C94" w:rsidRDefault="008B4415" w:rsidP="000B0207">
            <w:pPr>
              <w:jc w:val="center"/>
              <w:rPr>
                <w:sz w:val="22"/>
                <w:szCs w:val="22"/>
                <w:lang w:val="en-US"/>
              </w:rPr>
            </w:pPr>
            <w:r w:rsidRPr="00831C94">
              <w:rPr>
                <w:sz w:val="22"/>
                <w:szCs w:val="22"/>
                <w:lang w:val="en-US"/>
              </w:rPr>
              <w:t>X</w:t>
            </w:r>
          </w:p>
        </w:tc>
        <w:tc>
          <w:tcPr>
            <w:tcW w:w="1302" w:type="dxa"/>
            <w:tcBorders>
              <w:top w:val="nil"/>
              <w:left w:val="nil"/>
              <w:bottom w:val="nil"/>
              <w:right w:val="nil"/>
            </w:tcBorders>
            <w:vAlign w:val="center"/>
          </w:tcPr>
          <w:p w14:paraId="6C6A5A48" w14:textId="77777777" w:rsidR="008B4415" w:rsidRPr="00831C94" w:rsidRDefault="008B4415" w:rsidP="000B0207">
            <w:pPr>
              <w:jc w:val="center"/>
              <w:rPr>
                <w:sz w:val="22"/>
                <w:szCs w:val="22"/>
                <w:lang w:val="en-US"/>
              </w:rPr>
            </w:pPr>
          </w:p>
        </w:tc>
        <w:tc>
          <w:tcPr>
            <w:tcW w:w="1291" w:type="dxa"/>
            <w:tcBorders>
              <w:top w:val="nil"/>
              <w:left w:val="nil"/>
              <w:bottom w:val="nil"/>
              <w:right w:val="nil"/>
            </w:tcBorders>
            <w:vAlign w:val="center"/>
            <w:hideMark/>
          </w:tcPr>
          <w:p w14:paraId="47167384" w14:textId="77777777" w:rsidR="008B4415" w:rsidRPr="00831C94" w:rsidRDefault="008B4415" w:rsidP="000B0207">
            <w:pPr>
              <w:jc w:val="center"/>
              <w:rPr>
                <w:sz w:val="22"/>
                <w:szCs w:val="22"/>
                <w:lang w:val="en-US"/>
              </w:rPr>
            </w:pPr>
            <w:r w:rsidRPr="00831C94">
              <w:rPr>
                <w:sz w:val="22"/>
                <w:szCs w:val="22"/>
                <w:lang w:val="en-US"/>
              </w:rPr>
              <w:t>X</w:t>
            </w:r>
          </w:p>
        </w:tc>
      </w:tr>
      <w:tr w:rsidR="008B4415" w:rsidRPr="00831C94" w14:paraId="789BF6CF" w14:textId="77777777" w:rsidTr="00831C94">
        <w:trPr>
          <w:trHeight w:val="397"/>
          <w:tblCellSpacing w:w="11" w:type="dxa"/>
        </w:trPr>
        <w:tc>
          <w:tcPr>
            <w:tcW w:w="5070" w:type="dxa"/>
            <w:tcBorders>
              <w:top w:val="nil"/>
              <w:left w:val="nil"/>
              <w:bottom w:val="nil"/>
              <w:right w:val="nil"/>
            </w:tcBorders>
            <w:vAlign w:val="center"/>
          </w:tcPr>
          <w:p w14:paraId="06B7E54C" w14:textId="46052794" w:rsidR="008B4415" w:rsidRPr="00831C94" w:rsidRDefault="008B4415" w:rsidP="008834DF">
            <w:pPr>
              <w:ind w:left="291" w:hanging="284"/>
              <w:jc w:val="left"/>
              <w:rPr>
                <w:sz w:val="22"/>
                <w:szCs w:val="22"/>
              </w:rPr>
            </w:pPr>
            <w:r w:rsidRPr="00831C94">
              <w:rPr>
                <w:sz w:val="22"/>
                <w:szCs w:val="22"/>
              </w:rPr>
              <w:t>Unified Parkinson’s Disease Rating Scale (MDS-UPDRS)</w:t>
            </w:r>
          </w:p>
        </w:tc>
        <w:tc>
          <w:tcPr>
            <w:tcW w:w="1302" w:type="dxa"/>
            <w:tcBorders>
              <w:top w:val="nil"/>
              <w:left w:val="nil"/>
              <w:bottom w:val="nil"/>
              <w:right w:val="nil"/>
            </w:tcBorders>
            <w:vAlign w:val="center"/>
            <w:hideMark/>
          </w:tcPr>
          <w:p w14:paraId="57E43760" w14:textId="77777777" w:rsidR="008B4415" w:rsidRPr="00831C94" w:rsidRDefault="008B4415" w:rsidP="000B0207">
            <w:pPr>
              <w:jc w:val="center"/>
              <w:rPr>
                <w:sz w:val="22"/>
                <w:szCs w:val="22"/>
                <w:lang w:val="en-US"/>
              </w:rPr>
            </w:pPr>
            <w:r w:rsidRPr="00831C94">
              <w:rPr>
                <w:sz w:val="22"/>
                <w:szCs w:val="22"/>
                <w:lang w:val="en-US"/>
              </w:rPr>
              <w:t>X</w:t>
            </w:r>
          </w:p>
        </w:tc>
        <w:tc>
          <w:tcPr>
            <w:tcW w:w="1302" w:type="dxa"/>
            <w:tcBorders>
              <w:top w:val="nil"/>
              <w:left w:val="nil"/>
              <w:bottom w:val="nil"/>
              <w:right w:val="nil"/>
            </w:tcBorders>
            <w:vAlign w:val="center"/>
            <w:hideMark/>
          </w:tcPr>
          <w:p w14:paraId="692D4280" w14:textId="77777777" w:rsidR="008B4415" w:rsidRPr="00831C94" w:rsidRDefault="008B4415" w:rsidP="000B0207">
            <w:pPr>
              <w:jc w:val="center"/>
              <w:rPr>
                <w:sz w:val="22"/>
                <w:szCs w:val="22"/>
                <w:lang w:val="en-US"/>
              </w:rPr>
            </w:pPr>
            <w:r w:rsidRPr="00831C94">
              <w:rPr>
                <w:sz w:val="22"/>
                <w:szCs w:val="22"/>
                <w:lang w:val="en-US"/>
              </w:rPr>
              <w:t>X</w:t>
            </w:r>
          </w:p>
        </w:tc>
        <w:tc>
          <w:tcPr>
            <w:tcW w:w="1291" w:type="dxa"/>
            <w:tcBorders>
              <w:top w:val="nil"/>
              <w:left w:val="nil"/>
              <w:bottom w:val="nil"/>
              <w:right w:val="nil"/>
            </w:tcBorders>
            <w:vAlign w:val="center"/>
            <w:hideMark/>
          </w:tcPr>
          <w:p w14:paraId="085D2688" w14:textId="77777777" w:rsidR="008B4415" w:rsidRPr="00831C94" w:rsidRDefault="008B4415" w:rsidP="000B0207">
            <w:pPr>
              <w:jc w:val="center"/>
              <w:rPr>
                <w:sz w:val="22"/>
                <w:szCs w:val="22"/>
                <w:lang w:val="en-US"/>
              </w:rPr>
            </w:pPr>
            <w:r w:rsidRPr="00831C94">
              <w:rPr>
                <w:sz w:val="22"/>
                <w:szCs w:val="22"/>
                <w:lang w:val="en-US"/>
              </w:rPr>
              <w:t>X</w:t>
            </w:r>
          </w:p>
        </w:tc>
      </w:tr>
      <w:tr w:rsidR="008B4415" w:rsidRPr="00831C94" w14:paraId="52287D58" w14:textId="77777777" w:rsidTr="00831C94">
        <w:trPr>
          <w:trHeight w:val="397"/>
          <w:tblCellSpacing w:w="11" w:type="dxa"/>
        </w:trPr>
        <w:tc>
          <w:tcPr>
            <w:tcW w:w="5070" w:type="dxa"/>
            <w:tcBorders>
              <w:top w:val="nil"/>
              <w:left w:val="nil"/>
              <w:bottom w:val="nil"/>
              <w:right w:val="nil"/>
            </w:tcBorders>
            <w:vAlign w:val="center"/>
            <w:hideMark/>
          </w:tcPr>
          <w:p w14:paraId="12586760" w14:textId="03387EEC" w:rsidR="008B4415" w:rsidRPr="00831C94" w:rsidRDefault="008B4415" w:rsidP="008834DF">
            <w:pPr>
              <w:ind w:left="291" w:hanging="284"/>
              <w:jc w:val="left"/>
              <w:rPr>
                <w:color w:val="FF0000"/>
                <w:sz w:val="22"/>
                <w:szCs w:val="22"/>
                <w:lang w:val="en-US"/>
              </w:rPr>
            </w:pPr>
            <w:r w:rsidRPr="00831C94">
              <w:rPr>
                <w:sz w:val="22"/>
                <w:szCs w:val="22"/>
              </w:rPr>
              <w:t>Non-Motor Rating Scale</w:t>
            </w:r>
            <w:r w:rsidR="00A824CC" w:rsidRPr="00831C94">
              <w:rPr>
                <w:sz w:val="22"/>
                <w:szCs w:val="22"/>
              </w:rPr>
              <w:t xml:space="preserve"> </w:t>
            </w:r>
            <w:r w:rsidRPr="00831C94">
              <w:rPr>
                <w:bCs/>
                <w:sz w:val="22"/>
                <w:szCs w:val="22"/>
              </w:rPr>
              <w:t>(MDS-NMS)</w:t>
            </w:r>
            <w:r w:rsidRPr="00831C94">
              <w:rPr>
                <w:sz w:val="22"/>
                <w:szCs w:val="22"/>
              </w:rPr>
              <w:t xml:space="preserve"> </w:t>
            </w:r>
          </w:p>
        </w:tc>
        <w:tc>
          <w:tcPr>
            <w:tcW w:w="1302" w:type="dxa"/>
            <w:tcBorders>
              <w:top w:val="nil"/>
              <w:left w:val="nil"/>
              <w:bottom w:val="nil"/>
              <w:right w:val="nil"/>
            </w:tcBorders>
            <w:vAlign w:val="center"/>
            <w:hideMark/>
          </w:tcPr>
          <w:p w14:paraId="6482913C" w14:textId="77777777" w:rsidR="008B4415" w:rsidRPr="00831C94" w:rsidRDefault="008B4415" w:rsidP="000B0207">
            <w:pPr>
              <w:jc w:val="center"/>
              <w:rPr>
                <w:sz w:val="22"/>
                <w:szCs w:val="22"/>
                <w:lang w:val="en-US"/>
              </w:rPr>
            </w:pPr>
            <w:r w:rsidRPr="00831C94">
              <w:rPr>
                <w:sz w:val="22"/>
                <w:szCs w:val="22"/>
                <w:lang w:val="en-US"/>
              </w:rPr>
              <w:t>X</w:t>
            </w:r>
          </w:p>
        </w:tc>
        <w:tc>
          <w:tcPr>
            <w:tcW w:w="1302" w:type="dxa"/>
            <w:tcBorders>
              <w:top w:val="nil"/>
              <w:left w:val="nil"/>
              <w:bottom w:val="nil"/>
              <w:right w:val="nil"/>
            </w:tcBorders>
            <w:vAlign w:val="center"/>
            <w:hideMark/>
          </w:tcPr>
          <w:p w14:paraId="000A8FF4" w14:textId="77777777" w:rsidR="008B4415" w:rsidRPr="00831C94" w:rsidRDefault="008B4415" w:rsidP="000B0207">
            <w:pPr>
              <w:jc w:val="center"/>
              <w:rPr>
                <w:sz w:val="22"/>
                <w:szCs w:val="22"/>
                <w:lang w:val="en-US"/>
              </w:rPr>
            </w:pPr>
            <w:r w:rsidRPr="00831C94">
              <w:rPr>
                <w:sz w:val="22"/>
                <w:szCs w:val="22"/>
                <w:lang w:val="en-US"/>
              </w:rPr>
              <w:t>X</w:t>
            </w:r>
          </w:p>
        </w:tc>
        <w:tc>
          <w:tcPr>
            <w:tcW w:w="1291" w:type="dxa"/>
            <w:tcBorders>
              <w:top w:val="nil"/>
              <w:left w:val="nil"/>
              <w:bottom w:val="nil"/>
              <w:right w:val="nil"/>
            </w:tcBorders>
            <w:vAlign w:val="center"/>
            <w:hideMark/>
          </w:tcPr>
          <w:p w14:paraId="30413F5C" w14:textId="77777777" w:rsidR="008B4415" w:rsidRPr="00831C94" w:rsidRDefault="008B4415" w:rsidP="000B0207">
            <w:pPr>
              <w:jc w:val="center"/>
              <w:rPr>
                <w:sz w:val="22"/>
                <w:szCs w:val="22"/>
                <w:lang w:val="en-US"/>
              </w:rPr>
            </w:pPr>
            <w:r w:rsidRPr="00831C94">
              <w:rPr>
                <w:sz w:val="22"/>
                <w:szCs w:val="22"/>
                <w:lang w:val="en-US"/>
              </w:rPr>
              <w:t>X</w:t>
            </w:r>
          </w:p>
        </w:tc>
      </w:tr>
      <w:tr w:rsidR="00322675" w:rsidRPr="00831C94" w14:paraId="5839F8B3" w14:textId="77777777" w:rsidTr="00831C94">
        <w:trPr>
          <w:trHeight w:val="397"/>
          <w:tblCellSpacing w:w="11" w:type="dxa"/>
        </w:trPr>
        <w:tc>
          <w:tcPr>
            <w:tcW w:w="5070" w:type="dxa"/>
            <w:tcBorders>
              <w:top w:val="nil"/>
              <w:left w:val="nil"/>
              <w:bottom w:val="nil"/>
              <w:right w:val="nil"/>
            </w:tcBorders>
            <w:vAlign w:val="center"/>
            <w:hideMark/>
          </w:tcPr>
          <w:p w14:paraId="215BAC77" w14:textId="43F17FFA" w:rsidR="00322675" w:rsidRPr="00831C94" w:rsidRDefault="00322675" w:rsidP="008834DF">
            <w:pPr>
              <w:ind w:left="291" w:hanging="284"/>
              <w:jc w:val="left"/>
              <w:rPr>
                <w:color w:val="FF0000"/>
                <w:sz w:val="22"/>
                <w:szCs w:val="22"/>
                <w:lang w:val="en-US"/>
              </w:rPr>
            </w:pPr>
            <w:r w:rsidRPr="00831C94">
              <w:rPr>
                <w:sz w:val="22"/>
                <w:szCs w:val="22"/>
              </w:rPr>
              <w:t>General Health Questionnaire (GHQ-12)</w:t>
            </w:r>
          </w:p>
        </w:tc>
        <w:tc>
          <w:tcPr>
            <w:tcW w:w="1302" w:type="dxa"/>
            <w:tcBorders>
              <w:top w:val="nil"/>
              <w:left w:val="nil"/>
              <w:bottom w:val="nil"/>
              <w:right w:val="nil"/>
            </w:tcBorders>
            <w:vAlign w:val="center"/>
            <w:hideMark/>
          </w:tcPr>
          <w:p w14:paraId="54F403CE" w14:textId="77777777" w:rsidR="00322675" w:rsidRPr="00831C94" w:rsidRDefault="00322675" w:rsidP="0039536D">
            <w:pPr>
              <w:jc w:val="center"/>
              <w:rPr>
                <w:sz w:val="22"/>
                <w:szCs w:val="22"/>
                <w:lang w:val="en-US"/>
              </w:rPr>
            </w:pPr>
            <w:r w:rsidRPr="00831C94">
              <w:rPr>
                <w:sz w:val="22"/>
                <w:szCs w:val="22"/>
                <w:lang w:val="en-US"/>
              </w:rPr>
              <w:t>X</w:t>
            </w:r>
          </w:p>
        </w:tc>
        <w:tc>
          <w:tcPr>
            <w:tcW w:w="1302" w:type="dxa"/>
            <w:tcBorders>
              <w:top w:val="nil"/>
              <w:left w:val="nil"/>
              <w:bottom w:val="nil"/>
              <w:right w:val="nil"/>
            </w:tcBorders>
            <w:vAlign w:val="center"/>
            <w:hideMark/>
          </w:tcPr>
          <w:p w14:paraId="3042E6FB" w14:textId="77777777" w:rsidR="00322675" w:rsidRPr="00831C94" w:rsidRDefault="00322675" w:rsidP="0039536D">
            <w:pPr>
              <w:jc w:val="center"/>
              <w:rPr>
                <w:sz w:val="22"/>
                <w:szCs w:val="22"/>
                <w:lang w:val="en-US"/>
              </w:rPr>
            </w:pPr>
            <w:r w:rsidRPr="00831C94">
              <w:rPr>
                <w:sz w:val="22"/>
                <w:szCs w:val="22"/>
                <w:lang w:val="en-US"/>
              </w:rPr>
              <w:t>X</w:t>
            </w:r>
          </w:p>
        </w:tc>
        <w:tc>
          <w:tcPr>
            <w:tcW w:w="1291" w:type="dxa"/>
            <w:tcBorders>
              <w:top w:val="nil"/>
              <w:left w:val="nil"/>
              <w:bottom w:val="nil"/>
              <w:right w:val="nil"/>
            </w:tcBorders>
            <w:vAlign w:val="center"/>
            <w:hideMark/>
          </w:tcPr>
          <w:p w14:paraId="11A3E94D" w14:textId="77777777" w:rsidR="00322675" w:rsidRPr="00831C94" w:rsidRDefault="00322675" w:rsidP="0039536D">
            <w:pPr>
              <w:jc w:val="center"/>
              <w:rPr>
                <w:sz w:val="22"/>
                <w:szCs w:val="22"/>
                <w:lang w:val="en-US"/>
              </w:rPr>
            </w:pPr>
            <w:r w:rsidRPr="00831C94">
              <w:rPr>
                <w:sz w:val="22"/>
                <w:szCs w:val="22"/>
                <w:lang w:val="en-US"/>
              </w:rPr>
              <w:t>X</w:t>
            </w:r>
          </w:p>
        </w:tc>
      </w:tr>
      <w:tr w:rsidR="00322675" w:rsidRPr="00831C94" w14:paraId="5C66943D" w14:textId="77777777" w:rsidTr="00831C94">
        <w:trPr>
          <w:trHeight w:val="397"/>
          <w:tblCellSpacing w:w="11" w:type="dxa"/>
        </w:trPr>
        <w:tc>
          <w:tcPr>
            <w:tcW w:w="5070" w:type="dxa"/>
            <w:tcBorders>
              <w:top w:val="single" w:sz="4" w:space="0" w:color="auto"/>
              <w:left w:val="nil"/>
              <w:bottom w:val="single" w:sz="4" w:space="0" w:color="auto"/>
              <w:right w:val="nil"/>
            </w:tcBorders>
            <w:vAlign w:val="center"/>
          </w:tcPr>
          <w:p w14:paraId="6D941496" w14:textId="477BE070" w:rsidR="00322675" w:rsidRPr="00831C94" w:rsidRDefault="00322675" w:rsidP="008834DF">
            <w:pPr>
              <w:ind w:left="291" w:hanging="284"/>
              <w:jc w:val="left"/>
              <w:rPr>
                <w:i/>
                <w:iCs/>
                <w:sz w:val="22"/>
                <w:szCs w:val="22"/>
              </w:rPr>
            </w:pPr>
            <w:r w:rsidRPr="00831C94">
              <w:rPr>
                <w:i/>
                <w:iCs/>
                <w:sz w:val="22"/>
                <w:szCs w:val="22"/>
              </w:rPr>
              <w:t>Health Economics Outcomes</w:t>
            </w:r>
          </w:p>
        </w:tc>
        <w:tc>
          <w:tcPr>
            <w:tcW w:w="1302" w:type="dxa"/>
            <w:tcBorders>
              <w:top w:val="single" w:sz="4" w:space="0" w:color="auto"/>
              <w:left w:val="nil"/>
              <w:bottom w:val="single" w:sz="4" w:space="0" w:color="auto"/>
              <w:right w:val="nil"/>
            </w:tcBorders>
            <w:vAlign w:val="center"/>
          </w:tcPr>
          <w:p w14:paraId="64E6C0A4" w14:textId="77777777" w:rsidR="00322675" w:rsidRPr="00831C94" w:rsidRDefault="00322675" w:rsidP="0039536D">
            <w:pPr>
              <w:jc w:val="center"/>
              <w:rPr>
                <w:i/>
                <w:iCs/>
                <w:sz w:val="22"/>
                <w:szCs w:val="22"/>
                <w:lang w:val="en-US"/>
              </w:rPr>
            </w:pPr>
          </w:p>
        </w:tc>
        <w:tc>
          <w:tcPr>
            <w:tcW w:w="1302" w:type="dxa"/>
            <w:tcBorders>
              <w:top w:val="single" w:sz="4" w:space="0" w:color="auto"/>
              <w:left w:val="nil"/>
              <w:bottom w:val="single" w:sz="4" w:space="0" w:color="auto"/>
              <w:right w:val="nil"/>
            </w:tcBorders>
            <w:vAlign w:val="center"/>
          </w:tcPr>
          <w:p w14:paraId="0379410D" w14:textId="77777777" w:rsidR="00322675" w:rsidRPr="00831C94" w:rsidRDefault="00322675" w:rsidP="0039536D">
            <w:pPr>
              <w:jc w:val="center"/>
              <w:rPr>
                <w:i/>
                <w:iCs/>
                <w:sz w:val="22"/>
                <w:szCs w:val="22"/>
                <w:lang w:val="en-US"/>
              </w:rPr>
            </w:pPr>
          </w:p>
        </w:tc>
        <w:tc>
          <w:tcPr>
            <w:tcW w:w="1291" w:type="dxa"/>
            <w:tcBorders>
              <w:top w:val="single" w:sz="4" w:space="0" w:color="auto"/>
              <w:left w:val="nil"/>
              <w:bottom w:val="single" w:sz="4" w:space="0" w:color="auto"/>
              <w:right w:val="nil"/>
            </w:tcBorders>
            <w:vAlign w:val="center"/>
          </w:tcPr>
          <w:p w14:paraId="5DC151A8" w14:textId="77777777" w:rsidR="00322675" w:rsidRPr="00831C94" w:rsidRDefault="00322675" w:rsidP="0039536D">
            <w:pPr>
              <w:jc w:val="center"/>
              <w:rPr>
                <w:i/>
                <w:iCs/>
                <w:sz w:val="22"/>
                <w:szCs w:val="22"/>
                <w:lang w:val="en-US"/>
              </w:rPr>
            </w:pPr>
          </w:p>
        </w:tc>
      </w:tr>
      <w:tr w:rsidR="008B4415" w:rsidRPr="00831C94" w14:paraId="74023D6B" w14:textId="489D5BC7" w:rsidTr="00831C94">
        <w:trPr>
          <w:trHeight w:val="397"/>
          <w:tblCellSpacing w:w="11" w:type="dxa"/>
        </w:trPr>
        <w:tc>
          <w:tcPr>
            <w:tcW w:w="5070" w:type="dxa"/>
            <w:tcBorders>
              <w:top w:val="nil"/>
              <w:left w:val="nil"/>
              <w:bottom w:val="nil"/>
              <w:right w:val="nil"/>
            </w:tcBorders>
            <w:vAlign w:val="center"/>
          </w:tcPr>
          <w:p w14:paraId="7D125DF3" w14:textId="22C77430" w:rsidR="008B4415" w:rsidRPr="00831C94" w:rsidRDefault="008B4415" w:rsidP="008834DF">
            <w:pPr>
              <w:ind w:left="291" w:hanging="284"/>
              <w:jc w:val="left"/>
              <w:rPr>
                <w:sz w:val="22"/>
                <w:szCs w:val="22"/>
              </w:rPr>
            </w:pPr>
            <w:r w:rsidRPr="00831C94">
              <w:rPr>
                <w:sz w:val="22"/>
                <w:szCs w:val="22"/>
              </w:rPr>
              <w:t>EQ-5D-5L</w:t>
            </w:r>
          </w:p>
        </w:tc>
        <w:tc>
          <w:tcPr>
            <w:tcW w:w="1302" w:type="dxa"/>
            <w:tcBorders>
              <w:top w:val="nil"/>
              <w:left w:val="nil"/>
              <w:bottom w:val="nil"/>
              <w:right w:val="nil"/>
            </w:tcBorders>
            <w:vAlign w:val="center"/>
            <w:hideMark/>
          </w:tcPr>
          <w:p w14:paraId="44AB32E1" w14:textId="573CA311" w:rsidR="008B4415" w:rsidRPr="00831C94" w:rsidRDefault="008B4415" w:rsidP="008834DF">
            <w:pPr>
              <w:jc w:val="center"/>
              <w:rPr>
                <w:sz w:val="22"/>
                <w:szCs w:val="22"/>
                <w:lang w:val="en-US"/>
              </w:rPr>
            </w:pPr>
            <w:r w:rsidRPr="00831C94">
              <w:rPr>
                <w:sz w:val="22"/>
                <w:szCs w:val="22"/>
                <w:lang w:val="en-US"/>
              </w:rPr>
              <w:t>X</w:t>
            </w:r>
          </w:p>
        </w:tc>
        <w:tc>
          <w:tcPr>
            <w:tcW w:w="1302" w:type="dxa"/>
            <w:tcBorders>
              <w:top w:val="nil"/>
              <w:left w:val="nil"/>
              <w:bottom w:val="nil"/>
              <w:right w:val="nil"/>
            </w:tcBorders>
            <w:vAlign w:val="center"/>
            <w:hideMark/>
          </w:tcPr>
          <w:p w14:paraId="76CBC876" w14:textId="1826FADA" w:rsidR="008B4415" w:rsidRPr="00831C94" w:rsidRDefault="008B4415" w:rsidP="008834DF">
            <w:pPr>
              <w:jc w:val="center"/>
              <w:rPr>
                <w:sz w:val="22"/>
                <w:szCs w:val="22"/>
                <w:lang w:val="en-US"/>
              </w:rPr>
            </w:pPr>
            <w:r w:rsidRPr="00831C94">
              <w:rPr>
                <w:sz w:val="22"/>
                <w:szCs w:val="22"/>
                <w:lang w:val="en-US"/>
              </w:rPr>
              <w:t>X</w:t>
            </w:r>
          </w:p>
        </w:tc>
        <w:tc>
          <w:tcPr>
            <w:tcW w:w="1291" w:type="dxa"/>
            <w:tcBorders>
              <w:top w:val="nil"/>
              <w:left w:val="nil"/>
              <w:bottom w:val="nil"/>
              <w:right w:val="nil"/>
            </w:tcBorders>
            <w:vAlign w:val="center"/>
            <w:hideMark/>
          </w:tcPr>
          <w:p w14:paraId="02D65833" w14:textId="7D0F2222" w:rsidR="008B4415" w:rsidRPr="00831C94" w:rsidRDefault="008B4415" w:rsidP="008834DF">
            <w:pPr>
              <w:jc w:val="center"/>
              <w:rPr>
                <w:sz w:val="22"/>
                <w:szCs w:val="22"/>
                <w:lang w:val="en-US"/>
              </w:rPr>
            </w:pPr>
            <w:r w:rsidRPr="00831C94">
              <w:rPr>
                <w:sz w:val="22"/>
                <w:szCs w:val="22"/>
                <w:lang w:val="en-US"/>
              </w:rPr>
              <w:t>X</w:t>
            </w:r>
          </w:p>
        </w:tc>
      </w:tr>
      <w:tr w:rsidR="008B4415" w:rsidRPr="00831C94" w14:paraId="74C56BB1" w14:textId="3DFB8AD3" w:rsidTr="00831C94">
        <w:trPr>
          <w:trHeight w:val="397"/>
          <w:tblCellSpacing w:w="11" w:type="dxa"/>
        </w:trPr>
        <w:tc>
          <w:tcPr>
            <w:tcW w:w="5070" w:type="dxa"/>
            <w:tcBorders>
              <w:top w:val="nil"/>
              <w:left w:val="nil"/>
              <w:bottom w:val="nil"/>
              <w:right w:val="nil"/>
            </w:tcBorders>
            <w:vAlign w:val="center"/>
          </w:tcPr>
          <w:p w14:paraId="7847130F" w14:textId="5FD2733B" w:rsidR="008B4415" w:rsidRPr="00831C94" w:rsidRDefault="008B4415" w:rsidP="008834DF">
            <w:pPr>
              <w:ind w:left="291" w:hanging="284"/>
              <w:jc w:val="left"/>
              <w:rPr>
                <w:sz w:val="22"/>
                <w:szCs w:val="22"/>
              </w:rPr>
            </w:pPr>
            <w:r w:rsidRPr="00831C94">
              <w:rPr>
                <w:spacing w:val="-3"/>
                <w:sz w:val="22"/>
                <w:szCs w:val="22"/>
              </w:rPr>
              <w:t xml:space="preserve">Client Service </w:t>
            </w:r>
            <w:r w:rsidRPr="00831C94">
              <w:rPr>
                <w:sz w:val="22"/>
                <w:szCs w:val="22"/>
              </w:rPr>
              <w:t>Receipt Inventory</w:t>
            </w:r>
            <w:r w:rsidR="00831C94">
              <w:rPr>
                <w:sz w:val="22"/>
                <w:szCs w:val="22"/>
              </w:rPr>
              <w:t xml:space="preserve"> </w:t>
            </w:r>
            <w:r w:rsidRPr="00831C94">
              <w:rPr>
                <w:sz w:val="22"/>
                <w:szCs w:val="22"/>
              </w:rPr>
              <w:t>-</w:t>
            </w:r>
            <w:r w:rsidR="00831C94">
              <w:rPr>
                <w:sz w:val="22"/>
                <w:szCs w:val="22"/>
              </w:rPr>
              <w:t xml:space="preserve"> </w:t>
            </w:r>
            <w:r w:rsidRPr="00831C94">
              <w:rPr>
                <w:sz w:val="22"/>
                <w:szCs w:val="22"/>
              </w:rPr>
              <w:t>adapted for PD</w:t>
            </w:r>
            <w:r w:rsidR="00B038EF">
              <w:rPr>
                <w:sz w:val="22"/>
                <w:szCs w:val="22"/>
              </w:rPr>
              <w:t xml:space="preserve"> (CSRI)</w:t>
            </w:r>
          </w:p>
        </w:tc>
        <w:tc>
          <w:tcPr>
            <w:tcW w:w="1302" w:type="dxa"/>
            <w:tcBorders>
              <w:top w:val="nil"/>
              <w:left w:val="nil"/>
              <w:bottom w:val="nil"/>
              <w:right w:val="nil"/>
            </w:tcBorders>
            <w:vAlign w:val="center"/>
            <w:hideMark/>
          </w:tcPr>
          <w:p w14:paraId="59B31F9B" w14:textId="7384D6A9" w:rsidR="008B4415" w:rsidRPr="00831C94" w:rsidRDefault="008B4415" w:rsidP="008834DF">
            <w:pPr>
              <w:jc w:val="center"/>
              <w:rPr>
                <w:sz w:val="22"/>
                <w:szCs w:val="22"/>
                <w:lang w:val="en-US"/>
              </w:rPr>
            </w:pPr>
            <w:r w:rsidRPr="00831C94">
              <w:rPr>
                <w:sz w:val="22"/>
                <w:szCs w:val="22"/>
                <w:lang w:val="en-US"/>
              </w:rPr>
              <w:t>X</w:t>
            </w:r>
          </w:p>
        </w:tc>
        <w:tc>
          <w:tcPr>
            <w:tcW w:w="1302" w:type="dxa"/>
            <w:tcBorders>
              <w:top w:val="nil"/>
              <w:left w:val="nil"/>
              <w:bottom w:val="nil"/>
              <w:right w:val="nil"/>
            </w:tcBorders>
            <w:vAlign w:val="center"/>
            <w:hideMark/>
          </w:tcPr>
          <w:p w14:paraId="47D07292" w14:textId="14D78CEC" w:rsidR="008B4415" w:rsidRPr="00831C94" w:rsidRDefault="008B4415" w:rsidP="008834DF">
            <w:pPr>
              <w:jc w:val="center"/>
              <w:rPr>
                <w:sz w:val="22"/>
                <w:szCs w:val="22"/>
                <w:lang w:val="en-US"/>
              </w:rPr>
            </w:pPr>
            <w:r w:rsidRPr="00831C94">
              <w:rPr>
                <w:sz w:val="22"/>
                <w:szCs w:val="22"/>
                <w:lang w:val="en-US"/>
              </w:rPr>
              <w:t>X</w:t>
            </w:r>
          </w:p>
        </w:tc>
        <w:tc>
          <w:tcPr>
            <w:tcW w:w="1291" w:type="dxa"/>
            <w:tcBorders>
              <w:top w:val="nil"/>
              <w:left w:val="nil"/>
              <w:bottom w:val="nil"/>
              <w:right w:val="nil"/>
            </w:tcBorders>
            <w:vAlign w:val="center"/>
            <w:hideMark/>
          </w:tcPr>
          <w:p w14:paraId="22C82F25" w14:textId="130B9263" w:rsidR="008B4415" w:rsidRPr="00831C94" w:rsidRDefault="008B4415" w:rsidP="008834DF">
            <w:pPr>
              <w:jc w:val="center"/>
              <w:rPr>
                <w:sz w:val="22"/>
                <w:szCs w:val="22"/>
                <w:lang w:val="en-US"/>
              </w:rPr>
            </w:pPr>
            <w:r w:rsidRPr="00831C94">
              <w:rPr>
                <w:sz w:val="22"/>
                <w:szCs w:val="22"/>
                <w:lang w:val="en-US"/>
              </w:rPr>
              <w:t>X</w:t>
            </w:r>
          </w:p>
        </w:tc>
      </w:tr>
      <w:tr w:rsidR="00322675" w:rsidRPr="00831C94" w14:paraId="067BBCEF" w14:textId="77777777" w:rsidTr="00831C94">
        <w:trPr>
          <w:trHeight w:val="397"/>
          <w:tblCellSpacing w:w="11" w:type="dxa"/>
        </w:trPr>
        <w:tc>
          <w:tcPr>
            <w:tcW w:w="5070" w:type="dxa"/>
            <w:tcBorders>
              <w:top w:val="nil"/>
              <w:left w:val="nil"/>
              <w:bottom w:val="nil"/>
              <w:right w:val="nil"/>
            </w:tcBorders>
            <w:vAlign w:val="center"/>
          </w:tcPr>
          <w:p w14:paraId="168FDE8A" w14:textId="58C10B29" w:rsidR="00322675" w:rsidRPr="00831C94" w:rsidRDefault="00322675" w:rsidP="008834DF">
            <w:pPr>
              <w:ind w:left="291" w:hanging="284"/>
              <w:jc w:val="left"/>
              <w:rPr>
                <w:sz w:val="22"/>
                <w:szCs w:val="22"/>
              </w:rPr>
            </w:pPr>
            <w:r w:rsidRPr="00831C94">
              <w:rPr>
                <w:sz w:val="22"/>
                <w:szCs w:val="22"/>
              </w:rPr>
              <w:t>ICECAP-O</w:t>
            </w:r>
          </w:p>
        </w:tc>
        <w:tc>
          <w:tcPr>
            <w:tcW w:w="1302" w:type="dxa"/>
            <w:tcBorders>
              <w:top w:val="nil"/>
              <w:left w:val="nil"/>
              <w:bottom w:val="nil"/>
              <w:right w:val="nil"/>
            </w:tcBorders>
            <w:vAlign w:val="center"/>
            <w:hideMark/>
          </w:tcPr>
          <w:p w14:paraId="28591D7D" w14:textId="77777777" w:rsidR="00322675" w:rsidRPr="00831C94" w:rsidRDefault="00322675" w:rsidP="0039536D">
            <w:pPr>
              <w:jc w:val="center"/>
              <w:rPr>
                <w:sz w:val="22"/>
                <w:szCs w:val="22"/>
                <w:lang w:val="en-US"/>
              </w:rPr>
            </w:pPr>
            <w:r w:rsidRPr="00831C94">
              <w:rPr>
                <w:sz w:val="22"/>
                <w:szCs w:val="22"/>
                <w:lang w:val="en-US"/>
              </w:rPr>
              <w:t>X</w:t>
            </w:r>
          </w:p>
        </w:tc>
        <w:tc>
          <w:tcPr>
            <w:tcW w:w="1302" w:type="dxa"/>
            <w:tcBorders>
              <w:top w:val="nil"/>
              <w:left w:val="nil"/>
              <w:bottom w:val="nil"/>
              <w:right w:val="nil"/>
            </w:tcBorders>
            <w:vAlign w:val="center"/>
            <w:hideMark/>
          </w:tcPr>
          <w:p w14:paraId="7DCD1794" w14:textId="77777777" w:rsidR="00322675" w:rsidRPr="00831C94" w:rsidRDefault="00322675" w:rsidP="0039536D">
            <w:pPr>
              <w:jc w:val="center"/>
              <w:rPr>
                <w:sz w:val="22"/>
                <w:szCs w:val="22"/>
                <w:lang w:val="en-US"/>
              </w:rPr>
            </w:pPr>
            <w:r w:rsidRPr="00831C94">
              <w:rPr>
                <w:sz w:val="22"/>
                <w:szCs w:val="22"/>
                <w:lang w:val="en-US"/>
              </w:rPr>
              <w:t>X</w:t>
            </w:r>
          </w:p>
        </w:tc>
        <w:tc>
          <w:tcPr>
            <w:tcW w:w="1291" w:type="dxa"/>
            <w:tcBorders>
              <w:top w:val="nil"/>
              <w:left w:val="nil"/>
              <w:bottom w:val="nil"/>
              <w:right w:val="nil"/>
            </w:tcBorders>
            <w:vAlign w:val="center"/>
            <w:hideMark/>
          </w:tcPr>
          <w:p w14:paraId="400E7A6F" w14:textId="77777777" w:rsidR="00322675" w:rsidRPr="00831C94" w:rsidRDefault="00322675" w:rsidP="0039536D">
            <w:pPr>
              <w:jc w:val="center"/>
              <w:rPr>
                <w:sz w:val="22"/>
                <w:szCs w:val="22"/>
                <w:lang w:val="en-US"/>
              </w:rPr>
            </w:pPr>
            <w:r w:rsidRPr="00831C94">
              <w:rPr>
                <w:sz w:val="22"/>
                <w:szCs w:val="22"/>
                <w:lang w:val="en-US"/>
              </w:rPr>
              <w:t>X</w:t>
            </w:r>
          </w:p>
        </w:tc>
      </w:tr>
      <w:tr w:rsidR="00322675" w:rsidRPr="00831C94" w14:paraId="6CEC456C" w14:textId="77777777" w:rsidTr="00831C94">
        <w:trPr>
          <w:trHeight w:val="397"/>
          <w:tblCellSpacing w:w="11" w:type="dxa"/>
        </w:trPr>
        <w:tc>
          <w:tcPr>
            <w:tcW w:w="5070" w:type="dxa"/>
            <w:tcBorders>
              <w:top w:val="single" w:sz="4" w:space="0" w:color="auto"/>
              <w:left w:val="nil"/>
              <w:bottom w:val="single" w:sz="4" w:space="0" w:color="auto"/>
              <w:right w:val="nil"/>
            </w:tcBorders>
            <w:vAlign w:val="center"/>
          </w:tcPr>
          <w:p w14:paraId="65E3F936" w14:textId="1CF1C444" w:rsidR="00322675" w:rsidRPr="00831C94" w:rsidRDefault="00322675" w:rsidP="008834DF">
            <w:pPr>
              <w:ind w:left="291" w:hanging="284"/>
              <w:jc w:val="left"/>
              <w:rPr>
                <w:i/>
                <w:iCs/>
                <w:sz w:val="22"/>
                <w:szCs w:val="22"/>
              </w:rPr>
            </w:pPr>
            <w:r w:rsidRPr="00831C94">
              <w:rPr>
                <w:i/>
                <w:iCs/>
                <w:sz w:val="22"/>
                <w:szCs w:val="22"/>
              </w:rPr>
              <w:t>Process Evaluation Outcomes</w:t>
            </w:r>
          </w:p>
        </w:tc>
        <w:tc>
          <w:tcPr>
            <w:tcW w:w="1302" w:type="dxa"/>
            <w:tcBorders>
              <w:top w:val="single" w:sz="4" w:space="0" w:color="auto"/>
              <w:left w:val="nil"/>
              <w:bottom w:val="single" w:sz="4" w:space="0" w:color="auto"/>
              <w:right w:val="nil"/>
            </w:tcBorders>
            <w:vAlign w:val="center"/>
          </w:tcPr>
          <w:p w14:paraId="75DC8600" w14:textId="77777777" w:rsidR="00322675" w:rsidRPr="00831C94" w:rsidRDefault="00322675" w:rsidP="0039536D">
            <w:pPr>
              <w:jc w:val="center"/>
              <w:rPr>
                <w:i/>
                <w:iCs/>
                <w:sz w:val="22"/>
                <w:szCs w:val="22"/>
                <w:lang w:val="en-US"/>
              </w:rPr>
            </w:pPr>
          </w:p>
        </w:tc>
        <w:tc>
          <w:tcPr>
            <w:tcW w:w="1302" w:type="dxa"/>
            <w:tcBorders>
              <w:top w:val="single" w:sz="4" w:space="0" w:color="auto"/>
              <w:left w:val="nil"/>
              <w:bottom w:val="single" w:sz="4" w:space="0" w:color="auto"/>
              <w:right w:val="nil"/>
            </w:tcBorders>
            <w:vAlign w:val="center"/>
          </w:tcPr>
          <w:p w14:paraId="280DA8BC" w14:textId="77777777" w:rsidR="00322675" w:rsidRPr="00831C94" w:rsidRDefault="00322675" w:rsidP="0039536D">
            <w:pPr>
              <w:jc w:val="center"/>
              <w:rPr>
                <w:i/>
                <w:iCs/>
                <w:sz w:val="22"/>
                <w:szCs w:val="22"/>
                <w:lang w:val="en-US"/>
              </w:rPr>
            </w:pPr>
          </w:p>
        </w:tc>
        <w:tc>
          <w:tcPr>
            <w:tcW w:w="1291" w:type="dxa"/>
            <w:tcBorders>
              <w:top w:val="single" w:sz="4" w:space="0" w:color="auto"/>
              <w:left w:val="nil"/>
              <w:bottom w:val="single" w:sz="4" w:space="0" w:color="auto"/>
              <w:right w:val="nil"/>
            </w:tcBorders>
            <w:vAlign w:val="center"/>
          </w:tcPr>
          <w:p w14:paraId="2F0EFC28" w14:textId="77777777" w:rsidR="00322675" w:rsidRPr="00831C94" w:rsidRDefault="00322675" w:rsidP="0039536D">
            <w:pPr>
              <w:jc w:val="center"/>
              <w:rPr>
                <w:i/>
                <w:iCs/>
                <w:sz w:val="22"/>
                <w:szCs w:val="22"/>
                <w:lang w:val="en-US"/>
              </w:rPr>
            </w:pPr>
          </w:p>
        </w:tc>
      </w:tr>
      <w:tr w:rsidR="008B4415" w:rsidRPr="00831C94" w14:paraId="29E1DC11" w14:textId="77777777" w:rsidTr="00831C94">
        <w:trPr>
          <w:trHeight w:val="397"/>
          <w:tblCellSpacing w:w="11" w:type="dxa"/>
        </w:trPr>
        <w:tc>
          <w:tcPr>
            <w:tcW w:w="5070" w:type="dxa"/>
            <w:tcBorders>
              <w:top w:val="nil"/>
              <w:left w:val="nil"/>
              <w:bottom w:val="nil"/>
              <w:right w:val="nil"/>
            </w:tcBorders>
            <w:vAlign w:val="center"/>
          </w:tcPr>
          <w:p w14:paraId="162FA7ED" w14:textId="532409F2" w:rsidR="008B4415" w:rsidRPr="00831C94" w:rsidRDefault="008B4415" w:rsidP="008834DF">
            <w:pPr>
              <w:ind w:left="291" w:hanging="284"/>
              <w:jc w:val="left"/>
              <w:rPr>
                <w:sz w:val="22"/>
                <w:szCs w:val="22"/>
              </w:rPr>
            </w:pPr>
            <w:r w:rsidRPr="00831C94">
              <w:rPr>
                <w:sz w:val="22"/>
                <w:szCs w:val="22"/>
              </w:rPr>
              <w:t>Self-Efficacy for Managing Chronic Disease</w:t>
            </w:r>
          </w:p>
        </w:tc>
        <w:tc>
          <w:tcPr>
            <w:tcW w:w="1302" w:type="dxa"/>
            <w:tcBorders>
              <w:top w:val="nil"/>
              <w:left w:val="nil"/>
              <w:bottom w:val="nil"/>
              <w:right w:val="nil"/>
            </w:tcBorders>
            <w:vAlign w:val="center"/>
            <w:hideMark/>
          </w:tcPr>
          <w:p w14:paraId="3D49F2AF" w14:textId="77777777" w:rsidR="008B4415" w:rsidRPr="00831C94" w:rsidRDefault="008B4415" w:rsidP="000B0207">
            <w:pPr>
              <w:jc w:val="center"/>
              <w:rPr>
                <w:sz w:val="22"/>
                <w:szCs w:val="22"/>
                <w:lang w:val="en-US"/>
              </w:rPr>
            </w:pPr>
            <w:r w:rsidRPr="00831C94">
              <w:rPr>
                <w:sz w:val="22"/>
                <w:szCs w:val="22"/>
                <w:lang w:val="en-US"/>
              </w:rPr>
              <w:t>X</w:t>
            </w:r>
          </w:p>
        </w:tc>
        <w:tc>
          <w:tcPr>
            <w:tcW w:w="1302" w:type="dxa"/>
            <w:tcBorders>
              <w:top w:val="nil"/>
              <w:left w:val="nil"/>
              <w:bottom w:val="nil"/>
              <w:right w:val="nil"/>
            </w:tcBorders>
            <w:vAlign w:val="center"/>
            <w:hideMark/>
          </w:tcPr>
          <w:p w14:paraId="58EFF745" w14:textId="77777777" w:rsidR="008B4415" w:rsidRPr="00831C94" w:rsidRDefault="008B4415" w:rsidP="000B0207">
            <w:pPr>
              <w:jc w:val="center"/>
              <w:rPr>
                <w:sz w:val="22"/>
                <w:szCs w:val="22"/>
                <w:lang w:val="en-US"/>
              </w:rPr>
            </w:pPr>
            <w:r w:rsidRPr="00831C94">
              <w:rPr>
                <w:sz w:val="22"/>
                <w:szCs w:val="22"/>
                <w:lang w:val="en-US"/>
              </w:rPr>
              <w:t>X</w:t>
            </w:r>
          </w:p>
        </w:tc>
        <w:tc>
          <w:tcPr>
            <w:tcW w:w="1291" w:type="dxa"/>
            <w:tcBorders>
              <w:top w:val="nil"/>
              <w:left w:val="nil"/>
              <w:bottom w:val="nil"/>
              <w:right w:val="nil"/>
            </w:tcBorders>
            <w:vAlign w:val="center"/>
            <w:hideMark/>
          </w:tcPr>
          <w:p w14:paraId="08EDE7CA" w14:textId="77777777" w:rsidR="008B4415" w:rsidRPr="00831C94" w:rsidRDefault="008B4415" w:rsidP="000B0207">
            <w:pPr>
              <w:jc w:val="center"/>
              <w:rPr>
                <w:sz w:val="22"/>
                <w:szCs w:val="22"/>
                <w:lang w:val="en-US"/>
              </w:rPr>
            </w:pPr>
            <w:r w:rsidRPr="00831C94">
              <w:rPr>
                <w:sz w:val="22"/>
                <w:szCs w:val="22"/>
                <w:lang w:val="en-US"/>
              </w:rPr>
              <w:t>X</w:t>
            </w:r>
          </w:p>
        </w:tc>
      </w:tr>
      <w:tr w:rsidR="00322675" w:rsidRPr="00831C94" w14:paraId="48AEE768" w14:textId="77777777" w:rsidTr="00831C94">
        <w:trPr>
          <w:trHeight w:val="397"/>
          <w:tblCellSpacing w:w="11" w:type="dxa"/>
        </w:trPr>
        <w:tc>
          <w:tcPr>
            <w:tcW w:w="5070" w:type="dxa"/>
            <w:tcBorders>
              <w:top w:val="nil"/>
              <w:left w:val="nil"/>
              <w:bottom w:val="nil"/>
              <w:right w:val="nil"/>
            </w:tcBorders>
            <w:vAlign w:val="center"/>
          </w:tcPr>
          <w:p w14:paraId="373D006F" w14:textId="607ECE36" w:rsidR="00322675" w:rsidRPr="00831C94" w:rsidRDefault="00322675" w:rsidP="00553E92">
            <w:pPr>
              <w:ind w:left="291" w:hanging="284"/>
              <w:jc w:val="left"/>
              <w:rPr>
                <w:spacing w:val="-7"/>
                <w:sz w:val="22"/>
                <w:szCs w:val="22"/>
              </w:rPr>
            </w:pPr>
            <w:r w:rsidRPr="00831C94">
              <w:rPr>
                <w:sz w:val="22"/>
                <w:szCs w:val="22"/>
              </w:rPr>
              <w:t xml:space="preserve">Patient Activation </w:t>
            </w:r>
            <w:r w:rsidR="00553E92">
              <w:rPr>
                <w:sz w:val="22"/>
                <w:szCs w:val="22"/>
              </w:rPr>
              <w:t>M</w:t>
            </w:r>
            <w:r w:rsidRPr="00831C94">
              <w:rPr>
                <w:sz w:val="22"/>
                <w:szCs w:val="22"/>
              </w:rPr>
              <w:t>easure</w:t>
            </w:r>
            <w:r w:rsidR="00553E92">
              <w:rPr>
                <w:sz w:val="22"/>
                <w:szCs w:val="22"/>
              </w:rPr>
              <w:t xml:space="preserve"> (PAM)</w:t>
            </w:r>
          </w:p>
        </w:tc>
        <w:tc>
          <w:tcPr>
            <w:tcW w:w="1302" w:type="dxa"/>
            <w:tcBorders>
              <w:top w:val="nil"/>
              <w:left w:val="nil"/>
              <w:bottom w:val="nil"/>
              <w:right w:val="nil"/>
            </w:tcBorders>
            <w:vAlign w:val="center"/>
            <w:hideMark/>
          </w:tcPr>
          <w:p w14:paraId="3A467BCA" w14:textId="77777777" w:rsidR="00322675" w:rsidRPr="00831C94" w:rsidRDefault="00322675" w:rsidP="0039536D">
            <w:pPr>
              <w:jc w:val="center"/>
              <w:rPr>
                <w:sz w:val="22"/>
                <w:szCs w:val="22"/>
                <w:lang w:val="en-US"/>
              </w:rPr>
            </w:pPr>
            <w:r w:rsidRPr="00831C94">
              <w:rPr>
                <w:sz w:val="22"/>
                <w:szCs w:val="22"/>
                <w:lang w:val="en-US"/>
              </w:rPr>
              <w:t>X</w:t>
            </w:r>
          </w:p>
        </w:tc>
        <w:tc>
          <w:tcPr>
            <w:tcW w:w="1302" w:type="dxa"/>
            <w:tcBorders>
              <w:top w:val="nil"/>
              <w:left w:val="nil"/>
              <w:bottom w:val="nil"/>
              <w:right w:val="nil"/>
            </w:tcBorders>
            <w:vAlign w:val="center"/>
            <w:hideMark/>
          </w:tcPr>
          <w:p w14:paraId="3D07C994" w14:textId="77777777" w:rsidR="00322675" w:rsidRPr="00831C94" w:rsidRDefault="00322675" w:rsidP="0039536D">
            <w:pPr>
              <w:jc w:val="center"/>
              <w:rPr>
                <w:sz w:val="22"/>
                <w:szCs w:val="22"/>
                <w:lang w:val="en-US"/>
              </w:rPr>
            </w:pPr>
            <w:r w:rsidRPr="00831C94">
              <w:rPr>
                <w:sz w:val="22"/>
                <w:szCs w:val="22"/>
                <w:lang w:val="en-US"/>
              </w:rPr>
              <w:t>X</w:t>
            </w:r>
          </w:p>
        </w:tc>
        <w:tc>
          <w:tcPr>
            <w:tcW w:w="1291" w:type="dxa"/>
            <w:tcBorders>
              <w:top w:val="nil"/>
              <w:left w:val="nil"/>
              <w:bottom w:val="nil"/>
              <w:right w:val="nil"/>
            </w:tcBorders>
            <w:vAlign w:val="center"/>
            <w:hideMark/>
          </w:tcPr>
          <w:p w14:paraId="6ECCFA65" w14:textId="77777777" w:rsidR="00322675" w:rsidRPr="00831C94" w:rsidRDefault="00322675" w:rsidP="0039536D">
            <w:pPr>
              <w:jc w:val="center"/>
              <w:rPr>
                <w:sz w:val="22"/>
                <w:szCs w:val="22"/>
                <w:lang w:val="en-US"/>
              </w:rPr>
            </w:pPr>
            <w:r w:rsidRPr="00831C94">
              <w:rPr>
                <w:sz w:val="22"/>
                <w:szCs w:val="22"/>
                <w:lang w:val="en-US"/>
              </w:rPr>
              <w:t>X</w:t>
            </w:r>
          </w:p>
        </w:tc>
      </w:tr>
      <w:tr w:rsidR="00322675" w:rsidRPr="00831C94" w14:paraId="5C0E226F" w14:textId="77777777" w:rsidTr="00831C94">
        <w:trPr>
          <w:trHeight w:val="397"/>
          <w:tblCellSpacing w:w="11" w:type="dxa"/>
        </w:trPr>
        <w:tc>
          <w:tcPr>
            <w:tcW w:w="5070" w:type="dxa"/>
            <w:tcBorders>
              <w:top w:val="single" w:sz="4" w:space="0" w:color="auto"/>
              <w:left w:val="nil"/>
              <w:bottom w:val="nil"/>
              <w:right w:val="nil"/>
            </w:tcBorders>
            <w:vAlign w:val="center"/>
          </w:tcPr>
          <w:p w14:paraId="03F3C284" w14:textId="4FD66709" w:rsidR="00322675" w:rsidRPr="00831C94" w:rsidRDefault="00322675" w:rsidP="008834DF">
            <w:pPr>
              <w:ind w:left="291" w:hanging="284"/>
              <w:jc w:val="left"/>
              <w:rPr>
                <w:i/>
                <w:iCs/>
                <w:sz w:val="22"/>
                <w:szCs w:val="22"/>
              </w:rPr>
            </w:pPr>
            <w:r w:rsidRPr="00831C94">
              <w:rPr>
                <w:i/>
                <w:iCs/>
                <w:sz w:val="22"/>
                <w:szCs w:val="22"/>
              </w:rPr>
              <w:t>Other Outcomes</w:t>
            </w:r>
            <w:bookmarkStart w:id="27" w:name="_GoBack"/>
            <w:bookmarkEnd w:id="27"/>
          </w:p>
        </w:tc>
        <w:tc>
          <w:tcPr>
            <w:tcW w:w="1302" w:type="dxa"/>
            <w:tcBorders>
              <w:top w:val="single" w:sz="4" w:space="0" w:color="auto"/>
              <w:left w:val="nil"/>
              <w:bottom w:val="nil"/>
              <w:right w:val="nil"/>
            </w:tcBorders>
            <w:vAlign w:val="center"/>
          </w:tcPr>
          <w:p w14:paraId="3979E219" w14:textId="77777777" w:rsidR="00322675" w:rsidRPr="00831C94" w:rsidRDefault="00322675" w:rsidP="0039536D">
            <w:pPr>
              <w:jc w:val="center"/>
              <w:rPr>
                <w:i/>
                <w:iCs/>
                <w:sz w:val="22"/>
                <w:szCs w:val="22"/>
                <w:lang w:val="en-US"/>
              </w:rPr>
            </w:pPr>
          </w:p>
        </w:tc>
        <w:tc>
          <w:tcPr>
            <w:tcW w:w="1302" w:type="dxa"/>
            <w:tcBorders>
              <w:top w:val="single" w:sz="4" w:space="0" w:color="auto"/>
              <w:left w:val="nil"/>
              <w:bottom w:val="nil"/>
              <w:right w:val="nil"/>
            </w:tcBorders>
            <w:vAlign w:val="center"/>
          </w:tcPr>
          <w:p w14:paraId="13E3B000" w14:textId="77777777" w:rsidR="00322675" w:rsidRPr="00831C94" w:rsidRDefault="00322675" w:rsidP="0039536D">
            <w:pPr>
              <w:jc w:val="center"/>
              <w:rPr>
                <w:i/>
                <w:iCs/>
                <w:sz w:val="22"/>
                <w:szCs w:val="22"/>
                <w:lang w:val="en-US"/>
              </w:rPr>
            </w:pPr>
          </w:p>
        </w:tc>
        <w:tc>
          <w:tcPr>
            <w:tcW w:w="1291" w:type="dxa"/>
            <w:tcBorders>
              <w:top w:val="single" w:sz="4" w:space="0" w:color="auto"/>
              <w:left w:val="nil"/>
              <w:bottom w:val="nil"/>
              <w:right w:val="nil"/>
            </w:tcBorders>
            <w:vAlign w:val="center"/>
          </w:tcPr>
          <w:p w14:paraId="20E3BE74" w14:textId="77777777" w:rsidR="00322675" w:rsidRPr="00831C94" w:rsidRDefault="00322675" w:rsidP="0039536D">
            <w:pPr>
              <w:jc w:val="center"/>
              <w:rPr>
                <w:i/>
                <w:iCs/>
                <w:sz w:val="22"/>
                <w:szCs w:val="22"/>
                <w:lang w:val="en-US"/>
              </w:rPr>
            </w:pPr>
          </w:p>
        </w:tc>
      </w:tr>
      <w:tr w:rsidR="008B4415" w:rsidRPr="00831C94" w14:paraId="0FC14D28" w14:textId="77777777" w:rsidTr="00831C94">
        <w:trPr>
          <w:trHeight w:val="397"/>
          <w:tblCellSpacing w:w="11" w:type="dxa"/>
        </w:trPr>
        <w:tc>
          <w:tcPr>
            <w:tcW w:w="5070" w:type="dxa"/>
            <w:tcBorders>
              <w:top w:val="single" w:sz="4" w:space="0" w:color="auto"/>
              <w:left w:val="nil"/>
              <w:bottom w:val="nil"/>
              <w:right w:val="nil"/>
            </w:tcBorders>
            <w:vAlign w:val="center"/>
            <w:hideMark/>
          </w:tcPr>
          <w:p w14:paraId="2A6A8274" w14:textId="34E0ABCB" w:rsidR="008B4415" w:rsidRPr="00831C94" w:rsidRDefault="008B4415" w:rsidP="008834DF">
            <w:pPr>
              <w:ind w:left="291" w:hanging="284"/>
              <w:jc w:val="left"/>
              <w:rPr>
                <w:sz w:val="22"/>
                <w:szCs w:val="22"/>
              </w:rPr>
            </w:pPr>
            <w:r w:rsidRPr="00831C94">
              <w:rPr>
                <w:sz w:val="22"/>
                <w:szCs w:val="22"/>
              </w:rPr>
              <w:t>Saliva sample</w:t>
            </w:r>
            <w:r w:rsidR="00857AEE" w:rsidRPr="00831C94">
              <w:rPr>
                <w:sz w:val="22"/>
                <w:szCs w:val="22"/>
              </w:rPr>
              <w:t xml:space="preserve"> (one time point only)</w:t>
            </w:r>
          </w:p>
        </w:tc>
        <w:tc>
          <w:tcPr>
            <w:tcW w:w="1302" w:type="dxa"/>
            <w:tcBorders>
              <w:top w:val="single" w:sz="4" w:space="0" w:color="auto"/>
              <w:left w:val="nil"/>
              <w:bottom w:val="nil"/>
              <w:right w:val="nil"/>
            </w:tcBorders>
            <w:vAlign w:val="center"/>
            <w:hideMark/>
          </w:tcPr>
          <w:p w14:paraId="531B56CF" w14:textId="77777777" w:rsidR="008B4415" w:rsidRPr="00831C94" w:rsidRDefault="008B4415" w:rsidP="000B0207">
            <w:pPr>
              <w:jc w:val="center"/>
              <w:rPr>
                <w:sz w:val="22"/>
                <w:szCs w:val="22"/>
                <w:lang w:val="en-US"/>
              </w:rPr>
            </w:pPr>
            <w:r w:rsidRPr="00831C94">
              <w:rPr>
                <w:sz w:val="22"/>
                <w:szCs w:val="22"/>
                <w:lang w:val="en-US"/>
              </w:rPr>
              <w:t>X</w:t>
            </w:r>
          </w:p>
        </w:tc>
        <w:tc>
          <w:tcPr>
            <w:tcW w:w="1302" w:type="dxa"/>
            <w:tcBorders>
              <w:top w:val="single" w:sz="4" w:space="0" w:color="auto"/>
              <w:left w:val="nil"/>
              <w:bottom w:val="nil"/>
              <w:right w:val="nil"/>
            </w:tcBorders>
            <w:vAlign w:val="center"/>
          </w:tcPr>
          <w:p w14:paraId="5ADE25A7" w14:textId="46148B1E" w:rsidR="008B4415" w:rsidRPr="00831C94" w:rsidRDefault="00857AEE" w:rsidP="000B0207">
            <w:pPr>
              <w:jc w:val="center"/>
              <w:rPr>
                <w:sz w:val="22"/>
                <w:szCs w:val="22"/>
                <w:lang w:val="en-US"/>
              </w:rPr>
            </w:pPr>
            <w:r w:rsidRPr="00831C94">
              <w:rPr>
                <w:sz w:val="22"/>
                <w:szCs w:val="22"/>
                <w:lang w:val="en-US"/>
              </w:rPr>
              <w:t>X</w:t>
            </w:r>
          </w:p>
        </w:tc>
        <w:tc>
          <w:tcPr>
            <w:tcW w:w="1291" w:type="dxa"/>
            <w:tcBorders>
              <w:top w:val="single" w:sz="4" w:space="0" w:color="auto"/>
              <w:left w:val="nil"/>
              <w:bottom w:val="nil"/>
              <w:right w:val="nil"/>
            </w:tcBorders>
            <w:vAlign w:val="center"/>
          </w:tcPr>
          <w:p w14:paraId="17576B6F" w14:textId="1D29C947" w:rsidR="008B4415" w:rsidRPr="00831C94" w:rsidRDefault="00857AEE" w:rsidP="000B0207">
            <w:pPr>
              <w:jc w:val="center"/>
              <w:rPr>
                <w:sz w:val="22"/>
                <w:szCs w:val="22"/>
                <w:lang w:val="en-US"/>
              </w:rPr>
            </w:pPr>
            <w:r w:rsidRPr="00831C94">
              <w:rPr>
                <w:sz w:val="22"/>
                <w:szCs w:val="22"/>
                <w:lang w:val="en-US"/>
              </w:rPr>
              <w:t>X</w:t>
            </w:r>
          </w:p>
        </w:tc>
      </w:tr>
      <w:tr w:rsidR="00857AEE" w:rsidRPr="00831C94" w14:paraId="1D0AE589" w14:textId="77777777" w:rsidTr="00831C94">
        <w:trPr>
          <w:trHeight w:val="397"/>
          <w:tblCellSpacing w:w="11" w:type="dxa"/>
        </w:trPr>
        <w:tc>
          <w:tcPr>
            <w:tcW w:w="5070" w:type="dxa"/>
            <w:tcBorders>
              <w:top w:val="nil"/>
              <w:left w:val="nil"/>
              <w:bottom w:val="single" w:sz="4" w:space="0" w:color="auto"/>
              <w:right w:val="nil"/>
            </w:tcBorders>
            <w:vAlign w:val="center"/>
          </w:tcPr>
          <w:p w14:paraId="45D9A1F0" w14:textId="5B8114BC" w:rsidR="00857AEE" w:rsidRPr="00831C94" w:rsidRDefault="00857AEE" w:rsidP="008834DF">
            <w:pPr>
              <w:ind w:left="291" w:hanging="284"/>
              <w:jc w:val="left"/>
              <w:rPr>
                <w:sz w:val="22"/>
                <w:szCs w:val="22"/>
              </w:rPr>
            </w:pPr>
            <w:r w:rsidRPr="00831C94">
              <w:rPr>
                <w:sz w:val="22"/>
                <w:szCs w:val="22"/>
              </w:rPr>
              <w:t>Motion sensor</w:t>
            </w:r>
          </w:p>
        </w:tc>
        <w:tc>
          <w:tcPr>
            <w:tcW w:w="1302" w:type="dxa"/>
            <w:tcBorders>
              <w:top w:val="nil"/>
              <w:left w:val="nil"/>
              <w:bottom w:val="single" w:sz="4" w:space="0" w:color="auto"/>
              <w:right w:val="nil"/>
            </w:tcBorders>
            <w:vAlign w:val="center"/>
          </w:tcPr>
          <w:p w14:paraId="49265E36" w14:textId="02055BC0" w:rsidR="00857AEE" w:rsidRPr="00831C94" w:rsidRDefault="00857AEE" w:rsidP="000B0207">
            <w:pPr>
              <w:jc w:val="center"/>
              <w:rPr>
                <w:sz w:val="22"/>
                <w:szCs w:val="22"/>
                <w:lang w:val="en-US"/>
              </w:rPr>
            </w:pPr>
            <w:r w:rsidRPr="00831C94">
              <w:rPr>
                <w:sz w:val="22"/>
                <w:szCs w:val="22"/>
                <w:lang w:val="en-US"/>
              </w:rPr>
              <w:t>X</w:t>
            </w:r>
          </w:p>
        </w:tc>
        <w:tc>
          <w:tcPr>
            <w:tcW w:w="1302" w:type="dxa"/>
            <w:tcBorders>
              <w:top w:val="nil"/>
              <w:left w:val="nil"/>
              <w:bottom w:val="single" w:sz="4" w:space="0" w:color="auto"/>
              <w:right w:val="nil"/>
            </w:tcBorders>
            <w:vAlign w:val="center"/>
          </w:tcPr>
          <w:p w14:paraId="5FF91847" w14:textId="229D73FF" w:rsidR="00857AEE" w:rsidRPr="00831C94" w:rsidRDefault="00857AEE" w:rsidP="000B0207">
            <w:pPr>
              <w:jc w:val="center"/>
              <w:rPr>
                <w:sz w:val="22"/>
                <w:szCs w:val="22"/>
                <w:lang w:val="en-US"/>
              </w:rPr>
            </w:pPr>
            <w:r w:rsidRPr="00831C94">
              <w:rPr>
                <w:sz w:val="22"/>
                <w:szCs w:val="22"/>
                <w:lang w:val="en-US"/>
              </w:rPr>
              <w:t>X</w:t>
            </w:r>
          </w:p>
        </w:tc>
        <w:tc>
          <w:tcPr>
            <w:tcW w:w="1291" w:type="dxa"/>
            <w:tcBorders>
              <w:top w:val="nil"/>
              <w:left w:val="nil"/>
              <w:bottom w:val="single" w:sz="4" w:space="0" w:color="auto"/>
              <w:right w:val="nil"/>
            </w:tcBorders>
            <w:vAlign w:val="center"/>
          </w:tcPr>
          <w:p w14:paraId="722553C0" w14:textId="0D77CDAA" w:rsidR="00857AEE" w:rsidRPr="00831C94" w:rsidRDefault="00857AEE" w:rsidP="000B0207">
            <w:pPr>
              <w:jc w:val="center"/>
              <w:rPr>
                <w:sz w:val="22"/>
                <w:szCs w:val="22"/>
                <w:lang w:val="en-US"/>
              </w:rPr>
            </w:pPr>
            <w:r w:rsidRPr="00831C94">
              <w:rPr>
                <w:sz w:val="22"/>
                <w:szCs w:val="22"/>
                <w:lang w:val="en-US"/>
              </w:rPr>
              <w:t>X</w:t>
            </w:r>
          </w:p>
        </w:tc>
      </w:tr>
      <w:tr w:rsidR="008B4415" w:rsidRPr="00831C94" w14:paraId="3DD9C94C" w14:textId="77777777" w:rsidTr="00831C94">
        <w:trPr>
          <w:trHeight w:val="397"/>
          <w:tblCellSpacing w:w="11" w:type="dxa"/>
        </w:trPr>
        <w:tc>
          <w:tcPr>
            <w:tcW w:w="9031" w:type="dxa"/>
            <w:gridSpan w:val="4"/>
            <w:tcBorders>
              <w:top w:val="single" w:sz="4" w:space="0" w:color="auto"/>
              <w:left w:val="nil"/>
              <w:bottom w:val="single" w:sz="4" w:space="0" w:color="auto"/>
              <w:right w:val="nil"/>
            </w:tcBorders>
            <w:shd w:val="clear" w:color="auto" w:fill="D9D9D9" w:themeFill="background1" w:themeFillShade="D9"/>
            <w:vAlign w:val="center"/>
            <w:hideMark/>
          </w:tcPr>
          <w:p w14:paraId="05B9A41E" w14:textId="77777777" w:rsidR="008B4415" w:rsidRPr="00831C94" w:rsidRDefault="008B4415" w:rsidP="00831C94">
            <w:pPr>
              <w:jc w:val="center"/>
              <w:rPr>
                <w:sz w:val="22"/>
                <w:szCs w:val="22"/>
                <w:lang w:val="en-US"/>
              </w:rPr>
            </w:pPr>
            <w:r w:rsidRPr="00831C94">
              <w:rPr>
                <w:sz w:val="22"/>
                <w:szCs w:val="22"/>
              </w:rPr>
              <w:t>Carers</w:t>
            </w:r>
          </w:p>
        </w:tc>
      </w:tr>
      <w:tr w:rsidR="00130B88" w:rsidRPr="00831C94" w14:paraId="671D4F34" w14:textId="77777777" w:rsidTr="00831C94">
        <w:trPr>
          <w:trHeight w:val="397"/>
          <w:tblCellSpacing w:w="11" w:type="dxa"/>
        </w:trPr>
        <w:tc>
          <w:tcPr>
            <w:tcW w:w="5070" w:type="dxa"/>
            <w:tcBorders>
              <w:top w:val="single" w:sz="4" w:space="0" w:color="auto"/>
              <w:left w:val="nil"/>
              <w:bottom w:val="nil"/>
              <w:right w:val="nil"/>
            </w:tcBorders>
            <w:vAlign w:val="center"/>
          </w:tcPr>
          <w:p w14:paraId="759EA934" w14:textId="74F49365" w:rsidR="00130B88" w:rsidRPr="00831C94" w:rsidRDefault="00B90B96" w:rsidP="008834DF">
            <w:pPr>
              <w:ind w:left="291" w:hanging="284"/>
              <w:jc w:val="left"/>
              <w:rPr>
                <w:i/>
                <w:iCs/>
                <w:sz w:val="22"/>
                <w:szCs w:val="22"/>
              </w:rPr>
            </w:pPr>
            <w:r w:rsidRPr="00831C94">
              <w:rPr>
                <w:i/>
                <w:iCs/>
                <w:sz w:val="22"/>
                <w:szCs w:val="22"/>
              </w:rPr>
              <w:t xml:space="preserve">Statistical / </w:t>
            </w:r>
            <w:r w:rsidR="00130B88" w:rsidRPr="00831C94">
              <w:rPr>
                <w:i/>
                <w:iCs/>
                <w:sz w:val="22"/>
                <w:szCs w:val="22"/>
              </w:rPr>
              <w:t>Process Evaluation Outcomes</w:t>
            </w:r>
          </w:p>
        </w:tc>
        <w:tc>
          <w:tcPr>
            <w:tcW w:w="1302" w:type="dxa"/>
            <w:tcBorders>
              <w:top w:val="single" w:sz="4" w:space="0" w:color="auto"/>
              <w:left w:val="nil"/>
              <w:bottom w:val="nil"/>
              <w:right w:val="nil"/>
            </w:tcBorders>
            <w:vAlign w:val="center"/>
          </w:tcPr>
          <w:p w14:paraId="62CE2407" w14:textId="77777777" w:rsidR="00130B88" w:rsidRPr="00831C94" w:rsidRDefault="00130B88" w:rsidP="0039536D">
            <w:pPr>
              <w:jc w:val="center"/>
              <w:rPr>
                <w:i/>
                <w:iCs/>
                <w:sz w:val="22"/>
                <w:szCs w:val="22"/>
                <w:lang w:val="en-US"/>
              </w:rPr>
            </w:pPr>
          </w:p>
        </w:tc>
        <w:tc>
          <w:tcPr>
            <w:tcW w:w="1302" w:type="dxa"/>
            <w:tcBorders>
              <w:top w:val="single" w:sz="4" w:space="0" w:color="auto"/>
              <w:left w:val="nil"/>
              <w:bottom w:val="nil"/>
              <w:right w:val="nil"/>
            </w:tcBorders>
            <w:vAlign w:val="center"/>
          </w:tcPr>
          <w:p w14:paraId="19490F5D" w14:textId="77777777" w:rsidR="00130B88" w:rsidRPr="00831C94" w:rsidRDefault="00130B88" w:rsidP="0039536D">
            <w:pPr>
              <w:jc w:val="center"/>
              <w:rPr>
                <w:i/>
                <w:iCs/>
                <w:sz w:val="22"/>
                <w:szCs w:val="22"/>
                <w:lang w:val="en-US"/>
              </w:rPr>
            </w:pPr>
          </w:p>
        </w:tc>
        <w:tc>
          <w:tcPr>
            <w:tcW w:w="1291" w:type="dxa"/>
            <w:tcBorders>
              <w:top w:val="single" w:sz="4" w:space="0" w:color="auto"/>
              <w:left w:val="nil"/>
              <w:bottom w:val="nil"/>
              <w:right w:val="nil"/>
            </w:tcBorders>
            <w:vAlign w:val="center"/>
          </w:tcPr>
          <w:p w14:paraId="22DF2F10" w14:textId="77777777" w:rsidR="00130B88" w:rsidRPr="00831C94" w:rsidRDefault="00130B88" w:rsidP="0039536D">
            <w:pPr>
              <w:jc w:val="center"/>
              <w:rPr>
                <w:i/>
                <w:iCs/>
                <w:sz w:val="22"/>
                <w:szCs w:val="22"/>
                <w:lang w:val="en-US"/>
              </w:rPr>
            </w:pPr>
          </w:p>
        </w:tc>
      </w:tr>
      <w:tr w:rsidR="008B4415" w:rsidRPr="00831C94" w14:paraId="774EADA4" w14:textId="77777777" w:rsidTr="00831C94">
        <w:trPr>
          <w:trHeight w:val="397"/>
          <w:tblCellSpacing w:w="11" w:type="dxa"/>
        </w:trPr>
        <w:tc>
          <w:tcPr>
            <w:tcW w:w="5070" w:type="dxa"/>
            <w:tcBorders>
              <w:top w:val="single" w:sz="4" w:space="0" w:color="auto"/>
              <w:left w:val="nil"/>
              <w:bottom w:val="nil"/>
              <w:right w:val="nil"/>
            </w:tcBorders>
            <w:vAlign w:val="center"/>
          </w:tcPr>
          <w:p w14:paraId="5BA04FFC" w14:textId="19BA4E56" w:rsidR="008B4415" w:rsidRPr="00831C94" w:rsidRDefault="008B4415" w:rsidP="008834DF">
            <w:pPr>
              <w:ind w:left="291" w:hanging="284"/>
              <w:jc w:val="left"/>
              <w:rPr>
                <w:sz w:val="22"/>
                <w:szCs w:val="22"/>
              </w:rPr>
            </w:pPr>
            <w:r w:rsidRPr="00831C94">
              <w:rPr>
                <w:sz w:val="22"/>
                <w:szCs w:val="22"/>
              </w:rPr>
              <w:t>Zarit carer burden inventory</w:t>
            </w:r>
          </w:p>
        </w:tc>
        <w:tc>
          <w:tcPr>
            <w:tcW w:w="1302" w:type="dxa"/>
            <w:tcBorders>
              <w:top w:val="single" w:sz="4" w:space="0" w:color="auto"/>
              <w:left w:val="nil"/>
              <w:bottom w:val="nil"/>
              <w:right w:val="nil"/>
            </w:tcBorders>
            <w:vAlign w:val="center"/>
            <w:hideMark/>
          </w:tcPr>
          <w:p w14:paraId="30295362" w14:textId="77777777" w:rsidR="008B4415" w:rsidRPr="00831C94" w:rsidRDefault="008B4415" w:rsidP="008834DF">
            <w:pPr>
              <w:ind w:left="291" w:hanging="284"/>
              <w:jc w:val="center"/>
              <w:rPr>
                <w:sz w:val="22"/>
                <w:szCs w:val="22"/>
                <w:lang w:val="en-US"/>
              </w:rPr>
            </w:pPr>
            <w:r w:rsidRPr="00831C94">
              <w:rPr>
                <w:sz w:val="22"/>
                <w:szCs w:val="22"/>
                <w:lang w:val="en-US"/>
              </w:rPr>
              <w:t>X</w:t>
            </w:r>
          </w:p>
        </w:tc>
        <w:tc>
          <w:tcPr>
            <w:tcW w:w="1302" w:type="dxa"/>
            <w:tcBorders>
              <w:top w:val="single" w:sz="4" w:space="0" w:color="auto"/>
              <w:left w:val="nil"/>
              <w:bottom w:val="nil"/>
              <w:right w:val="nil"/>
            </w:tcBorders>
            <w:vAlign w:val="center"/>
            <w:hideMark/>
          </w:tcPr>
          <w:p w14:paraId="3C70B277" w14:textId="77777777" w:rsidR="008B4415" w:rsidRPr="00831C94" w:rsidRDefault="008B4415" w:rsidP="000B0207">
            <w:pPr>
              <w:jc w:val="center"/>
              <w:rPr>
                <w:sz w:val="22"/>
                <w:szCs w:val="22"/>
                <w:lang w:val="en-US"/>
              </w:rPr>
            </w:pPr>
            <w:r w:rsidRPr="00831C94">
              <w:rPr>
                <w:sz w:val="22"/>
                <w:szCs w:val="22"/>
                <w:lang w:val="en-US"/>
              </w:rPr>
              <w:t>X</w:t>
            </w:r>
          </w:p>
        </w:tc>
        <w:tc>
          <w:tcPr>
            <w:tcW w:w="1291" w:type="dxa"/>
            <w:tcBorders>
              <w:top w:val="single" w:sz="4" w:space="0" w:color="auto"/>
              <w:left w:val="nil"/>
              <w:bottom w:val="nil"/>
              <w:right w:val="nil"/>
            </w:tcBorders>
            <w:vAlign w:val="center"/>
            <w:hideMark/>
          </w:tcPr>
          <w:p w14:paraId="4A7B4D3B" w14:textId="77777777" w:rsidR="008B4415" w:rsidRPr="00831C94" w:rsidRDefault="008B4415" w:rsidP="000B0207">
            <w:pPr>
              <w:jc w:val="center"/>
              <w:rPr>
                <w:sz w:val="22"/>
                <w:szCs w:val="22"/>
                <w:lang w:val="en-US"/>
              </w:rPr>
            </w:pPr>
            <w:r w:rsidRPr="00831C94">
              <w:rPr>
                <w:sz w:val="22"/>
                <w:szCs w:val="22"/>
                <w:lang w:val="en-US"/>
              </w:rPr>
              <w:t>X</w:t>
            </w:r>
          </w:p>
        </w:tc>
      </w:tr>
      <w:tr w:rsidR="008B4415" w:rsidRPr="00831C94" w14:paraId="247F2767" w14:textId="77777777" w:rsidTr="00831C94">
        <w:trPr>
          <w:trHeight w:val="397"/>
          <w:tblCellSpacing w:w="11" w:type="dxa"/>
        </w:trPr>
        <w:tc>
          <w:tcPr>
            <w:tcW w:w="5070" w:type="dxa"/>
            <w:tcBorders>
              <w:top w:val="nil"/>
              <w:left w:val="nil"/>
              <w:bottom w:val="single" w:sz="4" w:space="0" w:color="auto"/>
              <w:right w:val="nil"/>
            </w:tcBorders>
            <w:vAlign w:val="center"/>
          </w:tcPr>
          <w:p w14:paraId="60E888FD" w14:textId="2706B48C" w:rsidR="008B4415" w:rsidRPr="00831C94" w:rsidRDefault="008B4415" w:rsidP="008834DF">
            <w:pPr>
              <w:ind w:left="291" w:hanging="284"/>
              <w:jc w:val="left"/>
              <w:rPr>
                <w:spacing w:val="-6"/>
                <w:sz w:val="22"/>
                <w:szCs w:val="22"/>
              </w:rPr>
            </w:pPr>
            <w:r w:rsidRPr="00831C94">
              <w:rPr>
                <w:sz w:val="22"/>
                <w:szCs w:val="22"/>
              </w:rPr>
              <w:t>Carer Quality of Life questionnaire for Parkinsonism</w:t>
            </w:r>
          </w:p>
        </w:tc>
        <w:tc>
          <w:tcPr>
            <w:tcW w:w="1302" w:type="dxa"/>
            <w:tcBorders>
              <w:top w:val="nil"/>
              <w:left w:val="nil"/>
              <w:bottom w:val="single" w:sz="4" w:space="0" w:color="auto"/>
              <w:right w:val="nil"/>
            </w:tcBorders>
            <w:vAlign w:val="center"/>
            <w:hideMark/>
          </w:tcPr>
          <w:p w14:paraId="53DC37F6" w14:textId="77777777" w:rsidR="008B4415" w:rsidRPr="00831C94" w:rsidRDefault="008B4415" w:rsidP="008834DF">
            <w:pPr>
              <w:ind w:left="291" w:hanging="284"/>
              <w:jc w:val="center"/>
              <w:rPr>
                <w:sz w:val="22"/>
                <w:szCs w:val="22"/>
                <w:lang w:val="en-US"/>
              </w:rPr>
            </w:pPr>
            <w:r w:rsidRPr="00831C94">
              <w:rPr>
                <w:sz w:val="22"/>
                <w:szCs w:val="22"/>
                <w:lang w:val="en-US"/>
              </w:rPr>
              <w:t>X</w:t>
            </w:r>
          </w:p>
        </w:tc>
        <w:tc>
          <w:tcPr>
            <w:tcW w:w="1302" w:type="dxa"/>
            <w:tcBorders>
              <w:top w:val="nil"/>
              <w:left w:val="nil"/>
              <w:bottom w:val="single" w:sz="4" w:space="0" w:color="auto"/>
              <w:right w:val="nil"/>
            </w:tcBorders>
            <w:vAlign w:val="center"/>
            <w:hideMark/>
          </w:tcPr>
          <w:p w14:paraId="425BC158" w14:textId="77777777" w:rsidR="008B4415" w:rsidRPr="00831C94" w:rsidRDefault="008B4415" w:rsidP="000B0207">
            <w:pPr>
              <w:jc w:val="center"/>
              <w:rPr>
                <w:sz w:val="22"/>
                <w:szCs w:val="22"/>
                <w:lang w:val="en-US"/>
              </w:rPr>
            </w:pPr>
            <w:r w:rsidRPr="00831C94">
              <w:rPr>
                <w:sz w:val="22"/>
                <w:szCs w:val="22"/>
                <w:lang w:val="en-US"/>
              </w:rPr>
              <w:t>X</w:t>
            </w:r>
          </w:p>
        </w:tc>
        <w:tc>
          <w:tcPr>
            <w:tcW w:w="1291" w:type="dxa"/>
            <w:tcBorders>
              <w:top w:val="nil"/>
              <w:left w:val="nil"/>
              <w:bottom w:val="single" w:sz="4" w:space="0" w:color="auto"/>
              <w:right w:val="nil"/>
            </w:tcBorders>
            <w:vAlign w:val="center"/>
            <w:hideMark/>
          </w:tcPr>
          <w:p w14:paraId="551512CD" w14:textId="77777777" w:rsidR="008B4415" w:rsidRPr="00831C94" w:rsidRDefault="008B4415" w:rsidP="000B0207">
            <w:pPr>
              <w:jc w:val="center"/>
              <w:rPr>
                <w:sz w:val="22"/>
                <w:szCs w:val="22"/>
                <w:lang w:val="en-US"/>
              </w:rPr>
            </w:pPr>
            <w:r w:rsidRPr="00831C94">
              <w:rPr>
                <w:sz w:val="22"/>
                <w:szCs w:val="22"/>
                <w:lang w:val="en-US"/>
              </w:rPr>
              <w:t>X</w:t>
            </w:r>
          </w:p>
        </w:tc>
      </w:tr>
    </w:tbl>
    <w:p w14:paraId="0A2E74AB" w14:textId="77777777" w:rsidR="000B0207" w:rsidRDefault="000B0207" w:rsidP="000B0207"/>
    <w:p w14:paraId="360426A4" w14:textId="77777777" w:rsidR="000B0207" w:rsidRDefault="000B0207" w:rsidP="000B0207"/>
    <w:p w14:paraId="57672821" w14:textId="79EDE201" w:rsidR="009D7DAF" w:rsidRDefault="009D7DAF">
      <w:pPr>
        <w:autoSpaceDE/>
        <w:autoSpaceDN/>
        <w:adjustRightInd/>
        <w:spacing w:after="160" w:line="259" w:lineRule="auto"/>
        <w:jc w:val="left"/>
      </w:pPr>
      <w:r>
        <w:br w:type="page"/>
      </w:r>
    </w:p>
    <w:p w14:paraId="278E2AE4" w14:textId="69EC9035" w:rsidR="00A824CC" w:rsidRPr="00453E61" w:rsidRDefault="00A824CC" w:rsidP="007E3B09">
      <w:pPr>
        <w:pStyle w:val="Heading2"/>
      </w:pPr>
      <w:bookmarkStart w:id="28" w:name="_Toc115088913"/>
      <w:r w:rsidRPr="00453E61">
        <w:lastRenderedPageBreak/>
        <w:t>Primary outcome analysis</w:t>
      </w:r>
      <w:bookmarkEnd w:id="28"/>
    </w:p>
    <w:p w14:paraId="37FE108F" w14:textId="59D7DAEB" w:rsidR="005A1094" w:rsidRPr="00B64B06" w:rsidRDefault="005A1094" w:rsidP="005A1094">
      <w:r>
        <w:rPr>
          <w:spacing w:val="-4"/>
        </w:rPr>
        <w:t>T</w:t>
      </w:r>
      <w:r w:rsidR="00C40866" w:rsidRPr="00B64B06">
        <w:rPr>
          <w:spacing w:val="-4"/>
        </w:rPr>
        <w:t>he primary outcome</w:t>
      </w:r>
      <w:r>
        <w:rPr>
          <w:spacing w:val="-4"/>
        </w:rPr>
        <w:t xml:space="preserve"> is </w:t>
      </w:r>
      <w:r w:rsidR="00B6164A">
        <w:rPr>
          <w:spacing w:val="-4"/>
        </w:rPr>
        <w:t>PDQ-39</w:t>
      </w:r>
      <w:r>
        <w:rPr>
          <w:spacing w:val="-4"/>
        </w:rPr>
        <w:t xml:space="preserve"> score at 12 months</w:t>
      </w:r>
      <w:r w:rsidR="00C40866" w:rsidRPr="00B64B06">
        <w:rPr>
          <w:spacing w:val="-4"/>
        </w:rPr>
        <w:t xml:space="preserve">. </w:t>
      </w:r>
      <w:r w:rsidRPr="005A1094">
        <w:rPr>
          <w:spacing w:val="-4"/>
        </w:rPr>
        <w:t xml:space="preserve">The primary analysis will compare </w:t>
      </w:r>
      <w:r>
        <w:rPr>
          <w:spacing w:val="-4"/>
        </w:rPr>
        <w:t xml:space="preserve">intervention </w:t>
      </w:r>
      <w:r w:rsidRPr="005A1094">
        <w:rPr>
          <w:spacing w:val="-4"/>
        </w:rPr>
        <w:t xml:space="preserve">patients to </w:t>
      </w:r>
      <w:r>
        <w:rPr>
          <w:spacing w:val="-4"/>
        </w:rPr>
        <w:t xml:space="preserve">control </w:t>
      </w:r>
      <w:r w:rsidRPr="005A1094">
        <w:rPr>
          <w:spacing w:val="-4"/>
        </w:rPr>
        <w:t>patients using a t</w:t>
      </w:r>
      <w:r>
        <w:rPr>
          <w:spacing w:val="-4"/>
        </w:rPr>
        <w:t>hree</w:t>
      </w:r>
      <w:r w:rsidRPr="005A1094">
        <w:rPr>
          <w:spacing w:val="-4"/>
        </w:rPr>
        <w:t xml:space="preserve">-level mixed model that includes the </w:t>
      </w:r>
      <w:r>
        <w:rPr>
          <w:spacing w:val="-4"/>
        </w:rPr>
        <w:t>PDQ-39</w:t>
      </w:r>
      <w:r w:rsidRPr="005A1094">
        <w:rPr>
          <w:spacing w:val="-4"/>
        </w:rPr>
        <w:t xml:space="preserve"> scores from </w:t>
      </w:r>
      <w:r>
        <w:rPr>
          <w:spacing w:val="-4"/>
        </w:rPr>
        <w:t>two</w:t>
      </w:r>
      <w:r w:rsidRPr="005A1094">
        <w:rPr>
          <w:spacing w:val="-4"/>
        </w:rPr>
        <w:t xml:space="preserve"> time-points (</w:t>
      </w:r>
      <w:r>
        <w:rPr>
          <w:spacing w:val="-4"/>
        </w:rPr>
        <w:t>6 months and 12 months</w:t>
      </w:r>
      <w:r w:rsidRPr="005A1094">
        <w:rPr>
          <w:spacing w:val="-4"/>
        </w:rPr>
        <w:t>) with</w:t>
      </w:r>
      <w:r>
        <w:rPr>
          <w:spacing w:val="-4"/>
        </w:rPr>
        <w:t xml:space="preserve"> an</w:t>
      </w:r>
      <w:r w:rsidRPr="005A1094">
        <w:rPr>
          <w:spacing w:val="-4"/>
        </w:rPr>
        <w:t xml:space="preserve"> interaction term between the intervention and time-point indicator variables to enable estimation of the intervention effect at </w:t>
      </w:r>
      <w:r>
        <w:rPr>
          <w:spacing w:val="-4"/>
        </w:rPr>
        <w:t>12 months</w:t>
      </w:r>
      <w:r w:rsidRPr="005A1094">
        <w:rPr>
          <w:spacing w:val="-4"/>
        </w:rPr>
        <w:t>. This model will also adjust for</w:t>
      </w:r>
      <w:r w:rsidRPr="00B64B06">
        <w:t xml:space="preserve"> baseline </w:t>
      </w:r>
      <w:r>
        <w:rPr>
          <w:spacing w:val="-4"/>
        </w:rPr>
        <w:t xml:space="preserve">PDQ-39 </w:t>
      </w:r>
      <w:r w:rsidRPr="00B64B06">
        <w:rPr>
          <w:spacing w:val="-4"/>
        </w:rPr>
        <w:t>score,</w:t>
      </w:r>
      <w:r w:rsidRPr="00B64B06">
        <w:t xml:space="preserve"> age and socio-economic </w:t>
      </w:r>
      <w:r w:rsidRPr="00B64B06">
        <w:rPr>
          <w:spacing w:val="-4"/>
        </w:rPr>
        <w:t>status</w:t>
      </w:r>
      <w:r w:rsidRPr="005A1094">
        <w:rPr>
          <w:spacing w:val="-4"/>
        </w:rPr>
        <w:t xml:space="preserve"> using fixed effects</w:t>
      </w:r>
      <w:r>
        <w:rPr>
          <w:spacing w:val="-4"/>
        </w:rPr>
        <w:t>, and will adjust for patient and site using random effects (</w:t>
      </w:r>
      <w:r w:rsidR="008111D6">
        <w:rPr>
          <w:spacing w:val="-4"/>
        </w:rPr>
        <w:t xml:space="preserve">random </w:t>
      </w:r>
      <w:r>
        <w:rPr>
          <w:spacing w:val="-4"/>
        </w:rPr>
        <w:t xml:space="preserve">intercepts). </w:t>
      </w:r>
      <w:r w:rsidRPr="00B64B06">
        <w:rPr>
          <w:spacing w:val="-4"/>
        </w:rPr>
        <w:t xml:space="preserve">All analyses will be performed on an intention-to-treat basis and all modelling </w:t>
      </w:r>
      <w:r w:rsidRPr="00B64B06">
        <w:t xml:space="preserve">assumptions will be checked (e.g. </w:t>
      </w:r>
      <w:r>
        <w:t xml:space="preserve">using </w:t>
      </w:r>
      <w:r w:rsidRPr="00B64B06">
        <w:t xml:space="preserve">residuals). The </w:t>
      </w:r>
      <w:r w:rsidR="00AB617D" w:rsidRPr="00B64B06">
        <w:t>effect</w:t>
      </w:r>
      <w:r w:rsidR="00AB617D">
        <w:t xml:space="preserve"> of</w:t>
      </w:r>
      <w:r w:rsidR="00AB617D" w:rsidRPr="00B64B06">
        <w:t xml:space="preserve"> </w:t>
      </w:r>
      <w:r>
        <w:t>intervention</w:t>
      </w:r>
      <w:r w:rsidRPr="00B64B06">
        <w:t xml:space="preserve"> and corresponding 95% confidence interval will be reported.</w:t>
      </w:r>
    </w:p>
    <w:p w14:paraId="577B0D61" w14:textId="77777777" w:rsidR="005A1094" w:rsidRDefault="005A1094" w:rsidP="00876D4A">
      <w:pPr>
        <w:rPr>
          <w:spacing w:val="-4"/>
        </w:rPr>
      </w:pPr>
    </w:p>
    <w:p w14:paraId="775E1D2C" w14:textId="77777777" w:rsidR="00876D4A" w:rsidRPr="00B64B06" w:rsidRDefault="00876D4A" w:rsidP="00876D4A">
      <w:pPr>
        <w:pStyle w:val="Heading2"/>
      </w:pPr>
      <w:bookmarkStart w:id="29" w:name="_Toc115088916"/>
      <w:r w:rsidRPr="00B64B06">
        <w:t>Secondary outcome analysis</w:t>
      </w:r>
      <w:bookmarkEnd w:id="29"/>
    </w:p>
    <w:p w14:paraId="7092095B" w14:textId="329E7A91" w:rsidR="00876D4A" w:rsidRPr="00B64B06" w:rsidRDefault="00BD3073" w:rsidP="00AB617D">
      <w:r w:rsidRPr="00BD3073">
        <w:t xml:space="preserve">The effect of the intervention on secondary outcomes will be assessed using appropriate </w:t>
      </w:r>
      <w:r>
        <w:t>two</w:t>
      </w:r>
      <w:r w:rsidRPr="00BD3073">
        <w:t xml:space="preserve">-level regression models, i.e. </w:t>
      </w:r>
      <w:r>
        <w:t>linear mixed</w:t>
      </w:r>
      <w:r w:rsidRPr="00BD3073">
        <w:t xml:space="preserve"> models for numerical outcomes. </w:t>
      </w:r>
      <w:r w:rsidR="00AB617D">
        <w:rPr>
          <w:spacing w:val="-4"/>
        </w:rPr>
        <w:t>All</w:t>
      </w:r>
      <w:r w:rsidR="00AB617D" w:rsidRPr="005A1094">
        <w:rPr>
          <w:spacing w:val="-4"/>
        </w:rPr>
        <w:t xml:space="preserve"> model</w:t>
      </w:r>
      <w:r w:rsidR="00AB617D">
        <w:rPr>
          <w:spacing w:val="-4"/>
        </w:rPr>
        <w:t>s</w:t>
      </w:r>
      <w:r w:rsidR="00AB617D" w:rsidRPr="005A1094">
        <w:rPr>
          <w:spacing w:val="-4"/>
        </w:rPr>
        <w:t xml:space="preserve"> will </w:t>
      </w:r>
      <w:r w:rsidR="00AB617D">
        <w:rPr>
          <w:spacing w:val="-4"/>
        </w:rPr>
        <w:t>be</w:t>
      </w:r>
      <w:r w:rsidR="00AB617D" w:rsidRPr="005A1094">
        <w:rPr>
          <w:spacing w:val="-4"/>
        </w:rPr>
        <w:t xml:space="preserve"> adjust</w:t>
      </w:r>
      <w:r w:rsidR="00AB617D">
        <w:rPr>
          <w:spacing w:val="-4"/>
        </w:rPr>
        <w:t>ed</w:t>
      </w:r>
      <w:r w:rsidR="00AB617D" w:rsidRPr="005A1094">
        <w:rPr>
          <w:spacing w:val="-4"/>
        </w:rPr>
        <w:t xml:space="preserve"> </w:t>
      </w:r>
      <w:r w:rsidR="00AB617D">
        <w:rPr>
          <w:spacing w:val="-4"/>
        </w:rPr>
        <w:t xml:space="preserve">for </w:t>
      </w:r>
      <w:r w:rsidR="00AB617D" w:rsidRPr="00B64B06">
        <w:t>age</w:t>
      </w:r>
      <w:r w:rsidR="00AB617D">
        <w:t>,</w:t>
      </w:r>
      <w:r w:rsidR="00AB617D" w:rsidRPr="00B64B06">
        <w:t xml:space="preserve"> socio-economic </w:t>
      </w:r>
      <w:r w:rsidR="00AB617D" w:rsidRPr="00B64B06">
        <w:rPr>
          <w:spacing w:val="-4"/>
        </w:rPr>
        <w:t>status</w:t>
      </w:r>
      <w:r w:rsidR="00AB617D">
        <w:rPr>
          <w:spacing w:val="-4"/>
        </w:rPr>
        <w:t xml:space="preserve"> and baseline outcome (if available)</w:t>
      </w:r>
      <w:r w:rsidR="00AB617D" w:rsidRPr="005A1094">
        <w:rPr>
          <w:spacing w:val="-4"/>
        </w:rPr>
        <w:t xml:space="preserve"> using fixed effects</w:t>
      </w:r>
      <w:r w:rsidR="00AB617D">
        <w:rPr>
          <w:spacing w:val="-4"/>
        </w:rPr>
        <w:t>, and site using random effects (random intercepts).</w:t>
      </w:r>
      <w:r w:rsidRPr="00BD3073">
        <w:t xml:space="preserve"> </w:t>
      </w:r>
      <w:r w:rsidR="00AB617D" w:rsidRPr="00B64B06">
        <w:t>The effect</w:t>
      </w:r>
      <w:r w:rsidR="00AB617D">
        <w:t xml:space="preserve"> of</w:t>
      </w:r>
      <w:r w:rsidR="00AB617D" w:rsidRPr="00B64B06">
        <w:t xml:space="preserve"> </w:t>
      </w:r>
      <w:r w:rsidR="00AB617D">
        <w:t>intervention</w:t>
      </w:r>
      <w:r w:rsidR="00AB617D" w:rsidRPr="00B64B06">
        <w:t xml:space="preserve"> and corresponding 95% confidence interval will be reported.</w:t>
      </w:r>
      <w:r w:rsidR="00AB617D">
        <w:t>, though</w:t>
      </w:r>
      <w:r w:rsidR="00876D4A" w:rsidRPr="00B64B06">
        <w:t xml:space="preserve"> P-values will not be reported for secondary analyses. These analyses will be considered supportive. </w:t>
      </w:r>
    </w:p>
    <w:p w14:paraId="283F7BBF" w14:textId="77777777" w:rsidR="00876D4A" w:rsidRPr="00B64B06" w:rsidRDefault="00876D4A" w:rsidP="00876D4A">
      <w:pPr>
        <w:rPr>
          <w:spacing w:val="-4"/>
        </w:rPr>
      </w:pPr>
    </w:p>
    <w:p w14:paraId="2B9D89A6" w14:textId="70D3373A" w:rsidR="00A824CC" w:rsidRPr="00453E61" w:rsidRDefault="00A824CC" w:rsidP="00876D4A">
      <w:pPr>
        <w:pStyle w:val="Heading2"/>
      </w:pPr>
      <w:bookmarkStart w:id="30" w:name="_Toc115088914"/>
      <w:r w:rsidRPr="00453E61">
        <w:t>Sensitivity analys</w:t>
      </w:r>
      <w:r w:rsidR="00B64B06" w:rsidRPr="00453E61">
        <w:t>e</w:t>
      </w:r>
      <w:r w:rsidRPr="00453E61">
        <w:t>s</w:t>
      </w:r>
      <w:bookmarkEnd w:id="30"/>
    </w:p>
    <w:p w14:paraId="3867EE7C" w14:textId="77777777" w:rsidR="00B64B06" w:rsidRPr="00B64B06" w:rsidRDefault="00B64B06" w:rsidP="007E3B09">
      <w:r w:rsidRPr="00B64B06">
        <w:t>Several sensitivity analyses will be performed for the primary outcome. These are:</w:t>
      </w:r>
    </w:p>
    <w:p w14:paraId="3689D0C0" w14:textId="77777777" w:rsidR="00111103" w:rsidRDefault="00111103" w:rsidP="00111103">
      <w:pPr>
        <w:pStyle w:val="BulletParagraph"/>
      </w:pPr>
      <w:r>
        <w:t>An a</w:t>
      </w:r>
      <w:r w:rsidRPr="00466D99">
        <w:t>nalys</w:t>
      </w:r>
      <w:r>
        <w:t>is</w:t>
      </w:r>
      <w:r w:rsidRPr="00466D99">
        <w:t xml:space="preserve"> may be performed to adjust for any baseline imbalance caused </w:t>
      </w:r>
      <w:r>
        <w:t xml:space="preserve">either </w:t>
      </w:r>
      <w:r w:rsidRPr="00466D99">
        <w:t>by chance o</w:t>
      </w:r>
      <w:r>
        <w:t>r by</w:t>
      </w:r>
      <w:r w:rsidRPr="00466D99">
        <w:t xml:space="preserve"> missing data (see Section 6.6).</w:t>
      </w:r>
    </w:p>
    <w:p w14:paraId="55165017" w14:textId="59FC1717" w:rsidR="00B64B06" w:rsidRDefault="00B92781" w:rsidP="00C57BE8">
      <w:pPr>
        <w:pStyle w:val="BulletParagraph"/>
      </w:pPr>
      <w:r>
        <w:t>A</w:t>
      </w:r>
      <w:r w:rsidR="00B64B06" w:rsidRPr="00B64B06">
        <w:t xml:space="preserve"> complier average causal effect (CACE) analysis and per-protocol analysis will be performed</w:t>
      </w:r>
      <w:r w:rsidR="00111103">
        <w:t xml:space="preserve"> to adjust </w:t>
      </w:r>
      <w:r w:rsidR="00111103" w:rsidRPr="00111103">
        <w:t>for any non-adherence to the intervention (see also Section 6.7). Adherence to the intervention</w:t>
      </w:r>
      <w:r w:rsidR="00553E92">
        <w:t xml:space="preserve"> supported-sessions</w:t>
      </w:r>
      <w:r w:rsidR="00111103" w:rsidRPr="00111103">
        <w:t xml:space="preserve"> is defined as attendance at </w:t>
      </w:r>
      <w:r w:rsidR="00111103">
        <w:t>3</w:t>
      </w:r>
      <w:r w:rsidR="00111103" w:rsidRPr="00111103">
        <w:t xml:space="preserve"> </w:t>
      </w:r>
      <w:r w:rsidR="00111103">
        <w:t>intervention sessions</w:t>
      </w:r>
      <w:r w:rsidR="00111103" w:rsidRPr="00111103">
        <w:t xml:space="preserve"> (from Section 4.3).</w:t>
      </w:r>
    </w:p>
    <w:p w14:paraId="3E1BF610" w14:textId="77777777" w:rsidR="00BB5697" w:rsidRDefault="00BB5697" w:rsidP="007E3B09"/>
    <w:p w14:paraId="612A8EBB" w14:textId="77777777" w:rsidR="004B3161" w:rsidRPr="00876D4A" w:rsidRDefault="004B3161" w:rsidP="004B3161">
      <w:pPr>
        <w:pStyle w:val="Heading2"/>
      </w:pPr>
      <w:bookmarkStart w:id="31" w:name="_Toc115088917"/>
      <w:r w:rsidRPr="00876D4A">
        <w:lastRenderedPageBreak/>
        <w:t>Subgroup analysis</w:t>
      </w:r>
      <w:bookmarkEnd w:id="31"/>
      <w:r w:rsidRPr="00876D4A">
        <w:t xml:space="preserve"> </w:t>
      </w:r>
    </w:p>
    <w:p w14:paraId="38B27673" w14:textId="07A4791B" w:rsidR="004B3161" w:rsidRPr="00B64B06" w:rsidRDefault="004B3161" w:rsidP="004B3161">
      <w:pPr>
        <w:pStyle w:val="NoSpacing"/>
        <w:spacing w:line="276" w:lineRule="auto"/>
        <w:rPr>
          <w:rFonts w:asciiTheme="minorHAnsi" w:eastAsia="Times New Roman" w:hAnsiTheme="minorHAnsi" w:cstheme="minorHAnsi"/>
          <w:color w:val="000000"/>
          <w:sz w:val="24"/>
          <w:szCs w:val="24"/>
        </w:rPr>
      </w:pPr>
      <w:r w:rsidRPr="00B64B06">
        <w:rPr>
          <w:rFonts w:asciiTheme="minorHAnsi" w:eastAsia="Times New Roman" w:hAnsiTheme="minorHAnsi" w:cstheme="minorHAnsi"/>
          <w:color w:val="000000"/>
          <w:sz w:val="24"/>
          <w:szCs w:val="24"/>
        </w:rPr>
        <w:t>We will undertake a pre-specified subgroup analysis exploring the effectiveness in early</w:t>
      </w:r>
      <w:r>
        <w:rPr>
          <w:rFonts w:asciiTheme="minorHAnsi" w:eastAsia="Times New Roman" w:hAnsiTheme="minorHAnsi" w:cstheme="minorHAnsi"/>
          <w:color w:val="000000"/>
          <w:sz w:val="24"/>
          <w:szCs w:val="24"/>
        </w:rPr>
        <w:t xml:space="preserve"> </w:t>
      </w:r>
      <w:r w:rsidRPr="00B64B06">
        <w:rPr>
          <w:rFonts w:asciiTheme="minorHAnsi" w:hAnsiTheme="minorHAnsi" w:cstheme="minorHAnsi"/>
          <w:sz w:val="24"/>
          <w:szCs w:val="24"/>
        </w:rPr>
        <w:t xml:space="preserve">(diagnostic/maintenance) </w:t>
      </w:r>
      <w:r w:rsidRPr="00B64B06">
        <w:rPr>
          <w:rFonts w:asciiTheme="minorHAnsi" w:eastAsia="Times New Roman" w:hAnsiTheme="minorHAnsi" w:cstheme="minorHAnsi"/>
          <w:color w:val="000000"/>
          <w:sz w:val="24"/>
          <w:szCs w:val="24"/>
        </w:rPr>
        <w:t xml:space="preserve">vs. advanced </w:t>
      </w:r>
      <w:r w:rsidRPr="00B64B06">
        <w:rPr>
          <w:rFonts w:asciiTheme="minorHAnsi" w:hAnsiTheme="minorHAnsi" w:cstheme="minorHAnsi"/>
          <w:sz w:val="24"/>
          <w:szCs w:val="24"/>
        </w:rPr>
        <w:t xml:space="preserve">(complications/palliative) </w:t>
      </w:r>
      <w:r w:rsidRPr="00B64B06">
        <w:rPr>
          <w:rFonts w:asciiTheme="minorHAnsi" w:eastAsia="Times New Roman" w:hAnsiTheme="minorHAnsi" w:cstheme="minorHAnsi"/>
          <w:color w:val="000000"/>
          <w:sz w:val="24"/>
          <w:szCs w:val="24"/>
        </w:rPr>
        <w:t>PD</w:t>
      </w:r>
      <w:r w:rsidR="00153BAC">
        <w:rPr>
          <w:rFonts w:asciiTheme="minorHAnsi" w:eastAsia="Times New Roman" w:hAnsiTheme="minorHAnsi" w:cstheme="minorHAnsi"/>
          <w:color w:val="000000"/>
          <w:sz w:val="24"/>
          <w:szCs w:val="24"/>
        </w:rPr>
        <w:t xml:space="preserve">. Three groups will be defined for this analysis based on </w:t>
      </w:r>
      <w:r w:rsidR="00153BAC" w:rsidRPr="00153BAC">
        <w:rPr>
          <w:rFonts w:asciiTheme="minorHAnsi" w:eastAsia="Times New Roman" w:hAnsiTheme="minorHAnsi" w:cstheme="minorHAnsi"/>
          <w:color w:val="000000"/>
          <w:sz w:val="24"/>
          <w:szCs w:val="24"/>
        </w:rPr>
        <w:t xml:space="preserve">Hoehn and Yahr stages </w:t>
      </w:r>
      <w:r w:rsidR="00153BAC">
        <w:rPr>
          <w:rFonts w:asciiTheme="minorHAnsi" w:eastAsia="Times New Roman" w:hAnsiTheme="minorHAnsi" w:cstheme="minorHAnsi"/>
          <w:color w:val="000000"/>
          <w:sz w:val="24"/>
          <w:szCs w:val="24"/>
        </w:rPr>
        <w:t>(</w:t>
      </w:r>
      <w:r w:rsidR="00153BAC" w:rsidRPr="00153BAC">
        <w:rPr>
          <w:rFonts w:asciiTheme="minorHAnsi" w:eastAsia="Times New Roman" w:hAnsiTheme="minorHAnsi" w:cstheme="minorHAnsi"/>
          <w:color w:val="000000"/>
          <w:sz w:val="24"/>
          <w:szCs w:val="24"/>
        </w:rPr>
        <w:t>1-2 vs 3 vs 4-5</w:t>
      </w:r>
      <w:r w:rsidR="00153BAC">
        <w:rPr>
          <w:rFonts w:asciiTheme="minorHAnsi" w:eastAsia="Times New Roman" w:hAnsiTheme="minorHAnsi" w:cstheme="minorHAnsi"/>
          <w:color w:val="000000"/>
          <w:sz w:val="24"/>
          <w:szCs w:val="24"/>
        </w:rPr>
        <w:t xml:space="preserve">), though groups may be combined if numbers are small (i.e. 3 may be combined with 4-5). This analysis will be performed by adding a main effect for subgroup and </w:t>
      </w:r>
      <w:r>
        <w:rPr>
          <w:rFonts w:asciiTheme="minorHAnsi" w:eastAsia="Times New Roman" w:hAnsiTheme="minorHAnsi" w:cstheme="minorHAnsi"/>
          <w:color w:val="000000"/>
          <w:sz w:val="24"/>
          <w:szCs w:val="24"/>
        </w:rPr>
        <w:t>interaction term</w:t>
      </w:r>
      <w:r w:rsidR="00153BAC">
        <w:rPr>
          <w:rFonts w:asciiTheme="minorHAnsi" w:eastAsia="Times New Roman" w:hAnsiTheme="minorHAnsi" w:cstheme="minorHAnsi"/>
          <w:color w:val="000000"/>
          <w:sz w:val="24"/>
          <w:szCs w:val="24"/>
        </w:rPr>
        <w:t>s</w:t>
      </w:r>
      <w:r>
        <w:rPr>
          <w:rFonts w:asciiTheme="minorHAnsi" w:eastAsia="Times New Roman" w:hAnsiTheme="minorHAnsi" w:cstheme="minorHAnsi"/>
          <w:color w:val="000000"/>
          <w:sz w:val="24"/>
          <w:szCs w:val="24"/>
        </w:rPr>
        <w:t xml:space="preserve"> between </w:t>
      </w:r>
      <w:r w:rsidR="00153BAC">
        <w:rPr>
          <w:rFonts w:asciiTheme="minorHAnsi" w:eastAsia="Times New Roman" w:hAnsiTheme="minorHAnsi" w:cstheme="minorHAnsi"/>
          <w:color w:val="000000"/>
          <w:sz w:val="24"/>
          <w:szCs w:val="24"/>
        </w:rPr>
        <w:t xml:space="preserve">subgroup and </w:t>
      </w:r>
      <w:r>
        <w:rPr>
          <w:rFonts w:asciiTheme="minorHAnsi" w:eastAsia="Times New Roman" w:hAnsiTheme="minorHAnsi" w:cstheme="minorHAnsi"/>
          <w:color w:val="000000"/>
          <w:sz w:val="24"/>
          <w:szCs w:val="24"/>
        </w:rPr>
        <w:t>intervention</w:t>
      </w:r>
      <w:r w:rsidR="00153BAC">
        <w:rPr>
          <w:rFonts w:asciiTheme="minorHAnsi" w:eastAsia="Times New Roman" w:hAnsiTheme="minorHAnsi" w:cstheme="minorHAnsi"/>
          <w:color w:val="000000"/>
          <w:sz w:val="24"/>
          <w:szCs w:val="24"/>
        </w:rPr>
        <w:t xml:space="preserve"> to </w:t>
      </w:r>
      <w:r>
        <w:rPr>
          <w:rFonts w:asciiTheme="minorHAnsi" w:eastAsia="Times New Roman" w:hAnsiTheme="minorHAnsi" w:cstheme="minorHAnsi"/>
          <w:color w:val="000000"/>
          <w:sz w:val="24"/>
          <w:szCs w:val="24"/>
        </w:rPr>
        <w:t>the primary analysis model.</w:t>
      </w:r>
    </w:p>
    <w:p w14:paraId="202123A6" w14:textId="77777777" w:rsidR="004B3161" w:rsidRPr="00B64B06" w:rsidRDefault="004B3161" w:rsidP="007E3B09"/>
    <w:p w14:paraId="64487AB8" w14:textId="23483D81" w:rsidR="00BB5697" w:rsidRPr="00F517EC" w:rsidRDefault="00FD263A" w:rsidP="00876D4A">
      <w:pPr>
        <w:pStyle w:val="Heading2"/>
      </w:pPr>
      <w:bookmarkStart w:id="32" w:name="_Toc115088915"/>
      <w:r w:rsidRPr="00F517EC">
        <w:t>Missing dat</w:t>
      </w:r>
      <w:bookmarkEnd w:id="32"/>
      <w:r w:rsidR="00BB5697" w:rsidRPr="00F517EC">
        <w:t>a</w:t>
      </w:r>
    </w:p>
    <w:p w14:paraId="3569218B" w14:textId="43884B7F" w:rsidR="0046750D" w:rsidRDefault="0046750D" w:rsidP="007E3B09">
      <w:r w:rsidRPr="00B64B06">
        <w:t>Withdrawals from the study, loss to follow up and other missing outcome data will be summarised separately by randomised group. Potential bias due to missing data will be investigated by comparing the baseline characteristics of participants with and without missing values. Depending on the quantity of missing values, predictors of missingness may be identified. We will then perform a sensitivity analysis that includes these predictors of missingness as covariates in the primary analysis model.</w:t>
      </w:r>
    </w:p>
    <w:p w14:paraId="5EC51E34" w14:textId="77777777" w:rsidR="00BB5697" w:rsidRPr="00B64B06" w:rsidRDefault="00BB5697" w:rsidP="007E3B09"/>
    <w:p w14:paraId="309A9EA2" w14:textId="7A64FFC8" w:rsidR="0046750D" w:rsidRDefault="0046750D" w:rsidP="007E3B09">
      <w:r w:rsidRPr="00B64B06">
        <w:t>Multiple imputation may also be performed, if deemed appropriate. The imputation model will include outcome data from all time-points, as well as baseline characteristics. The primary analysis model will then be re-fitted using the imputed data.</w:t>
      </w:r>
    </w:p>
    <w:p w14:paraId="0FB590FF" w14:textId="77777777" w:rsidR="00BB5697" w:rsidRDefault="00BB5697" w:rsidP="007E3B09"/>
    <w:p w14:paraId="7CAF1571" w14:textId="77777777" w:rsidR="00BB5697" w:rsidRDefault="00BB5697" w:rsidP="007E3B09">
      <w:r>
        <w:t>In addition, imputation may be performed under the assumption that the missing data are MNAR. Two strategies may be investigated:</w:t>
      </w:r>
    </w:p>
    <w:p w14:paraId="63D69007" w14:textId="77777777" w:rsidR="00BB5697" w:rsidRDefault="00BB5697" w:rsidP="004C0D99">
      <w:pPr>
        <w:pStyle w:val="BulletParagraph"/>
      </w:pPr>
      <w:r>
        <w:t>Delta-adjustment: This approach initially uses (standard) multiple imputation to impute missing values but then the imputed values are modified using a ‘delta-adjustment’. Different values of delta may be specified, and these can differ by trial arm.</w:t>
      </w:r>
    </w:p>
    <w:p w14:paraId="39603FAC" w14:textId="1F2984BF" w:rsidR="00BB5697" w:rsidRDefault="00BB5697" w:rsidP="004C0D99">
      <w:pPr>
        <w:pStyle w:val="BulletParagraph"/>
      </w:pPr>
      <w:r>
        <w:t xml:space="preserve">Reference-based sensitivity analyses: A range of different assumptions regarding the missing data can be investigated using this approach, which is implemented in the Stata package </w:t>
      </w:r>
      <w:r w:rsidRPr="00BC3670">
        <w:rPr>
          <w:b/>
          <w:bCs/>
        </w:rPr>
        <w:t>mimix</w:t>
      </w:r>
      <w:r>
        <w:t xml:space="preserve"> (Cro </w:t>
      </w:r>
      <w:r w:rsidRPr="00BC3670">
        <w:rPr>
          <w:i/>
          <w:iCs/>
        </w:rPr>
        <w:t>et al</w:t>
      </w:r>
      <w:r>
        <w:t>, 2016).</w:t>
      </w:r>
    </w:p>
    <w:p w14:paraId="16D65E3E" w14:textId="77777777" w:rsidR="00BB5697" w:rsidRDefault="00BB5697" w:rsidP="007E3B09"/>
    <w:p w14:paraId="511C7DB4" w14:textId="4E9EFB30" w:rsidR="00111103" w:rsidRDefault="00111103" w:rsidP="00111103">
      <w:pPr>
        <w:pStyle w:val="Heading2"/>
      </w:pPr>
      <w:r>
        <w:lastRenderedPageBreak/>
        <w:t>Additional analyses</w:t>
      </w:r>
    </w:p>
    <w:p w14:paraId="5DD08C9D" w14:textId="77777777" w:rsidR="00111103" w:rsidRDefault="00111103" w:rsidP="00111103">
      <w:r>
        <w:t>Several additional analyses may be performed. These are:</w:t>
      </w:r>
    </w:p>
    <w:p w14:paraId="646D3164" w14:textId="77777777" w:rsidR="00111103" w:rsidRPr="004037F8" w:rsidRDefault="00111103" w:rsidP="00111103">
      <w:pPr>
        <w:pStyle w:val="BulletParagraph"/>
      </w:pPr>
      <w:r w:rsidRPr="008111D6">
        <w:t xml:space="preserve">The effect of the intervention </w:t>
      </w:r>
      <w:r>
        <w:t xml:space="preserve">at 12 months </w:t>
      </w:r>
      <w:r w:rsidRPr="008111D6">
        <w:t xml:space="preserve">will be assessed using a </w:t>
      </w:r>
      <w:r>
        <w:t>two</w:t>
      </w:r>
      <w:r w:rsidRPr="008111D6">
        <w:t xml:space="preserve">-level linear </w:t>
      </w:r>
      <w:r>
        <w:t>mixed</w:t>
      </w:r>
      <w:r w:rsidRPr="008111D6">
        <w:t xml:space="preserve"> model, </w:t>
      </w:r>
      <w:r w:rsidRPr="005A1094">
        <w:rPr>
          <w:spacing w:val="-4"/>
        </w:rPr>
        <w:t>adjust</w:t>
      </w:r>
      <w:r>
        <w:rPr>
          <w:spacing w:val="-4"/>
        </w:rPr>
        <w:t>ed</w:t>
      </w:r>
      <w:r w:rsidRPr="005A1094">
        <w:rPr>
          <w:spacing w:val="-4"/>
        </w:rPr>
        <w:t xml:space="preserve"> </w:t>
      </w:r>
      <w:r>
        <w:rPr>
          <w:spacing w:val="-4"/>
        </w:rPr>
        <w:t xml:space="preserve">for </w:t>
      </w:r>
      <w:r w:rsidRPr="00B64B06">
        <w:t>age</w:t>
      </w:r>
      <w:r>
        <w:t>,</w:t>
      </w:r>
      <w:r w:rsidRPr="00B64B06">
        <w:t xml:space="preserve"> socio-economic </w:t>
      </w:r>
      <w:r w:rsidRPr="00B64B06">
        <w:rPr>
          <w:spacing w:val="-4"/>
        </w:rPr>
        <w:t>status</w:t>
      </w:r>
      <w:r>
        <w:rPr>
          <w:spacing w:val="-4"/>
        </w:rPr>
        <w:t xml:space="preserve"> and baseline PDQ-39 score</w:t>
      </w:r>
      <w:r w:rsidRPr="005A1094">
        <w:rPr>
          <w:spacing w:val="-4"/>
        </w:rPr>
        <w:t xml:space="preserve"> using fixed effects</w:t>
      </w:r>
      <w:r>
        <w:rPr>
          <w:spacing w:val="-4"/>
        </w:rPr>
        <w:t>, and site using random effects (random intercepts).</w:t>
      </w:r>
    </w:p>
    <w:p w14:paraId="6C98B53A" w14:textId="1215F4D3" w:rsidR="004037F8" w:rsidRDefault="004037F8" w:rsidP="004037F8">
      <w:pPr>
        <w:pStyle w:val="BulletParagraph"/>
      </w:pPr>
      <w:r>
        <w:t xml:space="preserve">Adherence to intervention will be described, e.g. in terms of the mean (SD) number of sessions attended. Reasons for </w:t>
      </w:r>
      <w:r w:rsidRPr="004037F8">
        <w:t>withdrawal or loss to follow-up</w:t>
      </w:r>
      <w:r>
        <w:t xml:space="preserve"> will be described</w:t>
      </w:r>
      <w:r w:rsidRPr="00A15082">
        <w:t>.</w:t>
      </w:r>
      <w:r>
        <w:t xml:space="preserve"> </w:t>
      </w:r>
    </w:p>
    <w:p w14:paraId="5F6933DE" w14:textId="77777777" w:rsidR="00111103" w:rsidRDefault="00111103" w:rsidP="007E3B09"/>
    <w:p w14:paraId="605FE317" w14:textId="3A84BAA5" w:rsidR="002360E8" w:rsidRPr="00BE4A71" w:rsidRDefault="001A0B4B" w:rsidP="00C57BE8">
      <w:pPr>
        <w:pStyle w:val="Heading2"/>
      </w:pPr>
      <w:bookmarkStart w:id="33" w:name="_Toc115088918"/>
      <w:r w:rsidRPr="00BE4A71">
        <w:t>Adverse events</w:t>
      </w:r>
      <w:bookmarkEnd w:id="33"/>
    </w:p>
    <w:p w14:paraId="1B1E73F7" w14:textId="65A82F67" w:rsidR="00835FEF" w:rsidRDefault="001A0B4B" w:rsidP="007E3B09">
      <w:r w:rsidRPr="00B64B06">
        <w:t xml:space="preserve">The number, nature and severity of serious adverse events (if any) will be reported separately by study arm at each follow up time point. The number of participants who experience adverse events will likewise be reported separately by study arm. </w:t>
      </w:r>
    </w:p>
    <w:p w14:paraId="72E849A1" w14:textId="77777777" w:rsidR="00C57BE8" w:rsidRDefault="00C57BE8" w:rsidP="007E3B09"/>
    <w:p w14:paraId="42840C7B" w14:textId="42DEC0DF" w:rsidR="00835FEF" w:rsidRDefault="00835FEF" w:rsidP="007E3B09">
      <w:pPr>
        <w:pStyle w:val="Heading2"/>
      </w:pPr>
      <w:r>
        <w:t xml:space="preserve">Reporting </w:t>
      </w:r>
    </w:p>
    <w:p w14:paraId="49AB0CB7" w14:textId="77777777" w:rsidR="001A1BB1" w:rsidRDefault="00835FEF" w:rsidP="007E3B09">
      <w:r w:rsidRPr="00700190">
        <w:t xml:space="preserve">Analyses </w:t>
      </w:r>
      <w:r>
        <w:t>will</w:t>
      </w:r>
      <w:r w:rsidRPr="00700190">
        <w:t xml:space="preserve"> be reported with </w:t>
      </w:r>
      <w:r>
        <w:t xml:space="preserve">regard to the CONSORT checklist </w:t>
      </w:r>
      <w:r w:rsidRPr="00700190">
        <w:t>and with any particular requirements of academic journals</w:t>
      </w:r>
      <w:r>
        <w:t xml:space="preserve"> and the funders</w:t>
      </w:r>
      <w:r w:rsidRPr="00700190">
        <w:t xml:space="preserve"> to which the results of analyses are submitted.</w:t>
      </w:r>
      <w:r>
        <w:t xml:space="preserve"> </w:t>
      </w:r>
    </w:p>
    <w:p w14:paraId="1B0F3B34" w14:textId="18171C72" w:rsidR="00835FEF" w:rsidRDefault="00835FEF" w:rsidP="007E3B09">
      <w:r>
        <w:br w:type="page"/>
      </w:r>
    </w:p>
    <w:p w14:paraId="29C574CE" w14:textId="4106176C" w:rsidR="00835FEF" w:rsidRDefault="00835FEF" w:rsidP="007E3B09">
      <w:pPr>
        <w:pStyle w:val="Heading1"/>
      </w:pPr>
      <w:r>
        <w:lastRenderedPageBreak/>
        <w:t>Appendix</w:t>
      </w:r>
    </w:p>
    <w:p w14:paraId="769A000D" w14:textId="04D434EC" w:rsidR="00835FEF" w:rsidRDefault="00835FEF" w:rsidP="007E3B09">
      <w:pPr>
        <w:pStyle w:val="Heading2"/>
      </w:pPr>
      <w:r>
        <w:t>List of Abbreviations</w:t>
      </w:r>
    </w:p>
    <w:p w14:paraId="6F7FF4A5" w14:textId="77777777" w:rsidR="00200A42" w:rsidRPr="00200A42" w:rsidRDefault="00200A42" w:rsidP="00200A42"/>
    <w:tbl>
      <w:tblPr>
        <w:tblStyle w:val="TableGrid"/>
        <w:tblpPr w:leftFromText="180" w:rightFromText="180" w:vertAnchor="text" w:horzAnchor="margin" w:tblpY="12"/>
        <w:tblW w:w="9243" w:type="dxa"/>
        <w:tblLook w:val="04A0" w:firstRow="1" w:lastRow="0" w:firstColumn="1" w:lastColumn="0" w:noHBand="0" w:noVBand="1"/>
      </w:tblPr>
      <w:tblGrid>
        <w:gridCol w:w="1007"/>
        <w:gridCol w:w="3496"/>
        <w:gridCol w:w="992"/>
        <w:gridCol w:w="3748"/>
      </w:tblGrid>
      <w:tr w:rsidR="00835FEF" w:rsidRPr="00B64B06" w14:paraId="151BFCC6" w14:textId="77777777" w:rsidTr="00443EB1">
        <w:tc>
          <w:tcPr>
            <w:tcW w:w="1007" w:type="dxa"/>
            <w:tcBorders>
              <w:top w:val="single" w:sz="4" w:space="0" w:color="auto"/>
              <w:left w:val="single" w:sz="4" w:space="0" w:color="auto"/>
              <w:bottom w:val="single" w:sz="4" w:space="0" w:color="auto"/>
              <w:right w:val="single" w:sz="4" w:space="0" w:color="auto"/>
            </w:tcBorders>
            <w:hideMark/>
          </w:tcPr>
          <w:p w14:paraId="606ADAC5" w14:textId="77777777" w:rsidR="00835FEF" w:rsidRPr="00B64B06" w:rsidRDefault="00835FEF" w:rsidP="007E3B09">
            <w:r w:rsidRPr="00B64B06">
              <w:t>AE</w:t>
            </w:r>
          </w:p>
        </w:tc>
        <w:tc>
          <w:tcPr>
            <w:tcW w:w="3496" w:type="dxa"/>
            <w:tcBorders>
              <w:top w:val="single" w:sz="4" w:space="0" w:color="auto"/>
              <w:left w:val="single" w:sz="4" w:space="0" w:color="auto"/>
              <w:bottom w:val="single" w:sz="4" w:space="0" w:color="auto"/>
              <w:right w:val="single" w:sz="24" w:space="0" w:color="auto"/>
            </w:tcBorders>
            <w:hideMark/>
          </w:tcPr>
          <w:p w14:paraId="7E579526" w14:textId="77777777" w:rsidR="00835FEF" w:rsidRPr="00B64B06" w:rsidRDefault="00835FEF" w:rsidP="007E3B09">
            <w:r w:rsidRPr="00B64B06">
              <w:t>Adverse Event</w:t>
            </w:r>
          </w:p>
        </w:tc>
        <w:tc>
          <w:tcPr>
            <w:tcW w:w="992" w:type="dxa"/>
            <w:tcBorders>
              <w:top w:val="single" w:sz="4" w:space="0" w:color="auto"/>
              <w:left w:val="single" w:sz="24" w:space="0" w:color="auto"/>
              <w:bottom w:val="single" w:sz="4" w:space="0" w:color="auto"/>
              <w:right w:val="single" w:sz="4" w:space="0" w:color="auto"/>
            </w:tcBorders>
            <w:hideMark/>
          </w:tcPr>
          <w:p w14:paraId="0101CDFE" w14:textId="77777777" w:rsidR="00835FEF" w:rsidRPr="00B64B06" w:rsidRDefault="00835FEF" w:rsidP="007E3B09">
            <w:r w:rsidRPr="00B64B06">
              <w:t>MOCA</w:t>
            </w:r>
          </w:p>
        </w:tc>
        <w:tc>
          <w:tcPr>
            <w:tcW w:w="3748" w:type="dxa"/>
            <w:tcBorders>
              <w:top w:val="single" w:sz="4" w:space="0" w:color="auto"/>
              <w:left w:val="single" w:sz="4" w:space="0" w:color="auto"/>
              <w:bottom w:val="single" w:sz="4" w:space="0" w:color="auto"/>
              <w:right w:val="single" w:sz="4" w:space="0" w:color="auto"/>
            </w:tcBorders>
            <w:hideMark/>
          </w:tcPr>
          <w:p w14:paraId="3D482E10" w14:textId="4006C099" w:rsidR="00835FEF" w:rsidRPr="00B64B06" w:rsidRDefault="00835FEF" w:rsidP="007E3B09">
            <w:r w:rsidRPr="00B64B06">
              <w:rPr>
                <w:spacing w:val="-3"/>
              </w:rPr>
              <w:t xml:space="preserve">Montreal </w:t>
            </w:r>
            <w:r w:rsidRPr="00B64B06">
              <w:t>Cognitive Assessment test</w:t>
            </w:r>
          </w:p>
        </w:tc>
      </w:tr>
      <w:tr w:rsidR="00835FEF" w:rsidRPr="00B64B06" w14:paraId="1180FA12" w14:textId="77777777" w:rsidTr="00443EB1">
        <w:tc>
          <w:tcPr>
            <w:tcW w:w="1007" w:type="dxa"/>
            <w:tcBorders>
              <w:top w:val="single" w:sz="4" w:space="0" w:color="auto"/>
              <w:left w:val="single" w:sz="4" w:space="0" w:color="auto"/>
              <w:bottom w:val="single" w:sz="4" w:space="0" w:color="auto"/>
              <w:right w:val="single" w:sz="4" w:space="0" w:color="auto"/>
            </w:tcBorders>
            <w:hideMark/>
          </w:tcPr>
          <w:p w14:paraId="6DBCF884" w14:textId="77777777" w:rsidR="00835FEF" w:rsidRPr="00B64B06" w:rsidRDefault="00835FEF" w:rsidP="007E3B09">
            <w:r w:rsidRPr="00B64B06">
              <w:t>AR</w:t>
            </w:r>
          </w:p>
        </w:tc>
        <w:tc>
          <w:tcPr>
            <w:tcW w:w="3496" w:type="dxa"/>
            <w:tcBorders>
              <w:top w:val="single" w:sz="4" w:space="0" w:color="auto"/>
              <w:left w:val="single" w:sz="4" w:space="0" w:color="auto"/>
              <w:bottom w:val="single" w:sz="4" w:space="0" w:color="auto"/>
              <w:right w:val="single" w:sz="24" w:space="0" w:color="auto"/>
            </w:tcBorders>
            <w:hideMark/>
          </w:tcPr>
          <w:p w14:paraId="0596CFD3" w14:textId="77777777" w:rsidR="00835FEF" w:rsidRPr="00B64B06" w:rsidRDefault="00835FEF" w:rsidP="007E3B09">
            <w:r w:rsidRPr="00B64B06">
              <w:t>Adverse Reaction</w:t>
            </w:r>
          </w:p>
        </w:tc>
        <w:tc>
          <w:tcPr>
            <w:tcW w:w="992" w:type="dxa"/>
            <w:tcBorders>
              <w:top w:val="single" w:sz="4" w:space="0" w:color="auto"/>
              <w:left w:val="single" w:sz="24" w:space="0" w:color="auto"/>
              <w:bottom w:val="single" w:sz="4" w:space="0" w:color="auto"/>
              <w:right w:val="single" w:sz="4" w:space="0" w:color="auto"/>
            </w:tcBorders>
            <w:hideMark/>
          </w:tcPr>
          <w:p w14:paraId="05AF8C7A" w14:textId="77777777" w:rsidR="00835FEF" w:rsidRPr="00B64B06" w:rsidRDefault="00835FEF" w:rsidP="007E3B09">
            <w:r w:rsidRPr="00B64B06">
              <w:t>NICE</w:t>
            </w:r>
          </w:p>
        </w:tc>
        <w:tc>
          <w:tcPr>
            <w:tcW w:w="3748" w:type="dxa"/>
            <w:tcBorders>
              <w:top w:val="single" w:sz="4" w:space="0" w:color="auto"/>
              <w:left w:val="single" w:sz="4" w:space="0" w:color="auto"/>
              <w:bottom w:val="single" w:sz="4" w:space="0" w:color="auto"/>
              <w:right w:val="single" w:sz="4" w:space="0" w:color="auto"/>
            </w:tcBorders>
            <w:hideMark/>
          </w:tcPr>
          <w:p w14:paraId="3AACC7FD" w14:textId="77777777" w:rsidR="00835FEF" w:rsidRPr="00B64B06" w:rsidRDefault="00835FEF" w:rsidP="007E3B09">
            <w:r w:rsidRPr="00B64B06">
              <w:t>The National Institute for Health and Care Excellence</w:t>
            </w:r>
          </w:p>
        </w:tc>
      </w:tr>
      <w:tr w:rsidR="00835FEF" w:rsidRPr="00B64B06" w14:paraId="10EB7A95" w14:textId="77777777" w:rsidTr="00443EB1">
        <w:tc>
          <w:tcPr>
            <w:tcW w:w="1007" w:type="dxa"/>
            <w:tcBorders>
              <w:top w:val="single" w:sz="4" w:space="0" w:color="auto"/>
              <w:left w:val="single" w:sz="4" w:space="0" w:color="auto"/>
              <w:bottom w:val="single" w:sz="4" w:space="0" w:color="auto"/>
              <w:right w:val="single" w:sz="4" w:space="0" w:color="auto"/>
            </w:tcBorders>
            <w:hideMark/>
          </w:tcPr>
          <w:p w14:paraId="1C06511E" w14:textId="77777777" w:rsidR="00835FEF" w:rsidRPr="00B64B06" w:rsidRDefault="00835FEF" w:rsidP="007E3B09">
            <w:r w:rsidRPr="00B64B06">
              <w:t>CACE</w:t>
            </w:r>
          </w:p>
        </w:tc>
        <w:tc>
          <w:tcPr>
            <w:tcW w:w="3496" w:type="dxa"/>
            <w:tcBorders>
              <w:top w:val="single" w:sz="4" w:space="0" w:color="auto"/>
              <w:left w:val="single" w:sz="4" w:space="0" w:color="auto"/>
              <w:bottom w:val="single" w:sz="4" w:space="0" w:color="auto"/>
              <w:right w:val="single" w:sz="24" w:space="0" w:color="auto"/>
            </w:tcBorders>
            <w:hideMark/>
          </w:tcPr>
          <w:p w14:paraId="3962B7CD" w14:textId="77777777" w:rsidR="00835FEF" w:rsidRPr="00B64B06" w:rsidRDefault="00835FEF" w:rsidP="007E3B09">
            <w:r w:rsidRPr="00B64B06">
              <w:t>Complier Average Cause Effect</w:t>
            </w:r>
          </w:p>
        </w:tc>
        <w:tc>
          <w:tcPr>
            <w:tcW w:w="992" w:type="dxa"/>
            <w:tcBorders>
              <w:top w:val="single" w:sz="4" w:space="0" w:color="auto"/>
              <w:left w:val="single" w:sz="24" w:space="0" w:color="auto"/>
              <w:bottom w:val="single" w:sz="4" w:space="0" w:color="auto"/>
              <w:right w:val="single" w:sz="4" w:space="0" w:color="auto"/>
            </w:tcBorders>
            <w:hideMark/>
          </w:tcPr>
          <w:p w14:paraId="1B320D64" w14:textId="77777777" w:rsidR="00835FEF" w:rsidRPr="00B64B06" w:rsidRDefault="00835FEF" w:rsidP="007E3B09">
            <w:r w:rsidRPr="00B64B06">
              <w:t>NMSS</w:t>
            </w:r>
          </w:p>
        </w:tc>
        <w:tc>
          <w:tcPr>
            <w:tcW w:w="3748" w:type="dxa"/>
            <w:tcBorders>
              <w:top w:val="single" w:sz="4" w:space="0" w:color="auto"/>
              <w:left w:val="single" w:sz="4" w:space="0" w:color="auto"/>
              <w:bottom w:val="single" w:sz="4" w:space="0" w:color="auto"/>
              <w:right w:val="single" w:sz="4" w:space="0" w:color="auto"/>
            </w:tcBorders>
            <w:hideMark/>
          </w:tcPr>
          <w:p w14:paraId="6A38679A" w14:textId="77777777" w:rsidR="00835FEF" w:rsidRPr="00B64B06" w:rsidRDefault="00835FEF" w:rsidP="007E3B09">
            <w:r w:rsidRPr="00B64B06">
              <w:t>Non-Motor Rating Scale</w:t>
            </w:r>
          </w:p>
        </w:tc>
      </w:tr>
      <w:tr w:rsidR="00835FEF" w:rsidRPr="00B64B06" w14:paraId="4A36A20A" w14:textId="77777777" w:rsidTr="00443EB1">
        <w:tc>
          <w:tcPr>
            <w:tcW w:w="1007" w:type="dxa"/>
            <w:tcBorders>
              <w:top w:val="single" w:sz="4" w:space="0" w:color="auto"/>
              <w:left w:val="single" w:sz="4" w:space="0" w:color="auto"/>
              <w:bottom w:val="single" w:sz="4" w:space="0" w:color="auto"/>
              <w:right w:val="single" w:sz="4" w:space="0" w:color="auto"/>
            </w:tcBorders>
            <w:hideMark/>
          </w:tcPr>
          <w:p w14:paraId="34CA4E5E" w14:textId="77777777" w:rsidR="00835FEF" w:rsidRPr="00B64B06" w:rsidRDefault="00835FEF" w:rsidP="007E3B09">
            <w:r w:rsidRPr="00B64B06">
              <w:t>CI</w:t>
            </w:r>
          </w:p>
        </w:tc>
        <w:tc>
          <w:tcPr>
            <w:tcW w:w="3496" w:type="dxa"/>
            <w:tcBorders>
              <w:top w:val="single" w:sz="4" w:space="0" w:color="auto"/>
              <w:left w:val="single" w:sz="4" w:space="0" w:color="auto"/>
              <w:bottom w:val="single" w:sz="4" w:space="0" w:color="auto"/>
              <w:right w:val="single" w:sz="24" w:space="0" w:color="auto"/>
            </w:tcBorders>
            <w:hideMark/>
          </w:tcPr>
          <w:p w14:paraId="502D3461" w14:textId="77777777" w:rsidR="00835FEF" w:rsidRPr="00B64B06" w:rsidRDefault="00835FEF" w:rsidP="007E3B09">
            <w:r w:rsidRPr="00B64B06">
              <w:t>Chief Investigator</w:t>
            </w:r>
          </w:p>
        </w:tc>
        <w:tc>
          <w:tcPr>
            <w:tcW w:w="992" w:type="dxa"/>
            <w:tcBorders>
              <w:top w:val="single" w:sz="4" w:space="0" w:color="auto"/>
              <w:left w:val="single" w:sz="24" w:space="0" w:color="auto"/>
              <w:bottom w:val="single" w:sz="4" w:space="0" w:color="auto"/>
              <w:right w:val="single" w:sz="4" w:space="0" w:color="auto"/>
            </w:tcBorders>
            <w:hideMark/>
          </w:tcPr>
          <w:p w14:paraId="713F4AF9" w14:textId="77777777" w:rsidR="00835FEF" w:rsidRPr="00B64B06" w:rsidRDefault="00835FEF" w:rsidP="007E3B09">
            <w:r w:rsidRPr="00B64B06">
              <w:t>PD</w:t>
            </w:r>
          </w:p>
        </w:tc>
        <w:tc>
          <w:tcPr>
            <w:tcW w:w="3748" w:type="dxa"/>
            <w:tcBorders>
              <w:top w:val="single" w:sz="4" w:space="0" w:color="auto"/>
              <w:left w:val="single" w:sz="4" w:space="0" w:color="auto"/>
              <w:bottom w:val="single" w:sz="4" w:space="0" w:color="auto"/>
              <w:right w:val="single" w:sz="4" w:space="0" w:color="auto"/>
            </w:tcBorders>
            <w:hideMark/>
          </w:tcPr>
          <w:p w14:paraId="242C1537" w14:textId="77777777" w:rsidR="00835FEF" w:rsidRPr="00B64B06" w:rsidRDefault="00835FEF" w:rsidP="007E3B09">
            <w:r w:rsidRPr="00B64B06">
              <w:t>Parkinson’s disease</w:t>
            </w:r>
          </w:p>
        </w:tc>
      </w:tr>
      <w:tr w:rsidR="00835FEF" w:rsidRPr="00B64B06" w14:paraId="390BD3DD" w14:textId="77777777" w:rsidTr="00443EB1">
        <w:tc>
          <w:tcPr>
            <w:tcW w:w="1007" w:type="dxa"/>
            <w:tcBorders>
              <w:top w:val="single" w:sz="4" w:space="0" w:color="auto"/>
              <w:left w:val="single" w:sz="4" w:space="0" w:color="auto"/>
              <w:bottom w:val="single" w:sz="4" w:space="0" w:color="auto"/>
              <w:right w:val="single" w:sz="4" w:space="0" w:color="auto"/>
            </w:tcBorders>
            <w:hideMark/>
          </w:tcPr>
          <w:p w14:paraId="2CF34947" w14:textId="77777777" w:rsidR="00835FEF" w:rsidRPr="00B64B06" w:rsidRDefault="00835FEF" w:rsidP="007E3B09">
            <w:r w:rsidRPr="00B64B06">
              <w:t>CRF</w:t>
            </w:r>
          </w:p>
        </w:tc>
        <w:tc>
          <w:tcPr>
            <w:tcW w:w="3496" w:type="dxa"/>
            <w:tcBorders>
              <w:top w:val="single" w:sz="4" w:space="0" w:color="auto"/>
              <w:left w:val="single" w:sz="4" w:space="0" w:color="auto"/>
              <w:bottom w:val="single" w:sz="4" w:space="0" w:color="auto"/>
              <w:right w:val="single" w:sz="24" w:space="0" w:color="auto"/>
            </w:tcBorders>
            <w:hideMark/>
          </w:tcPr>
          <w:p w14:paraId="0C4EF500" w14:textId="77777777" w:rsidR="00835FEF" w:rsidRPr="00B64B06" w:rsidRDefault="00835FEF" w:rsidP="007E3B09">
            <w:r w:rsidRPr="00B64B06">
              <w:t>Case Report Form</w:t>
            </w:r>
          </w:p>
        </w:tc>
        <w:tc>
          <w:tcPr>
            <w:tcW w:w="992" w:type="dxa"/>
            <w:tcBorders>
              <w:top w:val="single" w:sz="4" w:space="0" w:color="auto"/>
              <w:left w:val="single" w:sz="24" w:space="0" w:color="auto"/>
              <w:bottom w:val="single" w:sz="4" w:space="0" w:color="auto"/>
              <w:right w:val="single" w:sz="4" w:space="0" w:color="auto"/>
            </w:tcBorders>
            <w:hideMark/>
          </w:tcPr>
          <w:p w14:paraId="4C19AA0F" w14:textId="77777777" w:rsidR="00835FEF" w:rsidRPr="00B64B06" w:rsidRDefault="00835FEF" w:rsidP="007E3B09">
            <w:r w:rsidRPr="00B64B06">
              <w:t>PI</w:t>
            </w:r>
          </w:p>
        </w:tc>
        <w:tc>
          <w:tcPr>
            <w:tcW w:w="3748" w:type="dxa"/>
            <w:tcBorders>
              <w:top w:val="single" w:sz="4" w:space="0" w:color="auto"/>
              <w:left w:val="single" w:sz="4" w:space="0" w:color="auto"/>
              <w:bottom w:val="single" w:sz="4" w:space="0" w:color="auto"/>
              <w:right w:val="single" w:sz="4" w:space="0" w:color="auto"/>
            </w:tcBorders>
            <w:hideMark/>
          </w:tcPr>
          <w:p w14:paraId="0F9DEFF9" w14:textId="77777777" w:rsidR="00835FEF" w:rsidRPr="00B64B06" w:rsidRDefault="00835FEF" w:rsidP="007E3B09">
            <w:r w:rsidRPr="00B64B06">
              <w:t>Principle Investigator</w:t>
            </w:r>
          </w:p>
        </w:tc>
      </w:tr>
      <w:tr w:rsidR="00835FEF" w:rsidRPr="00B64B06" w14:paraId="0C3ABD1B" w14:textId="77777777" w:rsidTr="00443EB1">
        <w:tc>
          <w:tcPr>
            <w:tcW w:w="1007" w:type="dxa"/>
            <w:tcBorders>
              <w:top w:val="single" w:sz="4" w:space="0" w:color="auto"/>
              <w:left w:val="single" w:sz="4" w:space="0" w:color="auto"/>
              <w:bottom w:val="single" w:sz="4" w:space="0" w:color="auto"/>
              <w:right w:val="single" w:sz="4" w:space="0" w:color="auto"/>
            </w:tcBorders>
            <w:hideMark/>
          </w:tcPr>
          <w:p w14:paraId="15CB85CD" w14:textId="77777777" w:rsidR="00835FEF" w:rsidRPr="00B64B06" w:rsidRDefault="00835FEF" w:rsidP="007E3B09">
            <w:r w:rsidRPr="00B64B06">
              <w:t>CRO</w:t>
            </w:r>
          </w:p>
        </w:tc>
        <w:tc>
          <w:tcPr>
            <w:tcW w:w="3496" w:type="dxa"/>
            <w:tcBorders>
              <w:top w:val="single" w:sz="4" w:space="0" w:color="auto"/>
              <w:left w:val="single" w:sz="4" w:space="0" w:color="auto"/>
              <w:bottom w:val="single" w:sz="4" w:space="0" w:color="auto"/>
              <w:right w:val="single" w:sz="24" w:space="0" w:color="auto"/>
            </w:tcBorders>
            <w:hideMark/>
          </w:tcPr>
          <w:p w14:paraId="3BD8CC02" w14:textId="77777777" w:rsidR="00835FEF" w:rsidRPr="00B64B06" w:rsidRDefault="00835FEF" w:rsidP="007E3B09">
            <w:r w:rsidRPr="00B64B06">
              <w:t>Contract Research Organisation</w:t>
            </w:r>
          </w:p>
        </w:tc>
        <w:tc>
          <w:tcPr>
            <w:tcW w:w="992" w:type="dxa"/>
            <w:tcBorders>
              <w:top w:val="single" w:sz="4" w:space="0" w:color="auto"/>
              <w:left w:val="single" w:sz="24" w:space="0" w:color="auto"/>
              <w:bottom w:val="single" w:sz="4" w:space="0" w:color="auto"/>
              <w:right w:val="single" w:sz="4" w:space="0" w:color="auto"/>
            </w:tcBorders>
            <w:hideMark/>
          </w:tcPr>
          <w:p w14:paraId="07174DF5" w14:textId="77777777" w:rsidR="00835FEF" w:rsidRPr="00B64B06" w:rsidRDefault="00835FEF" w:rsidP="007E3B09">
            <w:r w:rsidRPr="00B64B06">
              <w:t>PD-QOL</w:t>
            </w:r>
          </w:p>
        </w:tc>
        <w:tc>
          <w:tcPr>
            <w:tcW w:w="3748" w:type="dxa"/>
            <w:tcBorders>
              <w:top w:val="single" w:sz="4" w:space="0" w:color="auto"/>
              <w:left w:val="single" w:sz="4" w:space="0" w:color="auto"/>
              <w:bottom w:val="single" w:sz="4" w:space="0" w:color="auto"/>
              <w:right w:val="single" w:sz="4" w:space="0" w:color="auto"/>
            </w:tcBorders>
            <w:hideMark/>
          </w:tcPr>
          <w:p w14:paraId="241672B1" w14:textId="77777777" w:rsidR="00835FEF" w:rsidRPr="00B64B06" w:rsidRDefault="00835FEF" w:rsidP="007E3B09">
            <w:r w:rsidRPr="00B64B06">
              <w:t>Parkinson’s disease quality of life</w:t>
            </w:r>
          </w:p>
        </w:tc>
      </w:tr>
      <w:tr w:rsidR="00835FEF" w:rsidRPr="00B64B06" w14:paraId="2F320E9D" w14:textId="77777777" w:rsidTr="00443EB1">
        <w:tc>
          <w:tcPr>
            <w:tcW w:w="1007" w:type="dxa"/>
            <w:tcBorders>
              <w:top w:val="single" w:sz="4" w:space="0" w:color="auto"/>
              <w:left w:val="single" w:sz="4" w:space="0" w:color="auto"/>
              <w:bottom w:val="single" w:sz="4" w:space="0" w:color="auto"/>
              <w:right w:val="single" w:sz="4" w:space="0" w:color="auto"/>
            </w:tcBorders>
            <w:hideMark/>
          </w:tcPr>
          <w:p w14:paraId="44756F41" w14:textId="77777777" w:rsidR="00835FEF" w:rsidRPr="00B64B06" w:rsidRDefault="00835FEF" w:rsidP="007E3B09">
            <w:r w:rsidRPr="00B64B06">
              <w:t>CSRI</w:t>
            </w:r>
          </w:p>
        </w:tc>
        <w:tc>
          <w:tcPr>
            <w:tcW w:w="3496" w:type="dxa"/>
            <w:tcBorders>
              <w:top w:val="single" w:sz="4" w:space="0" w:color="auto"/>
              <w:left w:val="single" w:sz="4" w:space="0" w:color="auto"/>
              <w:bottom w:val="single" w:sz="4" w:space="0" w:color="auto"/>
              <w:right w:val="single" w:sz="24" w:space="0" w:color="auto"/>
            </w:tcBorders>
            <w:hideMark/>
          </w:tcPr>
          <w:p w14:paraId="6839DE29" w14:textId="77777777" w:rsidR="00835FEF" w:rsidRPr="00B64B06" w:rsidRDefault="00835FEF" w:rsidP="007E3B09">
            <w:r w:rsidRPr="00B64B06">
              <w:rPr>
                <w:spacing w:val="-3"/>
              </w:rPr>
              <w:t xml:space="preserve">Client Service </w:t>
            </w:r>
            <w:r w:rsidRPr="00B64B06">
              <w:t>Receipt Inventory-shortened, adapted for PD</w:t>
            </w:r>
          </w:p>
        </w:tc>
        <w:tc>
          <w:tcPr>
            <w:tcW w:w="992" w:type="dxa"/>
            <w:tcBorders>
              <w:top w:val="single" w:sz="4" w:space="0" w:color="auto"/>
              <w:left w:val="single" w:sz="24" w:space="0" w:color="auto"/>
              <w:bottom w:val="single" w:sz="4" w:space="0" w:color="auto"/>
              <w:right w:val="single" w:sz="4" w:space="0" w:color="auto"/>
            </w:tcBorders>
            <w:hideMark/>
          </w:tcPr>
          <w:p w14:paraId="0F0CCB06" w14:textId="77777777" w:rsidR="00835FEF" w:rsidRPr="00B64B06" w:rsidRDefault="00835FEF" w:rsidP="007E3B09">
            <w:r w:rsidRPr="00B64B06">
              <w:t>PIS</w:t>
            </w:r>
          </w:p>
        </w:tc>
        <w:tc>
          <w:tcPr>
            <w:tcW w:w="3748" w:type="dxa"/>
            <w:tcBorders>
              <w:top w:val="single" w:sz="4" w:space="0" w:color="auto"/>
              <w:left w:val="single" w:sz="4" w:space="0" w:color="auto"/>
              <w:bottom w:val="single" w:sz="4" w:space="0" w:color="auto"/>
              <w:right w:val="single" w:sz="4" w:space="0" w:color="auto"/>
            </w:tcBorders>
            <w:hideMark/>
          </w:tcPr>
          <w:p w14:paraId="78D56FE1" w14:textId="77777777" w:rsidR="00835FEF" w:rsidRPr="00B64B06" w:rsidRDefault="00835FEF" w:rsidP="007E3B09">
            <w:r w:rsidRPr="00B64B06">
              <w:t>Participant Information Sheet</w:t>
            </w:r>
          </w:p>
        </w:tc>
      </w:tr>
      <w:tr w:rsidR="00835FEF" w:rsidRPr="00B64B06" w14:paraId="4B19E088" w14:textId="77777777" w:rsidTr="00443EB1">
        <w:tc>
          <w:tcPr>
            <w:tcW w:w="1007" w:type="dxa"/>
            <w:tcBorders>
              <w:top w:val="single" w:sz="4" w:space="0" w:color="auto"/>
              <w:left w:val="single" w:sz="4" w:space="0" w:color="auto"/>
              <w:bottom w:val="single" w:sz="4" w:space="0" w:color="auto"/>
              <w:right w:val="single" w:sz="4" w:space="0" w:color="auto"/>
            </w:tcBorders>
            <w:hideMark/>
          </w:tcPr>
          <w:p w14:paraId="2E676AE3" w14:textId="77777777" w:rsidR="00835FEF" w:rsidRPr="00B64B06" w:rsidRDefault="00835FEF" w:rsidP="007E3B09">
            <w:r w:rsidRPr="00B64B06">
              <w:t>DMC</w:t>
            </w:r>
          </w:p>
        </w:tc>
        <w:tc>
          <w:tcPr>
            <w:tcW w:w="3496" w:type="dxa"/>
            <w:tcBorders>
              <w:top w:val="single" w:sz="4" w:space="0" w:color="auto"/>
              <w:left w:val="single" w:sz="4" w:space="0" w:color="auto"/>
              <w:bottom w:val="single" w:sz="4" w:space="0" w:color="auto"/>
              <w:right w:val="single" w:sz="24" w:space="0" w:color="auto"/>
            </w:tcBorders>
            <w:hideMark/>
          </w:tcPr>
          <w:p w14:paraId="507C55BD" w14:textId="77777777" w:rsidR="00835FEF" w:rsidRPr="00B64B06" w:rsidRDefault="00835FEF" w:rsidP="007E3B09">
            <w:r w:rsidRPr="00B64B06">
              <w:t>Data Monitoring Committee</w:t>
            </w:r>
          </w:p>
        </w:tc>
        <w:tc>
          <w:tcPr>
            <w:tcW w:w="992" w:type="dxa"/>
            <w:tcBorders>
              <w:top w:val="single" w:sz="4" w:space="0" w:color="auto"/>
              <w:left w:val="single" w:sz="24" w:space="0" w:color="auto"/>
              <w:bottom w:val="single" w:sz="4" w:space="0" w:color="auto"/>
              <w:right w:val="single" w:sz="4" w:space="0" w:color="auto"/>
            </w:tcBorders>
            <w:hideMark/>
          </w:tcPr>
          <w:p w14:paraId="4CF2143E" w14:textId="77777777" w:rsidR="00835FEF" w:rsidRPr="00B64B06" w:rsidRDefault="00835FEF" w:rsidP="007E3B09">
            <w:r w:rsidRPr="00B64B06">
              <w:t>QA</w:t>
            </w:r>
          </w:p>
        </w:tc>
        <w:tc>
          <w:tcPr>
            <w:tcW w:w="3748" w:type="dxa"/>
            <w:tcBorders>
              <w:top w:val="single" w:sz="4" w:space="0" w:color="auto"/>
              <w:left w:val="single" w:sz="4" w:space="0" w:color="auto"/>
              <w:bottom w:val="single" w:sz="4" w:space="0" w:color="auto"/>
              <w:right w:val="single" w:sz="4" w:space="0" w:color="auto"/>
            </w:tcBorders>
            <w:hideMark/>
          </w:tcPr>
          <w:p w14:paraId="7DFF6D87" w14:textId="77777777" w:rsidR="00835FEF" w:rsidRPr="00B64B06" w:rsidRDefault="00835FEF" w:rsidP="007E3B09">
            <w:r w:rsidRPr="00B64B06">
              <w:t>Quality Assurance</w:t>
            </w:r>
          </w:p>
        </w:tc>
      </w:tr>
      <w:tr w:rsidR="00835FEF" w:rsidRPr="00B64B06" w14:paraId="06196B5C" w14:textId="77777777" w:rsidTr="00443EB1">
        <w:tc>
          <w:tcPr>
            <w:tcW w:w="1007" w:type="dxa"/>
            <w:tcBorders>
              <w:top w:val="single" w:sz="4" w:space="0" w:color="auto"/>
              <w:left w:val="single" w:sz="4" w:space="0" w:color="auto"/>
              <w:bottom w:val="single" w:sz="4" w:space="0" w:color="auto"/>
              <w:right w:val="single" w:sz="4" w:space="0" w:color="auto"/>
            </w:tcBorders>
            <w:hideMark/>
          </w:tcPr>
          <w:p w14:paraId="3AC7B16D" w14:textId="77777777" w:rsidR="00835FEF" w:rsidRPr="00B64B06" w:rsidRDefault="00835FEF" w:rsidP="007E3B09">
            <w:r w:rsidRPr="00B64B06">
              <w:t>EQ-5D-5L</w:t>
            </w:r>
          </w:p>
        </w:tc>
        <w:tc>
          <w:tcPr>
            <w:tcW w:w="3496" w:type="dxa"/>
            <w:tcBorders>
              <w:top w:val="single" w:sz="4" w:space="0" w:color="auto"/>
              <w:left w:val="single" w:sz="4" w:space="0" w:color="auto"/>
              <w:bottom w:val="single" w:sz="4" w:space="0" w:color="auto"/>
              <w:right w:val="single" w:sz="24" w:space="0" w:color="auto"/>
            </w:tcBorders>
            <w:hideMark/>
          </w:tcPr>
          <w:p w14:paraId="19EE6B48" w14:textId="77777777" w:rsidR="00835FEF" w:rsidRPr="00B64B06" w:rsidRDefault="00835FEF" w:rsidP="007E3B09">
            <w:r w:rsidRPr="00B64B06">
              <w:t>Quality of life measure</w:t>
            </w:r>
          </w:p>
        </w:tc>
        <w:tc>
          <w:tcPr>
            <w:tcW w:w="992" w:type="dxa"/>
            <w:tcBorders>
              <w:top w:val="single" w:sz="4" w:space="0" w:color="auto"/>
              <w:left w:val="single" w:sz="24" w:space="0" w:color="auto"/>
              <w:bottom w:val="single" w:sz="4" w:space="0" w:color="auto"/>
              <w:right w:val="single" w:sz="4" w:space="0" w:color="auto"/>
            </w:tcBorders>
            <w:hideMark/>
          </w:tcPr>
          <w:p w14:paraId="6A9663F9" w14:textId="77777777" w:rsidR="00835FEF" w:rsidRPr="00B64B06" w:rsidRDefault="00835FEF" w:rsidP="007E3B09">
            <w:r w:rsidRPr="00B64B06">
              <w:t>QALY</w:t>
            </w:r>
          </w:p>
        </w:tc>
        <w:tc>
          <w:tcPr>
            <w:tcW w:w="3748" w:type="dxa"/>
            <w:tcBorders>
              <w:top w:val="single" w:sz="4" w:space="0" w:color="auto"/>
              <w:left w:val="single" w:sz="4" w:space="0" w:color="auto"/>
              <w:bottom w:val="single" w:sz="4" w:space="0" w:color="auto"/>
              <w:right w:val="single" w:sz="4" w:space="0" w:color="auto"/>
            </w:tcBorders>
            <w:hideMark/>
          </w:tcPr>
          <w:p w14:paraId="268637DA" w14:textId="77777777" w:rsidR="00835FEF" w:rsidRPr="00B64B06" w:rsidRDefault="00835FEF" w:rsidP="007E3B09">
            <w:r w:rsidRPr="00B64B06">
              <w:t>Incremental cost per quality adjusted life year</w:t>
            </w:r>
          </w:p>
        </w:tc>
      </w:tr>
      <w:tr w:rsidR="00835FEF" w:rsidRPr="00B64B06" w14:paraId="7DDBF728" w14:textId="77777777" w:rsidTr="00443EB1">
        <w:tc>
          <w:tcPr>
            <w:tcW w:w="1007" w:type="dxa"/>
            <w:tcBorders>
              <w:top w:val="single" w:sz="4" w:space="0" w:color="auto"/>
              <w:left w:val="single" w:sz="4" w:space="0" w:color="auto"/>
              <w:bottom w:val="single" w:sz="4" w:space="0" w:color="auto"/>
              <w:right w:val="single" w:sz="4" w:space="0" w:color="auto"/>
            </w:tcBorders>
            <w:hideMark/>
          </w:tcPr>
          <w:p w14:paraId="18384EA3" w14:textId="77777777" w:rsidR="00835FEF" w:rsidRPr="00B64B06" w:rsidRDefault="00835FEF" w:rsidP="007E3B09">
            <w:r w:rsidRPr="00B64B06">
              <w:t>GCP</w:t>
            </w:r>
          </w:p>
        </w:tc>
        <w:tc>
          <w:tcPr>
            <w:tcW w:w="3496" w:type="dxa"/>
            <w:tcBorders>
              <w:top w:val="single" w:sz="4" w:space="0" w:color="auto"/>
              <w:left w:val="single" w:sz="4" w:space="0" w:color="auto"/>
              <w:bottom w:val="single" w:sz="4" w:space="0" w:color="auto"/>
              <w:right w:val="single" w:sz="24" w:space="0" w:color="auto"/>
            </w:tcBorders>
            <w:hideMark/>
          </w:tcPr>
          <w:p w14:paraId="432D8F1E" w14:textId="77777777" w:rsidR="00835FEF" w:rsidRPr="00B64B06" w:rsidRDefault="00835FEF" w:rsidP="007E3B09">
            <w:r w:rsidRPr="00B64B06">
              <w:t>Good Clinical Practice</w:t>
            </w:r>
          </w:p>
        </w:tc>
        <w:tc>
          <w:tcPr>
            <w:tcW w:w="992" w:type="dxa"/>
            <w:tcBorders>
              <w:top w:val="single" w:sz="4" w:space="0" w:color="auto"/>
              <w:left w:val="single" w:sz="24" w:space="0" w:color="auto"/>
              <w:bottom w:val="single" w:sz="4" w:space="0" w:color="auto"/>
              <w:right w:val="single" w:sz="4" w:space="0" w:color="auto"/>
            </w:tcBorders>
            <w:hideMark/>
          </w:tcPr>
          <w:p w14:paraId="45D84BD0" w14:textId="77777777" w:rsidR="00835FEF" w:rsidRPr="00B64B06" w:rsidRDefault="00835FEF" w:rsidP="007E3B09">
            <w:r w:rsidRPr="00B64B06">
              <w:t>QC</w:t>
            </w:r>
          </w:p>
        </w:tc>
        <w:tc>
          <w:tcPr>
            <w:tcW w:w="3748" w:type="dxa"/>
            <w:tcBorders>
              <w:top w:val="single" w:sz="4" w:space="0" w:color="auto"/>
              <w:left w:val="single" w:sz="4" w:space="0" w:color="auto"/>
              <w:bottom w:val="single" w:sz="4" w:space="0" w:color="auto"/>
              <w:right w:val="single" w:sz="4" w:space="0" w:color="auto"/>
            </w:tcBorders>
            <w:hideMark/>
          </w:tcPr>
          <w:p w14:paraId="15E14335" w14:textId="77777777" w:rsidR="00835FEF" w:rsidRPr="00B64B06" w:rsidRDefault="00835FEF" w:rsidP="007E3B09">
            <w:r w:rsidRPr="00B64B06">
              <w:t>Quality Control</w:t>
            </w:r>
          </w:p>
        </w:tc>
      </w:tr>
      <w:tr w:rsidR="00835FEF" w:rsidRPr="00B64B06" w14:paraId="34301DED" w14:textId="77777777" w:rsidTr="00443EB1">
        <w:tc>
          <w:tcPr>
            <w:tcW w:w="1007" w:type="dxa"/>
            <w:tcBorders>
              <w:top w:val="single" w:sz="4" w:space="0" w:color="auto"/>
              <w:left w:val="single" w:sz="4" w:space="0" w:color="auto"/>
              <w:bottom w:val="single" w:sz="4" w:space="0" w:color="auto"/>
              <w:right w:val="single" w:sz="4" w:space="0" w:color="auto"/>
            </w:tcBorders>
            <w:hideMark/>
          </w:tcPr>
          <w:p w14:paraId="7AA5AE7E" w14:textId="77777777" w:rsidR="00835FEF" w:rsidRPr="00B64B06" w:rsidRDefault="00835FEF" w:rsidP="007E3B09">
            <w:r w:rsidRPr="00B64B06">
              <w:t>GDPR</w:t>
            </w:r>
          </w:p>
        </w:tc>
        <w:tc>
          <w:tcPr>
            <w:tcW w:w="3496" w:type="dxa"/>
            <w:tcBorders>
              <w:top w:val="single" w:sz="4" w:space="0" w:color="auto"/>
              <w:left w:val="single" w:sz="4" w:space="0" w:color="auto"/>
              <w:bottom w:val="single" w:sz="4" w:space="0" w:color="auto"/>
              <w:right w:val="single" w:sz="24" w:space="0" w:color="auto"/>
            </w:tcBorders>
            <w:hideMark/>
          </w:tcPr>
          <w:p w14:paraId="41240671" w14:textId="77777777" w:rsidR="00835FEF" w:rsidRPr="00B64B06" w:rsidRDefault="00835FEF" w:rsidP="007E3B09">
            <w:r w:rsidRPr="00B64B06">
              <w:t>General Data Protection Regulation</w:t>
            </w:r>
          </w:p>
        </w:tc>
        <w:tc>
          <w:tcPr>
            <w:tcW w:w="992" w:type="dxa"/>
            <w:tcBorders>
              <w:top w:val="single" w:sz="4" w:space="0" w:color="auto"/>
              <w:left w:val="single" w:sz="24" w:space="0" w:color="auto"/>
              <w:bottom w:val="single" w:sz="4" w:space="0" w:color="auto"/>
              <w:right w:val="single" w:sz="4" w:space="0" w:color="auto"/>
            </w:tcBorders>
            <w:hideMark/>
          </w:tcPr>
          <w:p w14:paraId="1E1801D5" w14:textId="77777777" w:rsidR="00835FEF" w:rsidRPr="00B64B06" w:rsidRDefault="00835FEF" w:rsidP="007E3B09">
            <w:r w:rsidRPr="00B64B06">
              <w:t>RCT</w:t>
            </w:r>
          </w:p>
        </w:tc>
        <w:tc>
          <w:tcPr>
            <w:tcW w:w="3748" w:type="dxa"/>
            <w:tcBorders>
              <w:top w:val="single" w:sz="4" w:space="0" w:color="auto"/>
              <w:left w:val="single" w:sz="4" w:space="0" w:color="auto"/>
              <w:bottom w:val="single" w:sz="4" w:space="0" w:color="auto"/>
              <w:right w:val="single" w:sz="4" w:space="0" w:color="auto"/>
            </w:tcBorders>
            <w:hideMark/>
          </w:tcPr>
          <w:p w14:paraId="1A0B079F" w14:textId="77777777" w:rsidR="00835FEF" w:rsidRPr="00B64B06" w:rsidRDefault="00835FEF" w:rsidP="007E3B09">
            <w:r w:rsidRPr="00B64B06">
              <w:t>Randomised Controlled Study</w:t>
            </w:r>
          </w:p>
        </w:tc>
      </w:tr>
      <w:tr w:rsidR="00835FEF" w:rsidRPr="00B64B06" w14:paraId="7C0868E1" w14:textId="77777777" w:rsidTr="00443EB1">
        <w:tc>
          <w:tcPr>
            <w:tcW w:w="1007" w:type="dxa"/>
            <w:tcBorders>
              <w:top w:val="single" w:sz="4" w:space="0" w:color="auto"/>
              <w:left w:val="single" w:sz="4" w:space="0" w:color="auto"/>
              <w:bottom w:val="single" w:sz="4" w:space="0" w:color="auto"/>
              <w:right w:val="single" w:sz="4" w:space="0" w:color="auto"/>
            </w:tcBorders>
            <w:hideMark/>
          </w:tcPr>
          <w:p w14:paraId="34F8EBA8" w14:textId="77777777" w:rsidR="00835FEF" w:rsidRPr="00B64B06" w:rsidRDefault="00835FEF" w:rsidP="007E3B09">
            <w:r w:rsidRPr="00B64B06">
              <w:t>GAfREC</w:t>
            </w:r>
          </w:p>
        </w:tc>
        <w:tc>
          <w:tcPr>
            <w:tcW w:w="3496" w:type="dxa"/>
            <w:tcBorders>
              <w:top w:val="single" w:sz="4" w:space="0" w:color="auto"/>
              <w:left w:val="single" w:sz="4" w:space="0" w:color="auto"/>
              <w:bottom w:val="single" w:sz="4" w:space="0" w:color="auto"/>
              <w:right w:val="single" w:sz="24" w:space="0" w:color="auto"/>
            </w:tcBorders>
            <w:hideMark/>
          </w:tcPr>
          <w:p w14:paraId="4C756EB6" w14:textId="77777777" w:rsidR="00835FEF" w:rsidRPr="00B64B06" w:rsidRDefault="00835FEF" w:rsidP="007E3B09">
            <w:r w:rsidRPr="00B64B06">
              <w:t>Governance Arrangement for NHS Research Ethics</w:t>
            </w:r>
          </w:p>
        </w:tc>
        <w:tc>
          <w:tcPr>
            <w:tcW w:w="992" w:type="dxa"/>
            <w:tcBorders>
              <w:top w:val="single" w:sz="4" w:space="0" w:color="auto"/>
              <w:left w:val="single" w:sz="24" w:space="0" w:color="auto"/>
              <w:bottom w:val="single" w:sz="4" w:space="0" w:color="auto"/>
              <w:right w:val="single" w:sz="4" w:space="0" w:color="auto"/>
            </w:tcBorders>
            <w:hideMark/>
          </w:tcPr>
          <w:p w14:paraId="50251E6C" w14:textId="77777777" w:rsidR="00835FEF" w:rsidRPr="00B64B06" w:rsidRDefault="00835FEF" w:rsidP="007E3B09">
            <w:r w:rsidRPr="00B64B06">
              <w:t>REC</w:t>
            </w:r>
          </w:p>
        </w:tc>
        <w:tc>
          <w:tcPr>
            <w:tcW w:w="3748" w:type="dxa"/>
            <w:tcBorders>
              <w:top w:val="single" w:sz="4" w:space="0" w:color="auto"/>
              <w:left w:val="single" w:sz="4" w:space="0" w:color="auto"/>
              <w:bottom w:val="single" w:sz="4" w:space="0" w:color="auto"/>
              <w:right w:val="single" w:sz="4" w:space="0" w:color="auto"/>
            </w:tcBorders>
            <w:hideMark/>
          </w:tcPr>
          <w:p w14:paraId="3B0CFB10" w14:textId="77777777" w:rsidR="00835FEF" w:rsidRPr="00B64B06" w:rsidRDefault="00835FEF" w:rsidP="007E3B09">
            <w:r w:rsidRPr="00B64B06">
              <w:t>Research Ethics committee</w:t>
            </w:r>
          </w:p>
        </w:tc>
      </w:tr>
      <w:tr w:rsidR="00835FEF" w:rsidRPr="00B64B06" w14:paraId="3B793A04" w14:textId="77777777" w:rsidTr="00443EB1">
        <w:tc>
          <w:tcPr>
            <w:tcW w:w="1007" w:type="dxa"/>
            <w:tcBorders>
              <w:top w:val="single" w:sz="4" w:space="0" w:color="auto"/>
              <w:left w:val="single" w:sz="4" w:space="0" w:color="auto"/>
              <w:bottom w:val="single" w:sz="4" w:space="0" w:color="auto"/>
              <w:right w:val="single" w:sz="4" w:space="0" w:color="auto"/>
            </w:tcBorders>
            <w:hideMark/>
          </w:tcPr>
          <w:p w14:paraId="69AC784C" w14:textId="77777777" w:rsidR="00835FEF" w:rsidRPr="00B64B06" w:rsidRDefault="00835FEF" w:rsidP="007E3B09">
            <w:r w:rsidRPr="00B64B06">
              <w:t>IB</w:t>
            </w:r>
          </w:p>
        </w:tc>
        <w:tc>
          <w:tcPr>
            <w:tcW w:w="3496" w:type="dxa"/>
            <w:tcBorders>
              <w:top w:val="single" w:sz="4" w:space="0" w:color="auto"/>
              <w:left w:val="single" w:sz="4" w:space="0" w:color="auto"/>
              <w:bottom w:val="single" w:sz="4" w:space="0" w:color="auto"/>
              <w:right w:val="single" w:sz="24" w:space="0" w:color="auto"/>
            </w:tcBorders>
            <w:hideMark/>
          </w:tcPr>
          <w:p w14:paraId="188FDF7E" w14:textId="77777777" w:rsidR="00835FEF" w:rsidRPr="00B64B06" w:rsidRDefault="00835FEF" w:rsidP="007E3B09">
            <w:r w:rsidRPr="00B64B06">
              <w:t>Investigator Brochure</w:t>
            </w:r>
          </w:p>
        </w:tc>
        <w:tc>
          <w:tcPr>
            <w:tcW w:w="992" w:type="dxa"/>
            <w:tcBorders>
              <w:top w:val="single" w:sz="4" w:space="0" w:color="auto"/>
              <w:left w:val="single" w:sz="24" w:space="0" w:color="auto"/>
              <w:bottom w:val="single" w:sz="4" w:space="0" w:color="auto"/>
              <w:right w:val="single" w:sz="4" w:space="0" w:color="auto"/>
            </w:tcBorders>
            <w:hideMark/>
          </w:tcPr>
          <w:p w14:paraId="627D9D1E" w14:textId="77777777" w:rsidR="00835FEF" w:rsidRPr="00B64B06" w:rsidRDefault="00835FEF" w:rsidP="007E3B09">
            <w:r w:rsidRPr="00B64B06">
              <w:t>SAR</w:t>
            </w:r>
          </w:p>
        </w:tc>
        <w:tc>
          <w:tcPr>
            <w:tcW w:w="3748" w:type="dxa"/>
            <w:tcBorders>
              <w:top w:val="single" w:sz="4" w:space="0" w:color="auto"/>
              <w:left w:val="single" w:sz="4" w:space="0" w:color="auto"/>
              <w:bottom w:val="single" w:sz="4" w:space="0" w:color="auto"/>
              <w:right w:val="single" w:sz="4" w:space="0" w:color="auto"/>
            </w:tcBorders>
            <w:hideMark/>
          </w:tcPr>
          <w:p w14:paraId="08017885" w14:textId="77777777" w:rsidR="00835FEF" w:rsidRPr="00B64B06" w:rsidRDefault="00835FEF" w:rsidP="007E3B09">
            <w:r w:rsidRPr="00B64B06">
              <w:t>Serious Adverse Reaction</w:t>
            </w:r>
          </w:p>
        </w:tc>
      </w:tr>
      <w:tr w:rsidR="00835FEF" w:rsidRPr="00B64B06" w14:paraId="1F3452A9" w14:textId="77777777" w:rsidTr="00443EB1">
        <w:tc>
          <w:tcPr>
            <w:tcW w:w="1007" w:type="dxa"/>
            <w:tcBorders>
              <w:top w:val="single" w:sz="4" w:space="0" w:color="auto"/>
              <w:left w:val="single" w:sz="4" w:space="0" w:color="auto"/>
              <w:bottom w:val="single" w:sz="4" w:space="0" w:color="auto"/>
              <w:right w:val="single" w:sz="4" w:space="0" w:color="auto"/>
            </w:tcBorders>
            <w:hideMark/>
          </w:tcPr>
          <w:p w14:paraId="34B39208" w14:textId="77777777" w:rsidR="00835FEF" w:rsidRPr="00B64B06" w:rsidRDefault="00835FEF" w:rsidP="007E3B09">
            <w:r w:rsidRPr="00B64B06">
              <w:t>HCP</w:t>
            </w:r>
          </w:p>
        </w:tc>
        <w:tc>
          <w:tcPr>
            <w:tcW w:w="3496" w:type="dxa"/>
            <w:tcBorders>
              <w:top w:val="single" w:sz="4" w:space="0" w:color="auto"/>
              <w:left w:val="single" w:sz="4" w:space="0" w:color="auto"/>
              <w:bottom w:val="single" w:sz="4" w:space="0" w:color="auto"/>
              <w:right w:val="single" w:sz="24" w:space="0" w:color="auto"/>
            </w:tcBorders>
            <w:hideMark/>
          </w:tcPr>
          <w:p w14:paraId="67F609EE" w14:textId="77777777" w:rsidR="00835FEF" w:rsidRPr="00B64B06" w:rsidRDefault="00835FEF" w:rsidP="007E3B09">
            <w:r w:rsidRPr="00B64B06">
              <w:t>Healthcare professional</w:t>
            </w:r>
          </w:p>
        </w:tc>
        <w:tc>
          <w:tcPr>
            <w:tcW w:w="992" w:type="dxa"/>
            <w:tcBorders>
              <w:top w:val="single" w:sz="4" w:space="0" w:color="auto"/>
              <w:left w:val="single" w:sz="24" w:space="0" w:color="auto"/>
              <w:bottom w:val="single" w:sz="4" w:space="0" w:color="auto"/>
              <w:right w:val="single" w:sz="4" w:space="0" w:color="auto"/>
            </w:tcBorders>
            <w:hideMark/>
          </w:tcPr>
          <w:p w14:paraId="64E7E52C" w14:textId="77777777" w:rsidR="00835FEF" w:rsidRPr="00B64B06" w:rsidRDefault="00835FEF" w:rsidP="007E3B09">
            <w:r w:rsidRPr="00B64B06">
              <w:t>SAE</w:t>
            </w:r>
          </w:p>
        </w:tc>
        <w:tc>
          <w:tcPr>
            <w:tcW w:w="3748" w:type="dxa"/>
            <w:tcBorders>
              <w:top w:val="single" w:sz="4" w:space="0" w:color="auto"/>
              <w:left w:val="single" w:sz="4" w:space="0" w:color="auto"/>
              <w:bottom w:val="single" w:sz="4" w:space="0" w:color="auto"/>
              <w:right w:val="single" w:sz="4" w:space="0" w:color="auto"/>
            </w:tcBorders>
            <w:hideMark/>
          </w:tcPr>
          <w:p w14:paraId="2F4FB089" w14:textId="77777777" w:rsidR="00835FEF" w:rsidRPr="00B64B06" w:rsidRDefault="00835FEF" w:rsidP="007E3B09">
            <w:r w:rsidRPr="00B64B06">
              <w:t>Serious Adverse Event</w:t>
            </w:r>
          </w:p>
        </w:tc>
      </w:tr>
      <w:tr w:rsidR="00835FEF" w:rsidRPr="00B64B06" w14:paraId="365F7ADC" w14:textId="77777777" w:rsidTr="00443EB1">
        <w:tc>
          <w:tcPr>
            <w:tcW w:w="1007" w:type="dxa"/>
            <w:tcBorders>
              <w:top w:val="single" w:sz="4" w:space="0" w:color="auto"/>
              <w:left w:val="single" w:sz="4" w:space="0" w:color="auto"/>
              <w:bottom w:val="single" w:sz="4" w:space="0" w:color="auto"/>
              <w:right w:val="single" w:sz="4" w:space="0" w:color="auto"/>
            </w:tcBorders>
            <w:hideMark/>
          </w:tcPr>
          <w:p w14:paraId="3553DD89" w14:textId="77777777" w:rsidR="00835FEF" w:rsidRPr="00B64B06" w:rsidRDefault="00835FEF" w:rsidP="007E3B09">
            <w:r w:rsidRPr="00B64B06">
              <w:t>ICECAP-O</w:t>
            </w:r>
          </w:p>
        </w:tc>
        <w:tc>
          <w:tcPr>
            <w:tcW w:w="3496" w:type="dxa"/>
            <w:tcBorders>
              <w:top w:val="single" w:sz="4" w:space="0" w:color="auto"/>
              <w:left w:val="single" w:sz="4" w:space="0" w:color="auto"/>
              <w:bottom w:val="single" w:sz="4" w:space="0" w:color="auto"/>
              <w:right w:val="single" w:sz="24" w:space="0" w:color="auto"/>
            </w:tcBorders>
            <w:hideMark/>
          </w:tcPr>
          <w:p w14:paraId="6D6696D3" w14:textId="77777777" w:rsidR="00835FEF" w:rsidRPr="00B64B06" w:rsidRDefault="00835FEF" w:rsidP="007E3B09">
            <w:r w:rsidRPr="00B64B06">
              <w:t>Capability measure</w:t>
            </w:r>
          </w:p>
        </w:tc>
        <w:tc>
          <w:tcPr>
            <w:tcW w:w="992" w:type="dxa"/>
            <w:tcBorders>
              <w:top w:val="single" w:sz="4" w:space="0" w:color="auto"/>
              <w:left w:val="single" w:sz="24" w:space="0" w:color="auto"/>
              <w:bottom w:val="single" w:sz="4" w:space="0" w:color="auto"/>
              <w:right w:val="single" w:sz="4" w:space="0" w:color="auto"/>
            </w:tcBorders>
            <w:hideMark/>
          </w:tcPr>
          <w:p w14:paraId="13B5167D" w14:textId="77777777" w:rsidR="00835FEF" w:rsidRPr="00B64B06" w:rsidRDefault="00835FEF" w:rsidP="007E3B09">
            <w:r w:rsidRPr="00B64B06">
              <w:t>SDV</w:t>
            </w:r>
          </w:p>
        </w:tc>
        <w:tc>
          <w:tcPr>
            <w:tcW w:w="3748" w:type="dxa"/>
            <w:tcBorders>
              <w:top w:val="single" w:sz="4" w:space="0" w:color="auto"/>
              <w:left w:val="single" w:sz="4" w:space="0" w:color="auto"/>
              <w:bottom w:val="single" w:sz="4" w:space="0" w:color="auto"/>
              <w:right w:val="single" w:sz="4" w:space="0" w:color="auto"/>
            </w:tcBorders>
            <w:hideMark/>
          </w:tcPr>
          <w:p w14:paraId="252C7A60" w14:textId="77777777" w:rsidR="00835FEF" w:rsidRPr="00B64B06" w:rsidRDefault="00835FEF" w:rsidP="007E3B09">
            <w:r w:rsidRPr="00B64B06">
              <w:t>Source Data Verification</w:t>
            </w:r>
          </w:p>
        </w:tc>
      </w:tr>
      <w:tr w:rsidR="00835FEF" w:rsidRPr="00B64B06" w14:paraId="662B1616" w14:textId="77777777" w:rsidTr="00443EB1">
        <w:tc>
          <w:tcPr>
            <w:tcW w:w="1007" w:type="dxa"/>
            <w:tcBorders>
              <w:top w:val="single" w:sz="4" w:space="0" w:color="auto"/>
              <w:left w:val="single" w:sz="4" w:space="0" w:color="auto"/>
              <w:bottom w:val="single" w:sz="4" w:space="0" w:color="auto"/>
              <w:right w:val="single" w:sz="4" w:space="0" w:color="auto"/>
            </w:tcBorders>
            <w:hideMark/>
          </w:tcPr>
          <w:p w14:paraId="07F9166D" w14:textId="77777777" w:rsidR="00835FEF" w:rsidRPr="00B64B06" w:rsidRDefault="00835FEF" w:rsidP="007E3B09">
            <w:r w:rsidRPr="00B64B06">
              <w:t>ICF</w:t>
            </w:r>
          </w:p>
        </w:tc>
        <w:tc>
          <w:tcPr>
            <w:tcW w:w="3496" w:type="dxa"/>
            <w:tcBorders>
              <w:top w:val="single" w:sz="4" w:space="0" w:color="auto"/>
              <w:left w:val="single" w:sz="4" w:space="0" w:color="auto"/>
              <w:bottom w:val="single" w:sz="4" w:space="0" w:color="auto"/>
              <w:right w:val="single" w:sz="24" w:space="0" w:color="auto"/>
            </w:tcBorders>
            <w:hideMark/>
          </w:tcPr>
          <w:p w14:paraId="79DE1887" w14:textId="77777777" w:rsidR="00835FEF" w:rsidRPr="00B64B06" w:rsidRDefault="00835FEF" w:rsidP="007E3B09">
            <w:r w:rsidRPr="00B64B06">
              <w:t>Informed Consent Form</w:t>
            </w:r>
          </w:p>
        </w:tc>
        <w:tc>
          <w:tcPr>
            <w:tcW w:w="992" w:type="dxa"/>
            <w:tcBorders>
              <w:top w:val="single" w:sz="4" w:space="0" w:color="auto"/>
              <w:left w:val="single" w:sz="24" w:space="0" w:color="auto"/>
              <w:bottom w:val="single" w:sz="4" w:space="0" w:color="auto"/>
              <w:right w:val="single" w:sz="4" w:space="0" w:color="auto"/>
            </w:tcBorders>
            <w:hideMark/>
          </w:tcPr>
          <w:p w14:paraId="585FF771" w14:textId="77777777" w:rsidR="00835FEF" w:rsidRPr="00B64B06" w:rsidRDefault="00835FEF" w:rsidP="007E3B09">
            <w:r w:rsidRPr="00B64B06">
              <w:t>SOP</w:t>
            </w:r>
          </w:p>
        </w:tc>
        <w:tc>
          <w:tcPr>
            <w:tcW w:w="3748" w:type="dxa"/>
            <w:tcBorders>
              <w:top w:val="single" w:sz="4" w:space="0" w:color="auto"/>
              <w:left w:val="single" w:sz="4" w:space="0" w:color="auto"/>
              <w:bottom w:val="single" w:sz="4" w:space="0" w:color="auto"/>
              <w:right w:val="single" w:sz="4" w:space="0" w:color="auto"/>
            </w:tcBorders>
            <w:hideMark/>
          </w:tcPr>
          <w:p w14:paraId="74A48263" w14:textId="77777777" w:rsidR="00835FEF" w:rsidRPr="00B64B06" w:rsidRDefault="00835FEF" w:rsidP="007E3B09">
            <w:r w:rsidRPr="00B64B06">
              <w:t>Standard Operating Procedure</w:t>
            </w:r>
          </w:p>
        </w:tc>
      </w:tr>
      <w:tr w:rsidR="00835FEF" w:rsidRPr="00B64B06" w14:paraId="6023D529" w14:textId="77777777" w:rsidTr="00443EB1">
        <w:tc>
          <w:tcPr>
            <w:tcW w:w="1007" w:type="dxa"/>
            <w:tcBorders>
              <w:top w:val="single" w:sz="4" w:space="0" w:color="auto"/>
              <w:left w:val="single" w:sz="4" w:space="0" w:color="auto"/>
              <w:bottom w:val="single" w:sz="4" w:space="0" w:color="auto"/>
              <w:right w:val="single" w:sz="4" w:space="0" w:color="auto"/>
            </w:tcBorders>
            <w:hideMark/>
          </w:tcPr>
          <w:p w14:paraId="1DFB293A" w14:textId="77777777" w:rsidR="00835FEF" w:rsidRPr="00B64B06" w:rsidRDefault="00835FEF" w:rsidP="007E3B09">
            <w:r w:rsidRPr="00B64B06">
              <w:t>ISRCTN</w:t>
            </w:r>
          </w:p>
        </w:tc>
        <w:tc>
          <w:tcPr>
            <w:tcW w:w="3496" w:type="dxa"/>
            <w:tcBorders>
              <w:top w:val="single" w:sz="4" w:space="0" w:color="auto"/>
              <w:left w:val="single" w:sz="4" w:space="0" w:color="auto"/>
              <w:bottom w:val="single" w:sz="4" w:space="0" w:color="auto"/>
              <w:right w:val="single" w:sz="24" w:space="0" w:color="auto"/>
            </w:tcBorders>
            <w:hideMark/>
          </w:tcPr>
          <w:p w14:paraId="47696ABD" w14:textId="77777777" w:rsidR="00835FEF" w:rsidRPr="00B64B06" w:rsidRDefault="00835FEF" w:rsidP="007E3B09">
            <w:r w:rsidRPr="00B64B06">
              <w:t>International Standard Randomised Controlled Studies Number</w:t>
            </w:r>
          </w:p>
        </w:tc>
        <w:tc>
          <w:tcPr>
            <w:tcW w:w="992" w:type="dxa"/>
            <w:tcBorders>
              <w:top w:val="single" w:sz="4" w:space="0" w:color="auto"/>
              <w:left w:val="single" w:sz="24" w:space="0" w:color="auto"/>
              <w:bottom w:val="single" w:sz="4" w:space="0" w:color="auto"/>
              <w:right w:val="single" w:sz="4" w:space="0" w:color="auto"/>
            </w:tcBorders>
            <w:hideMark/>
          </w:tcPr>
          <w:p w14:paraId="3230B83E" w14:textId="77777777" w:rsidR="00835FEF" w:rsidRPr="00B64B06" w:rsidRDefault="00835FEF" w:rsidP="007E3B09">
            <w:r w:rsidRPr="00B64B06">
              <w:t>SSI</w:t>
            </w:r>
          </w:p>
        </w:tc>
        <w:tc>
          <w:tcPr>
            <w:tcW w:w="3748" w:type="dxa"/>
            <w:tcBorders>
              <w:top w:val="single" w:sz="4" w:space="0" w:color="auto"/>
              <w:left w:val="single" w:sz="4" w:space="0" w:color="auto"/>
              <w:bottom w:val="single" w:sz="4" w:space="0" w:color="auto"/>
              <w:right w:val="single" w:sz="4" w:space="0" w:color="auto"/>
            </w:tcBorders>
            <w:hideMark/>
          </w:tcPr>
          <w:p w14:paraId="1218E55D" w14:textId="77777777" w:rsidR="00835FEF" w:rsidRPr="00B64B06" w:rsidRDefault="00835FEF" w:rsidP="007E3B09">
            <w:r w:rsidRPr="00B64B06">
              <w:t>Site Specific Information</w:t>
            </w:r>
          </w:p>
        </w:tc>
      </w:tr>
      <w:tr w:rsidR="00835FEF" w:rsidRPr="00B64B06" w14:paraId="5BBDCDFC" w14:textId="77777777" w:rsidTr="00443EB1">
        <w:tc>
          <w:tcPr>
            <w:tcW w:w="1007" w:type="dxa"/>
            <w:tcBorders>
              <w:top w:val="single" w:sz="4" w:space="0" w:color="auto"/>
              <w:left w:val="single" w:sz="4" w:space="0" w:color="auto"/>
              <w:bottom w:val="single" w:sz="4" w:space="0" w:color="auto"/>
              <w:right w:val="single" w:sz="4" w:space="0" w:color="auto"/>
            </w:tcBorders>
            <w:hideMark/>
          </w:tcPr>
          <w:p w14:paraId="59B55E75" w14:textId="77777777" w:rsidR="00835FEF" w:rsidRPr="00B64B06" w:rsidRDefault="00835FEF" w:rsidP="007E3B09">
            <w:r w:rsidRPr="00B64B06">
              <w:t>GHQ12</w:t>
            </w:r>
          </w:p>
        </w:tc>
        <w:tc>
          <w:tcPr>
            <w:tcW w:w="3496" w:type="dxa"/>
            <w:tcBorders>
              <w:top w:val="single" w:sz="4" w:space="0" w:color="auto"/>
              <w:left w:val="single" w:sz="4" w:space="0" w:color="auto"/>
              <w:bottom w:val="single" w:sz="4" w:space="0" w:color="auto"/>
              <w:right w:val="single" w:sz="24" w:space="0" w:color="auto"/>
            </w:tcBorders>
            <w:hideMark/>
          </w:tcPr>
          <w:p w14:paraId="1DF5A32B" w14:textId="77777777" w:rsidR="00835FEF" w:rsidRPr="00B64B06" w:rsidRDefault="00835FEF" w:rsidP="007E3B09">
            <w:r w:rsidRPr="00B64B06">
              <w:t>General Health questionnaire: Short form</w:t>
            </w:r>
          </w:p>
        </w:tc>
        <w:tc>
          <w:tcPr>
            <w:tcW w:w="992" w:type="dxa"/>
            <w:tcBorders>
              <w:top w:val="single" w:sz="4" w:space="0" w:color="auto"/>
              <w:left w:val="single" w:sz="24" w:space="0" w:color="auto"/>
              <w:bottom w:val="single" w:sz="4" w:space="0" w:color="auto"/>
              <w:right w:val="single" w:sz="4" w:space="0" w:color="auto"/>
            </w:tcBorders>
            <w:hideMark/>
          </w:tcPr>
          <w:p w14:paraId="73817B57" w14:textId="77777777" w:rsidR="00835FEF" w:rsidRPr="00B64B06" w:rsidRDefault="00835FEF" w:rsidP="007E3B09">
            <w:r w:rsidRPr="00B64B06">
              <w:t>TAU</w:t>
            </w:r>
          </w:p>
        </w:tc>
        <w:tc>
          <w:tcPr>
            <w:tcW w:w="3748" w:type="dxa"/>
            <w:tcBorders>
              <w:top w:val="single" w:sz="4" w:space="0" w:color="auto"/>
              <w:left w:val="single" w:sz="4" w:space="0" w:color="auto"/>
              <w:bottom w:val="single" w:sz="4" w:space="0" w:color="auto"/>
              <w:right w:val="single" w:sz="4" w:space="0" w:color="auto"/>
            </w:tcBorders>
            <w:hideMark/>
          </w:tcPr>
          <w:p w14:paraId="4965A6D3" w14:textId="77777777" w:rsidR="00835FEF" w:rsidRPr="00B64B06" w:rsidRDefault="00835FEF" w:rsidP="007E3B09">
            <w:r w:rsidRPr="00B64B06">
              <w:t>Treatment as usual</w:t>
            </w:r>
          </w:p>
        </w:tc>
      </w:tr>
      <w:tr w:rsidR="00835FEF" w:rsidRPr="00B64B06" w14:paraId="5967624C" w14:textId="77777777" w:rsidTr="00443EB1">
        <w:tc>
          <w:tcPr>
            <w:tcW w:w="1007" w:type="dxa"/>
            <w:tcBorders>
              <w:top w:val="single" w:sz="4" w:space="0" w:color="auto"/>
              <w:left w:val="single" w:sz="4" w:space="0" w:color="auto"/>
              <w:bottom w:val="single" w:sz="4" w:space="0" w:color="auto"/>
              <w:right w:val="single" w:sz="4" w:space="0" w:color="auto"/>
            </w:tcBorders>
            <w:hideMark/>
          </w:tcPr>
          <w:p w14:paraId="1B941484" w14:textId="77777777" w:rsidR="00835FEF" w:rsidRPr="00B64B06" w:rsidRDefault="00835FEF" w:rsidP="007E3B09">
            <w:r w:rsidRPr="00B64B06">
              <w:t>MDS-UPDRS</w:t>
            </w:r>
          </w:p>
        </w:tc>
        <w:tc>
          <w:tcPr>
            <w:tcW w:w="3496" w:type="dxa"/>
            <w:tcBorders>
              <w:top w:val="single" w:sz="4" w:space="0" w:color="auto"/>
              <w:left w:val="single" w:sz="4" w:space="0" w:color="auto"/>
              <w:bottom w:val="single" w:sz="4" w:space="0" w:color="auto"/>
              <w:right w:val="single" w:sz="24" w:space="0" w:color="auto"/>
            </w:tcBorders>
            <w:hideMark/>
          </w:tcPr>
          <w:p w14:paraId="1AE3C8DF" w14:textId="77777777" w:rsidR="00835FEF" w:rsidRPr="00B64B06" w:rsidRDefault="00835FEF" w:rsidP="007E3B09">
            <w:r w:rsidRPr="00B64B06">
              <w:t>Movement Disorders Society-Unified Parkinson’s Disease Rating Scale</w:t>
            </w:r>
          </w:p>
        </w:tc>
        <w:tc>
          <w:tcPr>
            <w:tcW w:w="992" w:type="dxa"/>
            <w:tcBorders>
              <w:top w:val="single" w:sz="4" w:space="0" w:color="auto"/>
              <w:left w:val="single" w:sz="24" w:space="0" w:color="auto"/>
              <w:bottom w:val="single" w:sz="4" w:space="0" w:color="auto"/>
              <w:right w:val="single" w:sz="4" w:space="0" w:color="auto"/>
            </w:tcBorders>
            <w:hideMark/>
          </w:tcPr>
          <w:p w14:paraId="2F9DE057" w14:textId="77777777" w:rsidR="00835FEF" w:rsidRPr="00B64B06" w:rsidRDefault="00835FEF" w:rsidP="007E3B09">
            <w:r w:rsidRPr="00B64B06">
              <w:t>UCL</w:t>
            </w:r>
          </w:p>
        </w:tc>
        <w:tc>
          <w:tcPr>
            <w:tcW w:w="3748" w:type="dxa"/>
            <w:tcBorders>
              <w:top w:val="single" w:sz="4" w:space="0" w:color="auto"/>
              <w:left w:val="single" w:sz="4" w:space="0" w:color="auto"/>
              <w:bottom w:val="single" w:sz="4" w:space="0" w:color="auto"/>
              <w:right w:val="single" w:sz="4" w:space="0" w:color="auto"/>
            </w:tcBorders>
            <w:hideMark/>
          </w:tcPr>
          <w:p w14:paraId="56B42E77" w14:textId="77777777" w:rsidR="00835FEF" w:rsidRPr="00B64B06" w:rsidRDefault="00835FEF" w:rsidP="007E3B09">
            <w:r w:rsidRPr="00B64B06">
              <w:t>University College London</w:t>
            </w:r>
          </w:p>
        </w:tc>
      </w:tr>
    </w:tbl>
    <w:p w14:paraId="5BFEFE33" w14:textId="07F6AD74" w:rsidR="00835FEF" w:rsidRDefault="00835FEF" w:rsidP="007E3B09"/>
    <w:p w14:paraId="1D68EFBE" w14:textId="77777777" w:rsidR="00835FEF" w:rsidRDefault="00835FEF" w:rsidP="007E3B09">
      <w:r>
        <w:br w:type="page"/>
      </w:r>
    </w:p>
    <w:p w14:paraId="748D8767" w14:textId="2582E85C" w:rsidR="00FD263A" w:rsidRDefault="00835FEF" w:rsidP="007E3B09">
      <w:pPr>
        <w:pStyle w:val="Heading1"/>
      </w:pPr>
      <w:r>
        <w:lastRenderedPageBreak/>
        <w:t xml:space="preserve">References </w:t>
      </w:r>
    </w:p>
    <w:p w14:paraId="5E2D0348" w14:textId="0EA494D9" w:rsidR="002360E8" w:rsidRDefault="00AF3EEB" w:rsidP="009E2037">
      <w:pPr>
        <w:pStyle w:val="BulletParagraph"/>
      </w:pPr>
      <w:r w:rsidRPr="00AF3EEB">
        <w:t>Gamble et al</w:t>
      </w:r>
      <w:r w:rsidR="009E2037">
        <w:t xml:space="preserve">. </w:t>
      </w:r>
      <w:r w:rsidR="009E2037" w:rsidRPr="009E2037">
        <w:t>Guidelines for the Content of Statistical Analysis Plans in Clinical Trials</w:t>
      </w:r>
      <w:r w:rsidR="009E2037">
        <w:t>.</w:t>
      </w:r>
      <w:r w:rsidRPr="00AF3EEB">
        <w:t xml:space="preserve"> JAMA 2017</w:t>
      </w:r>
      <w:r w:rsidR="009E2037">
        <w:t>; 318(23):2337-2343.</w:t>
      </w:r>
    </w:p>
    <w:p w14:paraId="30604529" w14:textId="5FAE7105" w:rsidR="009E2037" w:rsidRPr="00835FEF" w:rsidRDefault="009E2037" w:rsidP="009E2037">
      <w:pPr>
        <w:pStyle w:val="BulletParagraph"/>
      </w:pPr>
      <w:r w:rsidRPr="009E2037">
        <w:t>Cro S, et al. Reference-based sensitivity analysis via multiple imputation for longitudinal trials with protocol deviation. Stata Journal 2016; 16(2):443-63.</w:t>
      </w:r>
    </w:p>
    <w:sectPr w:rsidR="009E2037" w:rsidRPr="00835FEF">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D373A" w14:textId="77777777" w:rsidR="00723358" w:rsidRDefault="00723358" w:rsidP="007E3B09">
      <w:r>
        <w:separator/>
      </w:r>
    </w:p>
  </w:endnote>
  <w:endnote w:type="continuationSeparator" w:id="0">
    <w:p w14:paraId="4EADFAC0" w14:textId="77777777" w:rsidR="00723358" w:rsidRDefault="00723358" w:rsidP="007E3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615388"/>
      <w:docPartObj>
        <w:docPartGallery w:val="Page Numbers (Bottom of Page)"/>
        <w:docPartUnique/>
      </w:docPartObj>
    </w:sdtPr>
    <w:sdtEndPr>
      <w:rPr>
        <w:noProof/>
      </w:rPr>
    </w:sdtEndPr>
    <w:sdtContent>
      <w:p w14:paraId="31B3D335" w14:textId="5EF49940" w:rsidR="00E46F37" w:rsidRDefault="00E46F37" w:rsidP="007E3B09">
        <w:pPr>
          <w:pStyle w:val="Footer"/>
        </w:pPr>
        <w:r>
          <w:fldChar w:fldCharType="begin"/>
        </w:r>
        <w:r>
          <w:instrText xml:space="preserve"> PAGE   \* MERGEFORMAT </w:instrText>
        </w:r>
        <w:r>
          <w:fldChar w:fldCharType="separate"/>
        </w:r>
        <w:r w:rsidR="000F45FC">
          <w:rPr>
            <w:noProof/>
          </w:rPr>
          <w:t>5</w:t>
        </w:r>
        <w:r>
          <w:rPr>
            <w:noProof/>
          </w:rPr>
          <w:fldChar w:fldCharType="end"/>
        </w:r>
      </w:p>
    </w:sdtContent>
  </w:sdt>
  <w:p w14:paraId="3A1202E7" w14:textId="77777777" w:rsidR="00E46F37" w:rsidRDefault="00E46F37" w:rsidP="007E3B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FF42D" w14:textId="77777777" w:rsidR="00723358" w:rsidRDefault="00723358" w:rsidP="007E3B09">
      <w:r>
        <w:separator/>
      </w:r>
    </w:p>
  </w:footnote>
  <w:footnote w:type="continuationSeparator" w:id="0">
    <w:p w14:paraId="411B32B7" w14:textId="77777777" w:rsidR="00723358" w:rsidRDefault="00723358" w:rsidP="007E3B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8277E"/>
    <w:multiLevelType w:val="hybridMultilevel"/>
    <w:tmpl w:val="A440963E"/>
    <w:lvl w:ilvl="0" w:tplc="08090001">
      <w:start w:val="1"/>
      <w:numFmt w:val="bullet"/>
      <w:lvlText w:val=""/>
      <w:lvlJc w:val="left"/>
      <w:pPr>
        <w:ind w:left="72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FB0AF9"/>
    <w:multiLevelType w:val="hybridMultilevel"/>
    <w:tmpl w:val="5C92B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C2354F"/>
    <w:multiLevelType w:val="hybridMultilevel"/>
    <w:tmpl w:val="8E3639F4"/>
    <w:lvl w:ilvl="0" w:tplc="FFFFFFFF">
      <w:start w:val="1"/>
      <w:numFmt w:val="bullet"/>
      <w:lvlText w:val="o"/>
      <w:lvlJc w:val="left"/>
      <w:pPr>
        <w:ind w:left="720" w:hanging="72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A66383"/>
    <w:multiLevelType w:val="hybridMultilevel"/>
    <w:tmpl w:val="CAC449F6"/>
    <w:lvl w:ilvl="0" w:tplc="08090001">
      <w:start w:val="1"/>
      <w:numFmt w:val="bullet"/>
      <w:lvlText w:val=""/>
      <w:lvlJc w:val="left"/>
      <w:pPr>
        <w:ind w:left="720" w:hanging="72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C4B83"/>
    <w:multiLevelType w:val="hybridMultilevel"/>
    <w:tmpl w:val="139245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3819A9"/>
    <w:multiLevelType w:val="hybridMultilevel"/>
    <w:tmpl w:val="30408B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427728"/>
    <w:multiLevelType w:val="hybridMultilevel"/>
    <w:tmpl w:val="B9EC11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111698"/>
    <w:multiLevelType w:val="hybridMultilevel"/>
    <w:tmpl w:val="D1008522"/>
    <w:lvl w:ilvl="0" w:tplc="08090001">
      <w:start w:val="1"/>
      <w:numFmt w:val="bullet"/>
      <w:lvlText w:val=""/>
      <w:lvlJc w:val="left"/>
      <w:pPr>
        <w:ind w:left="72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CC0727"/>
    <w:multiLevelType w:val="hybridMultilevel"/>
    <w:tmpl w:val="06D0B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22F54"/>
    <w:multiLevelType w:val="hybridMultilevel"/>
    <w:tmpl w:val="25AA6644"/>
    <w:lvl w:ilvl="0" w:tplc="FFFFFFFF">
      <w:start w:val="1"/>
      <w:numFmt w:val="bullet"/>
      <w:lvlText w:val=""/>
      <w:lvlJc w:val="left"/>
      <w:pPr>
        <w:ind w:left="720" w:hanging="720"/>
      </w:pPr>
      <w:rPr>
        <w:rFonts w:ascii="Symbol" w:hAnsi="Symbol" w:hint="default"/>
      </w:rPr>
    </w:lvl>
    <w:lvl w:ilvl="1" w:tplc="EF0C5AD6">
      <w:start w:val="1"/>
      <w:numFmt w:val="bullet"/>
      <w:lvlText w:val=""/>
      <w:lvlJc w:val="left"/>
      <w:pPr>
        <w:ind w:left="1800" w:hanging="72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CF6DD1"/>
    <w:multiLevelType w:val="hybridMultilevel"/>
    <w:tmpl w:val="B8C269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BA04E6"/>
    <w:multiLevelType w:val="hybridMultilevel"/>
    <w:tmpl w:val="1270D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A4357C"/>
    <w:multiLevelType w:val="multilevel"/>
    <w:tmpl w:val="EA123ADA"/>
    <w:lvl w:ilvl="0">
      <w:start w:val="1"/>
      <w:numFmt w:val="decimal"/>
      <w:lvlText w:val="%1."/>
      <w:lvlJc w:val="left"/>
      <w:pPr>
        <w:ind w:left="360" w:hanging="360"/>
      </w:pPr>
    </w:lvl>
    <w:lvl w:ilvl="1">
      <w:start w:val="9"/>
      <w:numFmt w:val="decimal"/>
      <w:isLgl/>
      <w:lvlText w:val="%1.%2."/>
      <w:lvlJc w:val="left"/>
      <w:pPr>
        <w:ind w:left="720" w:hanging="720"/>
      </w:pPr>
      <w:rPr>
        <w:rFonts w:asciiTheme="minorHAnsi" w:hAnsiTheme="minorHAnsi" w:cstheme="minorHAnsi" w:hint="default"/>
        <w:b/>
        <w:sz w:val="24"/>
      </w:rPr>
    </w:lvl>
    <w:lvl w:ilvl="2">
      <w:start w:val="1"/>
      <w:numFmt w:val="decimal"/>
      <w:isLgl/>
      <w:lvlText w:val="%1.%2.%3."/>
      <w:lvlJc w:val="left"/>
      <w:pPr>
        <w:ind w:left="720" w:hanging="720"/>
      </w:pPr>
      <w:rPr>
        <w:rFonts w:asciiTheme="minorHAnsi" w:hAnsiTheme="minorHAnsi" w:cstheme="minorHAnsi" w:hint="default"/>
        <w:b/>
        <w:sz w:val="24"/>
      </w:rPr>
    </w:lvl>
    <w:lvl w:ilvl="3">
      <w:start w:val="1"/>
      <w:numFmt w:val="decimal"/>
      <w:isLgl/>
      <w:lvlText w:val="%1.%2.%3.%4."/>
      <w:lvlJc w:val="left"/>
      <w:pPr>
        <w:ind w:left="1080" w:hanging="1080"/>
      </w:pPr>
      <w:rPr>
        <w:rFonts w:asciiTheme="minorHAnsi" w:hAnsiTheme="minorHAnsi" w:cstheme="minorHAnsi" w:hint="default"/>
        <w:b/>
        <w:sz w:val="24"/>
      </w:rPr>
    </w:lvl>
    <w:lvl w:ilvl="4">
      <w:start w:val="1"/>
      <w:numFmt w:val="decimal"/>
      <w:isLgl/>
      <w:lvlText w:val="%1.%2.%3.%4.%5."/>
      <w:lvlJc w:val="left"/>
      <w:pPr>
        <w:ind w:left="1080" w:hanging="1080"/>
      </w:pPr>
      <w:rPr>
        <w:rFonts w:asciiTheme="minorHAnsi" w:hAnsiTheme="minorHAnsi" w:cstheme="minorHAnsi" w:hint="default"/>
        <w:b/>
        <w:sz w:val="24"/>
      </w:rPr>
    </w:lvl>
    <w:lvl w:ilvl="5">
      <w:start w:val="1"/>
      <w:numFmt w:val="decimal"/>
      <w:isLgl/>
      <w:lvlText w:val="%1.%2.%3.%4.%5.%6."/>
      <w:lvlJc w:val="left"/>
      <w:pPr>
        <w:ind w:left="1440" w:hanging="1440"/>
      </w:pPr>
      <w:rPr>
        <w:rFonts w:asciiTheme="minorHAnsi" w:hAnsiTheme="minorHAnsi" w:cstheme="minorHAnsi" w:hint="default"/>
        <w:b/>
        <w:sz w:val="24"/>
      </w:rPr>
    </w:lvl>
    <w:lvl w:ilvl="6">
      <w:start w:val="1"/>
      <w:numFmt w:val="decimal"/>
      <w:isLgl/>
      <w:lvlText w:val="%1.%2.%3.%4.%5.%6.%7."/>
      <w:lvlJc w:val="left"/>
      <w:pPr>
        <w:ind w:left="1440" w:hanging="1440"/>
      </w:pPr>
      <w:rPr>
        <w:rFonts w:asciiTheme="minorHAnsi" w:hAnsiTheme="minorHAnsi" w:cstheme="minorHAnsi" w:hint="default"/>
        <w:b/>
        <w:sz w:val="24"/>
      </w:rPr>
    </w:lvl>
    <w:lvl w:ilvl="7">
      <w:start w:val="1"/>
      <w:numFmt w:val="decimal"/>
      <w:isLgl/>
      <w:lvlText w:val="%1.%2.%3.%4.%5.%6.%7.%8."/>
      <w:lvlJc w:val="left"/>
      <w:pPr>
        <w:ind w:left="1800" w:hanging="1800"/>
      </w:pPr>
      <w:rPr>
        <w:rFonts w:asciiTheme="minorHAnsi" w:hAnsiTheme="minorHAnsi" w:cstheme="minorHAnsi" w:hint="default"/>
        <w:b/>
        <w:sz w:val="24"/>
      </w:rPr>
    </w:lvl>
    <w:lvl w:ilvl="8">
      <w:start w:val="1"/>
      <w:numFmt w:val="decimal"/>
      <w:isLgl/>
      <w:lvlText w:val="%1.%2.%3.%4.%5.%6.%7.%8.%9."/>
      <w:lvlJc w:val="left"/>
      <w:pPr>
        <w:ind w:left="1800" w:hanging="1800"/>
      </w:pPr>
      <w:rPr>
        <w:rFonts w:asciiTheme="minorHAnsi" w:hAnsiTheme="minorHAnsi" w:cstheme="minorHAnsi" w:hint="default"/>
        <w:b/>
        <w:sz w:val="24"/>
      </w:rPr>
    </w:lvl>
  </w:abstractNum>
  <w:abstractNum w:abstractNumId="13" w15:restartNumberingAfterBreak="0">
    <w:nsid w:val="30AD1953"/>
    <w:multiLevelType w:val="hybridMultilevel"/>
    <w:tmpl w:val="7FA44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4D246D"/>
    <w:multiLevelType w:val="hybridMultilevel"/>
    <w:tmpl w:val="20DCEFCA"/>
    <w:lvl w:ilvl="0" w:tplc="08090001">
      <w:start w:val="1"/>
      <w:numFmt w:val="bullet"/>
      <w:lvlText w:val=""/>
      <w:lvlJc w:val="left"/>
      <w:pPr>
        <w:ind w:left="72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54142C4"/>
    <w:multiLevelType w:val="hybridMultilevel"/>
    <w:tmpl w:val="587280A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C5A0BD4"/>
    <w:multiLevelType w:val="hybridMultilevel"/>
    <w:tmpl w:val="89B8B7BA"/>
    <w:lvl w:ilvl="0" w:tplc="8756691A">
      <w:numFmt w:val="bullet"/>
      <w:lvlText w:val="•"/>
      <w:lvlJc w:val="left"/>
      <w:pPr>
        <w:ind w:left="1080" w:hanging="72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CE1A1F"/>
    <w:multiLevelType w:val="hybridMultilevel"/>
    <w:tmpl w:val="BB9E3A88"/>
    <w:lvl w:ilvl="0" w:tplc="08090001">
      <w:start w:val="1"/>
      <w:numFmt w:val="bullet"/>
      <w:lvlText w:val=""/>
      <w:lvlJc w:val="left"/>
      <w:pPr>
        <w:ind w:left="72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2455E66"/>
    <w:multiLevelType w:val="hybridMultilevel"/>
    <w:tmpl w:val="84E4B4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4FE4D8F"/>
    <w:multiLevelType w:val="hybridMultilevel"/>
    <w:tmpl w:val="4A8E8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F2107E"/>
    <w:multiLevelType w:val="hybridMultilevel"/>
    <w:tmpl w:val="EB8CF2B8"/>
    <w:lvl w:ilvl="0" w:tplc="08090001">
      <w:start w:val="1"/>
      <w:numFmt w:val="bullet"/>
      <w:lvlText w:val=""/>
      <w:lvlJc w:val="left"/>
      <w:pPr>
        <w:ind w:left="72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AE2599F"/>
    <w:multiLevelType w:val="hybridMultilevel"/>
    <w:tmpl w:val="9078B8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F7252D5"/>
    <w:multiLevelType w:val="hybridMultilevel"/>
    <w:tmpl w:val="60065E94"/>
    <w:lvl w:ilvl="0" w:tplc="EF0C5AD6">
      <w:start w:val="1"/>
      <w:numFmt w:val="bullet"/>
      <w:pStyle w:val="BulletParagraph"/>
      <w:lvlText w:val=""/>
      <w:lvlJc w:val="left"/>
      <w:pPr>
        <w:ind w:left="720" w:hanging="72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1F83621"/>
    <w:multiLevelType w:val="hybridMultilevel"/>
    <w:tmpl w:val="2BE42E18"/>
    <w:lvl w:ilvl="0" w:tplc="D86089F2">
      <w:start w:val="1"/>
      <w:numFmt w:val="decimal"/>
      <w:pStyle w:val="ListParagraph"/>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2ED6B9E"/>
    <w:multiLevelType w:val="multilevel"/>
    <w:tmpl w:val="31701A6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15:restartNumberingAfterBreak="0">
    <w:nsid w:val="716D264A"/>
    <w:multiLevelType w:val="hybridMultilevel"/>
    <w:tmpl w:val="43BE32B2"/>
    <w:lvl w:ilvl="0" w:tplc="08090003">
      <w:start w:val="1"/>
      <w:numFmt w:val="bullet"/>
      <w:lvlText w:val="o"/>
      <w:lvlJc w:val="left"/>
      <w:pPr>
        <w:ind w:left="720" w:hanging="720"/>
      </w:pPr>
      <w:rPr>
        <w:rFonts w:ascii="Courier New" w:hAnsi="Courier New" w:cs="Courier New"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8D437ED"/>
    <w:multiLevelType w:val="hybridMultilevel"/>
    <w:tmpl w:val="571A03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9000AB"/>
    <w:multiLevelType w:val="hybridMultilevel"/>
    <w:tmpl w:val="993E4B4E"/>
    <w:lvl w:ilvl="0" w:tplc="5E5440CE">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num w:numId="1">
    <w:abstractNumId w:val="24"/>
  </w:num>
  <w:num w:numId="2">
    <w:abstractNumId w:val="4"/>
  </w:num>
  <w:num w:numId="3">
    <w:abstractNumId w:val="21"/>
  </w:num>
  <w:num w:numId="4">
    <w:abstractNumId w:val="10"/>
  </w:num>
  <w:num w:numId="5">
    <w:abstractNumId w:val="13"/>
  </w:num>
  <w:num w:numId="6">
    <w:abstractNumId w:val="19"/>
  </w:num>
  <w:num w:numId="7">
    <w:abstractNumId w:val="23"/>
  </w:num>
  <w:num w:numId="8">
    <w:abstractNumId w:val="0"/>
  </w:num>
  <w:num w:numId="9">
    <w:abstractNumId w:val="17"/>
  </w:num>
  <w:num w:numId="10">
    <w:abstractNumId w:val="26"/>
  </w:num>
  <w:num w:numId="11">
    <w:abstractNumId w:val="23"/>
    <w:lvlOverride w:ilvl="0">
      <w:startOverride w:val="1"/>
    </w:lvlOverride>
  </w:num>
  <w:num w:numId="12">
    <w:abstractNumId w:val="1"/>
  </w:num>
  <w:num w:numId="13">
    <w:abstractNumId w:val="20"/>
  </w:num>
  <w:num w:numId="14">
    <w:abstractNumId w:val="14"/>
  </w:num>
  <w:num w:numId="15">
    <w:abstractNumId w:val="27"/>
  </w:num>
  <w:num w:numId="16">
    <w:abstractNumId w:val="7"/>
  </w:num>
  <w:num w:numId="17">
    <w:abstractNumId w:val="11"/>
  </w:num>
  <w:num w:numId="18">
    <w:abstractNumId w:val="5"/>
  </w:num>
  <w:num w:numId="19">
    <w:abstractNumId w:val="3"/>
  </w:num>
  <w:num w:numId="20">
    <w:abstractNumId w:val="25"/>
  </w:num>
  <w:num w:numId="21">
    <w:abstractNumId w:val="2"/>
  </w:num>
  <w:num w:numId="22">
    <w:abstractNumId w:val="6"/>
  </w:num>
  <w:num w:numId="23">
    <w:abstractNumId w:val="18"/>
  </w:num>
  <w:num w:numId="24">
    <w:abstractNumId w:val="15"/>
  </w:num>
  <w:num w:numId="25">
    <w:abstractNumId w:val="12"/>
  </w:num>
  <w:num w:numId="26">
    <w:abstractNumId w:val="22"/>
  </w:num>
  <w:num w:numId="27">
    <w:abstractNumId w:val="9"/>
  </w:num>
  <w:num w:numId="28">
    <w:abstractNumId w:val="8"/>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E05"/>
    <w:rsid w:val="0003202C"/>
    <w:rsid w:val="00043BDD"/>
    <w:rsid w:val="000549F0"/>
    <w:rsid w:val="000654BE"/>
    <w:rsid w:val="00071C1F"/>
    <w:rsid w:val="0008263F"/>
    <w:rsid w:val="00096640"/>
    <w:rsid w:val="00097B47"/>
    <w:rsid w:val="000A498A"/>
    <w:rsid w:val="000B0207"/>
    <w:rsid w:val="000B1352"/>
    <w:rsid w:val="000C77D3"/>
    <w:rsid w:val="000D6F0B"/>
    <w:rsid w:val="000D7DAE"/>
    <w:rsid w:val="000E0E05"/>
    <w:rsid w:val="000E2B92"/>
    <w:rsid w:val="000F45FC"/>
    <w:rsid w:val="00100995"/>
    <w:rsid w:val="00104CAA"/>
    <w:rsid w:val="00111103"/>
    <w:rsid w:val="00130B88"/>
    <w:rsid w:val="001360A7"/>
    <w:rsid w:val="00140698"/>
    <w:rsid w:val="0014426B"/>
    <w:rsid w:val="00153BAC"/>
    <w:rsid w:val="001632C0"/>
    <w:rsid w:val="00186781"/>
    <w:rsid w:val="001903E3"/>
    <w:rsid w:val="0019286A"/>
    <w:rsid w:val="001A0B4B"/>
    <w:rsid w:val="001A1BB1"/>
    <w:rsid w:val="001B1736"/>
    <w:rsid w:val="001C1522"/>
    <w:rsid w:val="001D07E6"/>
    <w:rsid w:val="001D1082"/>
    <w:rsid w:val="001F6D5F"/>
    <w:rsid w:val="00200A42"/>
    <w:rsid w:val="00206E4C"/>
    <w:rsid w:val="002360E8"/>
    <w:rsid w:val="002424B6"/>
    <w:rsid w:val="00245BE1"/>
    <w:rsid w:val="0027638C"/>
    <w:rsid w:val="0028155D"/>
    <w:rsid w:val="002845B3"/>
    <w:rsid w:val="00285E21"/>
    <w:rsid w:val="00286DBD"/>
    <w:rsid w:val="00297379"/>
    <w:rsid w:val="002A04F5"/>
    <w:rsid w:val="002A12EB"/>
    <w:rsid w:val="002B6324"/>
    <w:rsid w:val="002C2376"/>
    <w:rsid w:val="002D60C6"/>
    <w:rsid w:val="0031144E"/>
    <w:rsid w:val="00322675"/>
    <w:rsid w:val="00351E20"/>
    <w:rsid w:val="00355015"/>
    <w:rsid w:val="00364F81"/>
    <w:rsid w:val="0036770A"/>
    <w:rsid w:val="00374AA2"/>
    <w:rsid w:val="0038140F"/>
    <w:rsid w:val="003C0631"/>
    <w:rsid w:val="003D237D"/>
    <w:rsid w:val="003E61C9"/>
    <w:rsid w:val="004026ED"/>
    <w:rsid w:val="004037F8"/>
    <w:rsid w:val="00406148"/>
    <w:rsid w:val="00436439"/>
    <w:rsid w:val="00436793"/>
    <w:rsid w:val="0044468B"/>
    <w:rsid w:val="0044756C"/>
    <w:rsid w:val="00447C7C"/>
    <w:rsid w:val="00453E61"/>
    <w:rsid w:val="0046750D"/>
    <w:rsid w:val="0047284D"/>
    <w:rsid w:val="00490A66"/>
    <w:rsid w:val="00493A26"/>
    <w:rsid w:val="004B3161"/>
    <w:rsid w:val="004B7244"/>
    <w:rsid w:val="004C0D99"/>
    <w:rsid w:val="004C5DCC"/>
    <w:rsid w:val="00512DD8"/>
    <w:rsid w:val="00512F93"/>
    <w:rsid w:val="00514586"/>
    <w:rsid w:val="005225ED"/>
    <w:rsid w:val="00525003"/>
    <w:rsid w:val="005273A7"/>
    <w:rsid w:val="00543C7D"/>
    <w:rsid w:val="00544DFF"/>
    <w:rsid w:val="00553E92"/>
    <w:rsid w:val="005610D0"/>
    <w:rsid w:val="00563569"/>
    <w:rsid w:val="00570FE3"/>
    <w:rsid w:val="00572D43"/>
    <w:rsid w:val="005A03A0"/>
    <w:rsid w:val="005A1094"/>
    <w:rsid w:val="005B3C53"/>
    <w:rsid w:val="005C28E5"/>
    <w:rsid w:val="005E2C90"/>
    <w:rsid w:val="00602BA0"/>
    <w:rsid w:val="00610B9C"/>
    <w:rsid w:val="00611091"/>
    <w:rsid w:val="006316D1"/>
    <w:rsid w:val="006455F6"/>
    <w:rsid w:val="00663918"/>
    <w:rsid w:val="006849CF"/>
    <w:rsid w:val="006908CE"/>
    <w:rsid w:val="006C14C0"/>
    <w:rsid w:val="006D3D34"/>
    <w:rsid w:val="006D43E2"/>
    <w:rsid w:val="006E132C"/>
    <w:rsid w:val="006E62D7"/>
    <w:rsid w:val="006F3B65"/>
    <w:rsid w:val="006F610F"/>
    <w:rsid w:val="006F6C31"/>
    <w:rsid w:val="00723358"/>
    <w:rsid w:val="007253D0"/>
    <w:rsid w:val="00725F69"/>
    <w:rsid w:val="0073395B"/>
    <w:rsid w:val="0074201C"/>
    <w:rsid w:val="00771D21"/>
    <w:rsid w:val="00790FF3"/>
    <w:rsid w:val="007A54C2"/>
    <w:rsid w:val="007A6FAF"/>
    <w:rsid w:val="007B037D"/>
    <w:rsid w:val="007C0C2E"/>
    <w:rsid w:val="007C2356"/>
    <w:rsid w:val="007C5C8E"/>
    <w:rsid w:val="007D5570"/>
    <w:rsid w:val="007D654A"/>
    <w:rsid w:val="007E0891"/>
    <w:rsid w:val="007E3B09"/>
    <w:rsid w:val="007F301D"/>
    <w:rsid w:val="008039BD"/>
    <w:rsid w:val="008108CF"/>
    <w:rsid w:val="008111D6"/>
    <w:rsid w:val="008156FE"/>
    <w:rsid w:val="008171F9"/>
    <w:rsid w:val="00830E4E"/>
    <w:rsid w:val="00831C94"/>
    <w:rsid w:val="00835FEF"/>
    <w:rsid w:val="00837417"/>
    <w:rsid w:val="00855D49"/>
    <w:rsid w:val="00857AEE"/>
    <w:rsid w:val="00864576"/>
    <w:rsid w:val="00876D4A"/>
    <w:rsid w:val="008834DF"/>
    <w:rsid w:val="008B413C"/>
    <w:rsid w:val="008B4415"/>
    <w:rsid w:val="008C2992"/>
    <w:rsid w:val="008D32D8"/>
    <w:rsid w:val="008D5F15"/>
    <w:rsid w:val="008F5C74"/>
    <w:rsid w:val="008F68E8"/>
    <w:rsid w:val="008F78C0"/>
    <w:rsid w:val="00903F14"/>
    <w:rsid w:val="00920DF7"/>
    <w:rsid w:val="0092277A"/>
    <w:rsid w:val="00942F73"/>
    <w:rsid w:val="0094520C"/>
    <w:rsid w:val="00971E41"/>
    <w:rsid w:val="00982E21"/>
    <w:rsid w:val="00986F77"/>
    <w:rsid w:val="009A71F8"/>
    <w:rsid w:val="009B282B"/>
    <w:rsid w:val="009C5C2A"/>
    <w:rsid w:val="009D16F4"/>
    <w:rsid w:val="009D7DAF"/>
    <w:rsid w:val="009E2037"/>
    <w:rsid w:val="009E4F16"/>
    <w:rsid w:val="009E7B26"/>
    <w:rsid w:val="009F5067"/>
    <w:rsid w:val="00A0240F"/>
    <w:rsid w:val="00A0600D"/>
    <w:rsid w:val="00A31451"/>
    <w:rsid w:val="00A36755"/>
    <w:rsid w:val="00A4641A"/>
    <w:rsid w:val="00A4697B"/>
    <w:rsid w:val="00A744BF"/>
    <w:rsid w:val="00A753B8"/>
    <w:rsid w:val="00A824CC"/>
    <w:rsid w:val="00A94CF4"/>
    <w:rsid w:val="00AB617D"/>
    <w:rsid w:val="00AC2D05"/>
    <w:rsid w:val="00AC78B6"/>
    <w:rsid w:val="00AF1BDD"/>
    <w:rsid w:val="00AF3EEB"/>
    <w:rsid w:val="00B038EF"/>
    <w:rsid w:val="00B20EFD"/>
    <w:rsid w:val="00B219EF"/>
    <w:rsid w:val="00B232D4"/>
    <w:rsid w:val="00B2498D"/>
    <w:rsid w:val="00B30832"/>
    <w:rsid w:val="00B360CF"/>
    <w:rsid w:val="00B409ED"/>
    <w:rsid w:val="00B6164A"/>
    <w:rsid w:val="00B6353C"/>
    <w:rsid w:val="00B64B06"/>
    <w:rsid w:val="00B67811"/>
    <w:rsid w:val="00B90568"/>
    <w:rsid w:val="00B90B96"/>
    <w:rsid w:val="00B92781"/>
    <w:rsid w:val="00BB3272"/>
    <w:rsid w:val="00BB5697"/>
    <w:rsid w:val="00BC3670"/>
    <w:rsid w:val="00BC3C2C"/>
    <w:rsid w:val="00BC442A"/>
    <w:rsid w:val="00BD3073"/>
    <w:rsid w:val="00BE4A71"/>
    <w:rsid w:val="00BF1495"/>
    <w:rsid w:val="00C000CA"/>
    <w:rsid w:val="00C04D72"/>
    <w:rsid w:val="00C0590E"/>
    <w:rsid w:val="00C05FC3"/>
    <w:rsid w:val="00C33820"/>
    <w:rsid w:val="00C35CD8"/>
    <w:rsid w:val="00C40670"/>
    <w:rsid w:val="00C40866"/>
    <w:rsid w:val="00C57BE8"/>
    <w:rsid w:val="00C7058F"/>
    <w:rsid w:val="00C77E31"/>
    <w:rsid w:val="00CB5B62"/>
    <w:rsid w:val="00CC3B81"/>
    <w:rsid w:val="00CE1370"/>
    <w:rsid w:val="00CE57EF"/>
    <w:rsid w:val="00CF213C"/>
    <w:rsid w:val="00D012F2"/>
    <w:rsid w:val="00D050B1"/>
    <w:rsid w:val="00D13364"/>
    <w:rsid w:val="00D51BF7"/>
    <w:rsid w:val="00D57E42"/>
    <w:rsid w:val="00D83AC9"/>
    <w:rsid w:val="00D90D02"/>
    <w:rsid w:val="00D9673D"/>
    <w:rsid w:val="00DA0E26"/>
    <w:rsid w:val="00DA168E"/>
    <w:rsid w:val="00DC40B3"/>
    <w:rsid w:val="00DD4ED1"/>
    <w:rsid w:val="00DF4803"/>
    <w:rsid w:val="00DF7D14"/>
    <w:rsid w:val="00E0124B"/>
    <w:rsid w:val="00E05927"/>
    <w:rsid w:val="00E12C0D"/>
    <w:rsid w:val="00E24467"/>
    <w:rsid w:val="00E36FFD"/>
    <w:rsid w:val="00E41259"/>
    <w:rsid w:val="00E46F37"/>
    <w:rsid w:val="00E76F47"/>
    <w:rsid w:val="00E8283C"/>
    <w:rsid w:val="00E87072"/>
    <w:rsid w:val="00E923C0"/>
    <w:rsid w:val="00EA460E"/>
    <w:rsid w:val="00EC7DA3"/>
    <w:rsid w:val="00ED35F0"/>
    <w:rsid w:val="00EF104A"/>
    <w:rsid w:val="00EF2ADF"/>
    <w:rsid w:val="00EF60D8"/>
    <w:rsid w:val="00F144EA"/>
    <w:rsid w:val="00F145F1"/>
    <w:rsid w:val="00F20656"/>
    <w:rsid w:val="00F30017"/>
    <w:rsid w:val="00F33BC6"/>
    <w:rsid w:val="00F425C7"/>
    <w:rsid w:val="00F517EC"/>
    <w:rsid w:val="00F57F4D"/>
    <w:rsid w:val="00F66430"/>
    <w:rsid w:val="00F95EA4"/>
    <w:rsid w:val="00FA3075"/>
    <w:rsid w:val="00FA64CB"/>
    <w:rsid w:val="00FB7C2C"/>
    <w:rsid w:val="00FC3FBF"/>
    <w:rsid w:val="00FC54A8"/>
    <w:rsid w:val="00FD263A"/>
    <w:rsid w:val="00FF52E9"/>
    <w:rsid w:val="00FF75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BBAA1"/>
  <w15:chartTrackingRefBased/>
  <w15:docId w15:val="{507498AC-66DA-4885-A57D-E391287CE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17D"/>
    <w:pPr>
      <w:autoSpaceDE w:val="0"/>
      <w:autoSpaceDN w:val="0"/>
      <w:adjustRightInd w:val="0"/>
      <w:spacing w:after="0" w:line="276" w:lineRule="auto"/>
      <w:jc w:val="both"/>
    </w:pPr>
    <w:rPr>
      <w:rFonts w:eastAsiaTheme="minorEastAsia" w:cstheme="minorHAnsi"/>
      <w:spacing w:val="-2"/>
      <w:sz w:val="24"/>
      <w:szCs w:val="24"/>
    </w:rPr>
  </w:style>
  <w:style w:type="paragraph" w:styleId="Heading1">
    <w:name w:val="heading 1"/>
    <w:basedOn w:val="Normal"/>
    <w:next w:val="Normal"/>
    <w:link w:val="Heading1Char"/>
    <w:uiPriority w:val="9"/>
    <w:qFormat/>
    <w:rsid w:val="00EA460E"/>
    <w:pPr>
      <w:numPr>
        <w:numId w:val="1"/>
      </w:numPr>
      <w:spacing w:before="120" w:after="120"/>
      <w:ind w:left="709" w:hanging="709"/>
      <w:contextualSpacing/>
      <w:outlineLvl w:val="0"/>
    </w:pPr>
    <w:rPr>
      <w:rFonts w:ascii="Cambria" w:eastAsiaTheme="majorEastAsia" w:hAnsi="Cambria" w:cstheme="majorBidi"/>
      <w:b/>
      <w:bCs/>
      <w:sz w:val="28"/>
      <w:szCs w:val="28"/>
    </w:rPr>
  </w:style>
  <w:style w:type="paragraph" w:styleId="Heading2">
    <w:name w:val="heading 2"/>
    <w:basedOn w:val="Normal"/>
    <w:next w:val="Normal"/>
    <w:link w:val="Heading2Char"/>
    <w:uiPriority w:val="9"/>
    <w:unhideWhenUsed/>
    <w:qFormat/>
    <w:rsid w:val="00EA460E"/>
    <w:pPr>
      <w:keepNext/>
      <w:keepLines/>
      <w:numPr>
        <w:ilvl w:val="1"/>
        <w:numId w:val="1"/>
      </w:numPr>
      <w:spacing w:before="120" w:after="120"/>
      <w:ind w:left="709" w:hanging="709"/>
      <w:outlineLvl w:val="1"/>
    </w:pPr>
    <w:rPr>
      <w:rFonts w:ascii="Cambria" w:eastAsiaTheme="majorEastAsia" w:hAnsi="Cambria"/>
      <w:b/>
    </w:rPr>
  </w:style>
  <w:style w:type="paragraph" w:styleId="Heading3">
    <w:name w:val="heading 3"/>
    <w:basedOn w:val="Normal"/>
    <w:next w:val="Normal"/>
    <w:link w:val="Heading3Char"/>
    <w:uiPriority w:val="9"/>
    <w:unhideWhenUsed/>
    <w:qFormat/>
    <w:rsid w:val="00EA460E"/>
    <w:pPr>
      <w:keepNext/>
      <w:keepLines/>
      <w:numPr>
        <w:ilvl w:val="2"/>
        <w:numId w:val="1"/>
      </w:numPr>
      <w:spacing w:after="40"/>
      <w:outlineLvl w:val="2"/>
    </w:pPr>
    <w:rPr>
      <w:rFonts w:ascii="Cambria" w:eastAsiaTheme="majorEastAsia" w:hAnsi="Cambria" w:cstheme="majorBidi"/>
      <w:b/>
    </w:rPr>
  </w:style>
  <w:style w:type="paragraph" w:styleId="Heading4">
    <w:name w:val="heading 4"/>
    <w:basedOn w:val="Normal"/>
    <w:next w:val="Normal"/>
    <w:link w:val="Heading4Char"/>
    <w:uiPriority w:val="9"/>
    <w:semiHidden/>
    <w:unhideWhenUsed/>
    <w:qFormat/>
    <w:rsid w:val="00E87072"/>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87072"/>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87072"/>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87072"/>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8707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8707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460E"/>
    <w:rPr>
      <w:rFonts w:ascii="Cambria" w:eastAsiaTheme="majorEastAsia" w:hAnsi="Cambria" w:cstheme="majorBidi"/>
      <w:b/>
      <w:bCs/>
      <w:spacing w:val="-2"/>
      <w:sz w:val="28"/>
      <w:szCs w:val="28"/>
    </w:rPr>
  </w:style>
  <w:style w:type="table" w:styleId="TableGrid">
    <w:name w:val="Table Grid"/>
    <w:basedOn w:val="TableNormal"/>
    <w:uiPriority w:val="59"/>
    <w:rsid w:val="0074201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87072"/>
    <w:pPr>
      <w:autoSpaceDE w:val="0"/>
      <w:autoSpaceDN w:val="0"/>
      <w:adjustRightInd w:val="0"/>
      <w:spacing w:after="0" w:line="240" w:lineRule="auto"/>
      <w:jc w:val="both"/>
    </w:pPr>
    <w:rPr>
      <w:rFonts w:ascii="Cambria" w:eastAsiaTheme="minorEastAsia" w:hAnsi="Cambria"/>
    </w:rPr>
  </w:style>
  <w:style w:type="character" w:customStyle="1" w:styleId="Heading2Char">
    <w:name w:val="Heading 2 Char"/>
    <w:basedOn w:val="DefaultParagraphFont"/>
    <w:link w:val="Heading2"/>
    <w:uiPriority w:val="9"/>
    <w:rsid w:val="00EA460E"/>
    <w:rPr>
      <w:rFonts w:ascii="Cambria" w:eastAsiaTheme="majorEastAsia" w:hAnsi="Cambria" w:cstheme="minorHAnsi"/>
      <w:b/>
      <w:spacing w:val="-2"/>
      <w:sz w:val="24"/>
      <w:szCs w:val="24"/>
    </w:rPr>
  </w:style>
  <w:style w:type="paragraph" w:styleId="TOCHeading">
    <w:name w:val="TOC Heading"/>
    <w:basedOn w:val="Heading1"/>
    <w:next w:val="Normal"/>
    <w:uiPriority w:val="39"/>
    <w:unhideWhenUsed/>
    <w:qFormat/>
    <w:rsid w:val="00E87072"/>
    <w:pPr>
      <w:keepNext/>
      <w:keepLines/>
      <w:autoSpaceDE/>
      <w:autoSpaceDN/>
      <w:adjustRightInd/>
      <w:spacing w:line="259" w:lineRule="auto"/>
      <w:contextualSpacing w:val="0"/>
      <w:jc w:val="left"/>
      <w:outlineLvl w:val="9"/>
    </w:pPr>
    <w:rPr>
      <w:rFonts w:asciiTheme="majorHAnsi" w:hAnsiTheme="majorHAnsi"/>
      <w:b w:val="0"/>
      <w:bCs w:val="0"/>
      <w:color w:val="2F5496" w:themeColor="accent1" w:themeShade="BF"/>
      <w:sz w:val="32"/>
      <w:szCs w:val="32"/>
      <w:lang w:val="en-US"/>
    </w:rPr>
  </w:style>
  <w:style w:type="paragraph" w:styleId="TOC1">
    <w:name w:val="toc 1"/>
    <w:basedOn w:val="Normal"/>
    <w:next w:val="Normal"/>
    <w:autoRedefine/>
    <w:uiPriority w:val="39"/>
    <w:unhideWhenUsed/>
    <w:rsid w:val="00E87072"/>
    <w:pPr>
      <w:spacing w:after="100"/>
    </w:pPr>
  </w:style>
  <w:style w:type="paragraph" w:styleId="TOC2">
    <w:name w:val="toc 2"/>
    <w:basedOn w:val="Normal"/>
    <w:next w:val="Normal"/>
    <w:autoRedefine/>
    <w:uiPriority w:val="39"/>
    <w:unhideWhenUsed/>
    <w:rsid w:val="00E87072"/>
    <w:pPr>
      <w:spacing w:after="100"/>
      <w:ind w:left="220"/>
    </w:pPr>
  </w:style>
  <w:style w:type="character" w:styleId="Hyperlink">
    <w:name w:val="Hyperlink"/>
    <w:basedOn w:val="DefaultParagraphFont"/>
    <w:uiPriority w:val="99"/>
    <w:unhideWhenUsed/>
    <w:rsid w:val="00E87072"/>
    <w:rPr>
      <w:color w:val="0563C1" w:themeColor="hyperlink"/>
      <w:u w:val="single"/>
    </w:rPr>
  </w:style>
  <w:style w:type="character" w:customStyle="1" w:styleId="Heading3Char">
    <w:name w:val="Heading 3 Char"/>
    <w:basedOn w:val="DefaultParagraphFont"/>
    <w:link w:val="Heading3"/>
    <w:uiPriority w:val="9"/>
    <w:rsid w:val="00EA460E"/>
    <w:rPr>
      <w:rFonts w:ascii="Cambria" w:eastAsiaTheme="majorEastAsia" w:hAnsi="Cambria" w:cstheme="majorBidi"/>
      <w:b/>
      <w:spacing w:val="-2"/>
      <w:sz w:val="24"/>
      <w:szCs w:val="24"/>
    </w:rPr>
  </w:style>
  <w:style w:type="character" w:customStyle="1" w:styleId="Heading4Char">
    <w:name w:val="Heading 4 Char"/>
    <w:basedOn w:val="DefaultParagraphFont"/>
    <w:link w:val="Heading4"/>
    <w:uiPriority w:val="9"/>
    <w:semiHidden/>
    <w:rsid w:val="00E8707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E8707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87072"/>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87072"/>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8707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87072"/>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link w:val="ListParagraphChar"/>
    <w:uiPriority w:val="34"/>
    <w:qFormat/>
    <w:rsid w:val="00EA460E"/>
    <w:pPr>
      <w:numPr>
        <w:numId w:val="7"/>
      </w:numPr>
      <w:ind w:left="426" w:hanging="426"/>
      <w:contextualSpacing/>
    </w:pPr>
  </w:style>
  <w:style w:type="character" w:customStyle="1" w:styleId="NoSpacingChar">
    <w:name w:val="No Spacing Char"/>
    <w:basedOn w:val="DefaultParagraphFont"/>
    <w:link w:val="NoSpacing"/>
    <w:uiPriority w:val="1"/>
    <w:locked/>
    <w:rsid w:val="002360E8"/>
    <w:rPr>
      <w:rFonts w:ascii="Cambria" w:eastAsiaTheme="minorEastAsia" w:hAnsi="Cambria"/>
    </w:rPr>
  </w:style>
  <w:style w:type="paragraph" w:styleId="TOC3">
    <w:name w:val="toc 3"/>
    <w:basedOn w:val="Normal"/>
    <w:next w:val="Normal"/>
    <w:autoRedefine/>
    <w:uiPriority w:val="39"/>
    <w:unhideWhenUsed/>
    <w:rsid w:val="008C2992"/>
    <w:pPr>
      <w:spacing w:after="100"/>
      <w:ind w:left="440"/>
    </w:pPr>
  </w:style>
  <w:style w:type="character" w:styleId="CommentReference">
    <w:name w:val="annotation reference"/>
    <w:basedOn w:val="DefaultParagraphFont"/>
    <w:uiPriority w:val="99"/>
    <w:unhideWhenUsed/>
    <w:rsid w:val="005E2C90"/>
    <w:rPr>
      <w:sz w:val="16"/>
      <w:szCs w:val="16"/>
    </w:rPr>
  </w:style>
  <w:style w:type="paragraph" w:styleId="CommentText">
    <w:name w:val="annotation text"/>
    <w:basedOn w:val="Normal"/>
    <w:link w:val="CommentTextChar"/>
    <w:uiPriority w:val="99"/>
    <w:unhideWhenUsed/>
    <w:rsid w:val="005E2C90"/>
    <w:pPr>
      <w:spacing w:line="240" w:lineRule="auto"/>
    </w:pPr>
    <w:rPr>
      <w:sz w:val="20"/>
      <w:szCs w:val="20"/>
    </w:rPr>
  </w:style>
  <w:style w:type="character" w:customStyle="1" w:styleId="CommentTextChar">
    <w:name w:val="Comment Text Char"/>
    <w:basedOn w:val="DefaultParagraphFont"/>
    <w:link w:val="CommentText"/>
    <w:uiPriority w:val="99"/>
    <w:rsid w:val="005E2C90"/>
    <w:rPr>
      <w:rFonts w:ascii="Cambria" w:eastAsiaTheme="minorEastAsia" w:hAnsi="Cambria"/>
      <w:sz w:val="20"/>
      <w:szCs w:val="20"/>
    </w:rPr>
  </w:style>
  <w:style w:type="paragraph" w:styleId="CommentSubject">
    <w:name w:val="annotation subject"/>
    <w:basedOn w:val="CommentText"/>
    <w:next w:val="CommentText"/>
    <w:link w:val="CommentSubjectChar"/>
    <w:uiPriority w:val="99"/>
    <w:semiHidden/>
    <w:unhideWhenUsed/>
    <w:rsid w:val="005E2C90"/>
    <w:rPr>
      <w:b/>
      <w:bCs/>
    </w:rPr>
  </w:style>
  <w:style w:type="character" w:customStyle="1" w:styleId="CommentSubjectChar">
    <w:name w:val="Comment Subject Char"/>
    <w:basedOn w:val="CommentTextChar"/>
    <w:link w:val="CommentSubject"/>
    <w:uiPriority w:val="99"/>
    <w:semiHidden/>
    <w:rsid w:val="005E2C90"/>
    <w:rPr>
      <w:rFonts w:ascii="Cambria" w:eastAsiaTheme="minorEastAsia" w:hAnsi="Cambria"/>
      <w:b/>
      <w:bCs/>
      <w:sz w:val="20"/>
      <w:szCs w:val="20"/>
    </w:rPr>
  </w:style>
  <w:style w:type="paragraph" w:styleId="BalloonText">
    <w:name w:val="Balloon Text"/>
    <w:basedOn w:val="Normal"/>
    <w:link w:val="BalloonTextChar"/>
    <w:uiPriority w:val="99"/>
    <w:semiHidden/>
    <w:unhideWhenUsed/>
    <w:rsid w:val="00FF75B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75B3"/>
    <w:rPr>
      <w:rFonts w:ascii="Segoe UI" w:eastAsiaTheme="minorEastAsia" w:hAnsi="Segoe UI" w:cs="Segoe UI"/>
      <w:spacing w:val="-2"/>
      <w:sz w:val="18"/>
      <w:szCs w:val="18"/>
    </w:rPr>
  </w:style>
  <w:style w:type="paragraph" w:styleId="Revision">
    <w:name w:val="Revision"/>
    <w:hidden/>
    <w:uiPriority w:val="99"/>
    <w:semiHidden/>
    <w:rsid w:val="00AC78B6"/>
    <w:pPr>
      <w:spacing w:after="0" w:line="240" w:lineRule="auto"/>
    </w:pPr>
    <w:rPr>
      <w:rFonts w:eastAsiaTheme="minorEastAsia" w:cstheme="minorHAnsi"/>
      <w:spacing w:val="-2"/>
      <w:sz w:val="24"/>
      <w:szCs w:val="24"/>
    </w:rPr>
  </w:style>
  <w:style w:type="paragraph" w:styleId="Title">
    <w:name w:val="Title"/>
    <w:basedOn w:val="Normal"/>
    <w:next w:val="Normal"/>
    <w:link w:val="TitleChar"/>
    <w:uiPriority w:val="10"/>
    <w:qFormat/>
    <w:rsid w:val="00EA460E"/>
    <w:pPr>
      <w:spacing w:before="120" w:after="120"/>
      <w:jc w:val="center"/>
    </w:pPr>
    <w:rPr>
      <w:rFonts w:ascii="Cambria" w:hAnsi="Cambria"/>
      <w:b/>
      <w:bCs/>
    </w:rPr>
  </w:style>
  <w:style w:type="character" w:customStyle="1" w:styleId="TitleChar">
    <w:name w:val="Title Char"/>
    <w:basedOn w:val="DefaultParagraphFont"/>
    <w:link w:val="Title"/>
    <w:uiPriority w:val="10"/>
    <w:rsid w:val="00EA460E"/>
    <w:rPr>
      <w:rFonts w:ascii="Cambria" w:eastAsiaTheme="minorEastAsia" w:hAnsi="Cambria" w:cstheme="minorHAnsi"/>
      <w:b/>
      <w:bCs/>
      <w:spacing w:val="-2"/>
      <w:sz w:val="24"/>
      <w:szCs w:val="24"/>
    </w:rPr>
  </w:style>
  <w:style w:type="paragraph" w:styleId="Subtitle">
    <w:name w:val="Subtitle"/>
    <w:basedOn w:val="Normal"/>
    <w:next w:val="Normal"/>
    <w:link w:val="SubtitleChar"/>
    <w:uiPriority w:val="11"/>
    <w:qFormat/>
    <w:rsid w:val="00EA460E"/>
    <w:pPr>
      <w:jc w:val="center"/>
    </w:pPr>
    <w:rPr>
      <w:rFonts w:ascii="Cambria" w:hAnsi="Cambria"/>
    </w:rPr>
  </w:style>
  <w:style w:type="character" w:customStyle="1" w:styleId="SubtitleChar">
    <w:name w:val="Subtitle Char"/>
    <w:basedOn w:val="DefaultParagraphFont"/>
    <w:link w:val="Subtitle"/>
    <w:uiPriority w:val="11"/>
    <w:rsid w:val="00EA460E"/>
    <w:rPr>
      <w:rFonts w:ascii="Cambria" w:eastAsiaTheme="minorEastAsia" w:hAnsi="Cambria" w:cstheme="minorHAnsi"/>
      <w:spacing w:val="-2"/>
      <w:sz w:val="24"/>
      <w:szCs w:val="24"/>
    </w:rPr>
  </w:style>
  <w:style w:type="paragraph" w:customStyle="1" w:styleId="BulletParagraph">
    <w:name w:val="Bullet Paragraph"/>
    <w:basedOn w:val="ListParagraph"/>
    <w:link w:val="BulletParagraphChar"/>
    <w:qFormat/>
    <w:rsid w:val="00EA460E"/>
    <w:pPr>
      <w:numPr>
        <w:numId w:val="26"/>
      </w:numPr>
      <w:ind w:left="426" w:hanging="426"/>
    </w:pPr>
  </w:style>
  <w:style w:type="paragraph" w:styleId="Header">
    <w:name w:val="header"/>
    <w:basedOn w:val="Normal"/>
    <w:link w:val="HeaderChar"/>
    <w:uiPriority w:val="99"/>
    <w:unhideWhenUsed/>
    <w:rsid w:val="00E46F37"/>
    <w:pPr>
      <w:tabs>
        <w:tab w:val="center" w:pos="4513"/>
        <w:tab w:val="right" w:pos="9026"/>
      </w:tabs>
      <w:spacing w:line="240" w:lineRule="auto"/>
    </w:pPr>
  </w:style>
  <w:style w:type="character" w:customStyle="1" w:styleId="ListParagraphChar">
    <w:name w:val="List Paragraph Char"/>
    <w:basedOn w:val="DefaultParagraphFont"/>
    <w:link w:val="ListParagraph"/>
    <w:uiPriority w:val="34"/>
    <w:rsid w:val="00EA460E"/>
    <w:rPr>
      <w:rFonts w:eastAsiaTheme="minorEastAsia" w:cstheme="minorHAnsi"/>
      <w:spacing w:val="-2"/>
      <w:sz w:val="24"/>
      <w:szCs w:val="24"/>
    </w:rPr>
  </w:style>
  <w:style w:type="character" w:customStyle="1" w:styleId="BulletParagraphChar">
    <w:name w:val="Bullet Paragraph Char"/>
    <w:basedOn w:val="ListParagraphChar"/>
    <w:link w:val="BulletParagraph"/>
    <w:rsid w:val="00EA460E"/>
    <w:rPr>
      <w:rFonts w:eastAsiaTheme="minorEastAsia" w:cstheme="minorHAnsi"/>
      <w:spacing w:val="-2"/>
      <w:sz w:val="24"/>
      <w:szCs w:val="24"/>
    </w:rPr>
  </w:style>
  <w:style w:type="character" w:customStyle="1" w:styleId="HeaderChar">
    <w:name w:val="Header Char"/>
    <w:basedOn w:val="DefaultParagraphFont"/>
    <w:link w:val="Header"/>
    <w:uiPriority w:val="99"/>
    <w:rsid w:val="00E46F37"/>
    <w:rPr>
      <w:rFonts w:eastAsiaTheme="minorEastAsia" w:cstheme="minorHAnsi"/>
      <w:spacing w:val="-2"/>
      <w:sz w:val="24"/>
      <w:szCs w:val="24"/>
    </w:rPr>
  </w:style>
  <w:style w:type="paragraph" w:styleId="Footer">
    <w:name w:val="footer"/>
    <w:basedOn w:val="Normal"/>
    <w:link w:val="FooterChar"/>
    <w:uiPriority w:val="99"/>
    <w:unhideWhenUsed/>
    <w:rsid w:val="00E46F37"/>
    <w:pPr>
      <w:tabs>
        <w:tab w:val="center" w:pos="4513"/>
        <w:tab w:val="right" w:pos="9026"/>
      </w:tabs>
      <w:spacing w:line="240" w:lineRule="auto"/>
    </w:pPr>
  </w:style>
  <w:style w:type="character" w:customStyle="1" w:styleId="FooterChar">
    <w:name w:val="Footer Char"/>
    <w:basedOn w:val="DefaultParagraphFont"/>
    <w:link w:val="Footer"/>
    <w:uiPriority w:val="99"/>
    <w:rsid w:val="00E46F37"/>
    <w:rPr>
      <w:rFonts w:eastAsiaTheme="minorEastAsia" w:cstheme="minorHAnsi"/>
      <w:spacing w:val="-2"/>
      <w:sz w:val="24"/>
      <w:szCs w:val="24"/>
    </w:rPr>
  </w:style>
  <w:style w:type="character" w:customStyle="1" w:styleId="UnresolvedMention">
    <w:name w:val="Unresolved Mention"/>
    <w:basedOn w:val="DefaultParagraphFont"/>
    <w:uiPriority w:val="99"/>
    <w:semiHidden/>
    <w:unhideWhenUsed/>
    <w:rsid w:val="000320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52993">
      <w:bodyDiv w:val="1"/>
      <w:marLeft w:val="0"/>
      <w:marRight w:val="0"/>
      <w:marTop w:val="0"/>
      <w:marBottom w:val="0"/>
      <w:divBdr>
        <w:top w:val="none" w:sz="0" w:space="0" w:color="auto"/>
        <w:left w:val="none" w:sz="0" w:space="0" w:color="auto"/>
        <w:bottom w:val="none" w:sz="0" w:space="0" w:color="auto"/>
        <w:right w:val="none" w:sz="0" w:space="0" w:color="auto"/>
      </w:divBdr>
    </w:div>
    <w:div w:id="117183208">
      <w:bodyDiv w:val="1"/>
      <w:marLeft w:val="0"/>
      <w:marRight w:val="0"/>
      <w:marTop w:val="0"/>
      <w:marBottom w:val="0"/>
      <w:divBdr>
        <w:top w:val="none" w:sz="0" w:space="0" w:color="auto"/>
        <w:left w:val="none" w:sz="0" w:space="0" w:color="auto"/>
        <w:bottom w:val="none" w:sz="0" w:space="0" w:color="auto"/>
        <w:right w:val="none" w:sz="0" w:space="0" w:color="auto"/>
      </w:divBdr>
    </w:div>
    <w:div w:id="141117452">
      <w:bodyDiv w:val="1"/>
      <w:marLeft w:val="0"/>
      <w:marRight w:val="0"/>
      <w:marTop w:val="0"/>
      <w:marBottom w:val="0"/>
      <w:divBdr>
        <w:top w:val="none" w:sz="0" w:space="0" w:color="auto"/>
        <w:left w:val="none" w:sz="0" w:space="0" w:color="auto"/>
        <w:bottom w:val="none" w:sz="0" w:space="0" w:color="auto"/>
        <w:right w:val="none" w:sz="0" w:space="0" w:color="auto"/>
      </w:divBdr>
    </w:div>
    <w:div w:id="270943207">
      <w:bodyDiv w:val="1"/>
      <w:marLeft w:val="0"/>
      <w:marRight w:val="0"/>
      <w:marTop w:val="0"/>
      <w:marBottom w:val="0"/>
      <w:divBdr>
        <w:top w:val="none" w:sz="0" w:space="0" w:color="auto"/>
        <w:left w:val="none" w:sz="0" w:space="0" w:color="auto"/>
        <w:bottom w:val="none" w:sz="0" w:space="0" w:color="auto"/>
        <w:right w:val="none" w:sz="0" w:space="0" w:color="auto"/>
      </w:divBdr>
    </w:div>
    <w:div w:id="273942148">
      <w:bodyDiv w:val="1"/>
      <w:marLeft w:val="0"/>
      <w:marRight w:val="0"/>
      <w:marTop w:val="0"/>
      <w:marBottom w:val="0"/>
      <w:divBdr>
        <w:top w:val="none" w:sz="0" w:space="0" w:color="auto"/>
        <w:left w:val="none" w:sz="0" w:space="0" w:color="auto"/>
        <w:bottom w:val="none" w:sz="0" w:space="0" w:color="auto"/>
        <w:right w:val="none" w:sz="0" w:space="0" w:color="auto"/>
      </w:divBdr>
    </w:div>
    <w:div w:id="470486676">
      <w:bodyDiv w:val="1"/>
      <w:marLeft w:val="0"/>
      <w:marRight w:val="0"/>
      <w:marTop w:val="0"/>
      <w:marBottom w:val="0"/>
      <w:divBdr>
        <w:top w:val="none" w:sz="0" w:space="0" w:color="auto"/>
        <w:left w:val="none" w:sz="0" w:space="0" w:color="auto"/>
        <w:bottom w:val="none" w:sz="0" w:space="0" w:color="auto"/>
        <w:right w:val="none" w:sz="0" w:space="0" w:color="auto"/>
      </w:divBdr>
    </w:div>
    <w:div w:id="500315834">
      <w:bodyDiv w:val="1"/>
      <w:marLeft w:val="0"/>
      <w:marRight w:val="0"/>
      <w:marTop w:val="0"/>
      <w:marBottom w:val="0"/>
      <w:divBdr>
        <w:top w:val="none" w:sz="0" w:space="0" w:color="auto"/>
        <w:left w:val="none" w:sz="0" w:space="0" w:color="auto"/>
        <w:bottom w:val="none" w:sz="0" w:space="0" w:color="auto"/>
        <w:right w:val="none" w:sz="0" w:space="0" w:color="auto"/>
      </w:divBdr>
    </w:div>
    <w:div w:id="509956715">
      <w:bodyDiv w:val="1"/>
      <w:marLeft w:val="0"/>
      <w:marRight w:val="0"/>
      <w:marTop w:val="0"/>
      <w:marBottom w:val="0"/>
      <w:divBdr>
        <w:top w:val="none" w:sz="0" w:space="0" w:color="auto"/>
        <w:left w:val="none" w:sz="0" w:space="0" w:color="auto"/>
        <w:bottom w:val="none" w:sz="0" w:space="0" w:color="auto"/>
        <w:right w:val="none" w:sz="0" w:space="0" w:color="auto"/>
      </w:divBdr>
    </w:div>
    <w:div w:id="1078675443">
      <w:bodyDiv w:val="1"/>
      <w:marLeft w:val="0"/>
      <w:marRight w:val="0"/>
      <w:marTop w:val="0"/>
      <w:marBottom w:val="0"/>
      <w:divBdr>
        <w:top w:val="none" w:sz="0" w:space="0" w:color="auto"/>
        <w:left w:val="none" w:sz="0" w:space="0" w:color="auto"/>
        <w:bottom w:val="none" w:sz="0" w:space="0" w:color="auto"/>
        <w:right w:val="none" w:sz="0" w:space="0" w:color="auto"/>
      </w:divBdr>
    </w:div>
    <w:div w:id="1327326289">
      <w:bodyDiv w:val="1"/>
      <w:marLeft w:val="0"/>
      <w:marRight w:val="0"/>
      <w:marTop w:val="0"/>
      <w:marBottom w:val="0"/>
      <w:divBdr>
        <w:top w:val="none" w:sz="0" w:space="0" w:color="auto"/>
        <w:left w:val="none" w:sz="0" w:space="0" w:color="auto"/>
        <w:bottom w:val="none" w:sz="0" w:space="0" w:color="auto"/>
        <w:right w:val="none" w:sz="0" w:space="0" w:color="auto"/>
      </w:divBdr>
    </w:div>
    <w:div w:id="1355158378">
      <w:bodyDiv w:val="1"/>
      <w:marLeft w:val="0"/>
      <w:marRight w:val="0"/>
      <w:marTop w:val="0"/>
      <w:marBottom w:val="0"/>
      <w:divBdr>
        <w:top w:val="none" w:sz="0" w:space="0" w:color="auto"/>
        <w:left w:val="none" w:sz="0" w:space="0" w:color="auto"/>
        <w:bottom w:val="none" w:sz="0" w:space="0" w:color="auto"/>
        <w:right w:val="none" w:sz="0" w:space="0" w:color="auto"/>
      </w:divBdr>
    </w:div>
    <w:div w:id="1514497176">
      <w:bodyDiv w:val="1"/>
      <w:marLeft w:val="0"/>
      <w:marRight w:val="0"/>
      <w:marTop w:val="0"/>
      <w:marBottom w:val="0"/>
      <w:divBdr>
        <w:top w:val="none" w:sz="0" w:space="0" w:color="auto"/>
        <w:left w:val="none" w:sz="0" w:space="0" w:color="auto"/>
        <w:bottom w:val="none" w:sz="0" w:space="0" w:color="auto"/>
        <w:right w:val="none" w:sz="0" w:space="0" w:color="auto"/>
      </w:divBdr>
    </w:div>
    <w:div w:id="1551652446">
      <w:bodyDiv w:val="1"/>
      <w:marLeft w:val="0"/>
      <w:marRight w:val="0"/>
      <w:marTop w:val="0"/>
      <w:marBottom w:val="0"/>
      <w:divBdr>
        <w:top w:val="none" w:sz="0" w:space="0" w:color="auto"/>
        <w:left w:val="none" w:sz="0" w:space="0" w:color="auto"/>
        <w:bottom w:val="none" w:sz="0" w:space="0" w:color="auto"/>
        <w:right w:val="none" w:sz="0" w:space="0" w:color="auto"/>
      </w:divBdr>
    </w:div>
    <w:div w:id="1564024623">
      <w:bodyDiv w:val="1"/>
      <w:marLeft w:val="0"/>
      <w:marRight w:val="0"/>
      <w:marTop w:val="0"/>
      <w:marBottom w:val="0"/>
      <w:divBdr>
        <w:top w:val="none" w:sz="0" w:space="0" w:color="auto"/>
        <w:left w:val="none" w:sz="0" w:space="0" w:color="auto"/>
        <w:bottom w:val="none" w:sz="0" w:space="0" w:color="auto"/>
        <w:right w:val="none" w:sz="0" w:space="0" w:color="auto"/>
      </w:divBdr>
    </w:div>
    <w:div w:id="1668052827">
      <w:bodyDiv w:val="1"/>
      <w:marLeft w:val="0"/>
      <w:marRight w:val="0"/>
      <w:marTop w:val="0"/>
      <w:marBottom w:val="0"/>
      <w:divBdr>
        <w:top w:val="none" w:sz="0" w:space="0" w:color="auto"/>
        <w:left w:val="none" w:sz="0" w:space="0" w:color="auto"/>
        <w:bottom w:val="none" w:sz="0" w:space="0" w:color="auto"/>
        <w:right w:val="none" w:sz="0" w:space="0" w:color="auto"/>
      </w:divBdr>
    </w:div>
    <w:div w:id="1998145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86/ISRCTN9283155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1338A-9EBA-45CC-A92C-9CD9AE036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2352</Words>
  <Characters>13412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Adeleke, Mariam</dc:creator>
  <cp:keywords/>
  <dc:description/>
  <cp:lastModifiedBy>Walters, Kate</cp:lastModifiedBy>
  <cp:revision>2</cp:revision>
  <dcterms:created xsi:type="dcterms:W3CDTF">2023-09-22T16:29:00Z</dcterms:created>
  <dcterms:modified xsi:type="dcterms:W3CDTF">2023-09-22T16:29:00Z</dcterms:modified>
</cp:coreProperties>
</file>