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26A4F" w14:textId="77777777" w:rsidR="00382DE6" w:rsidRDefault="00382DE6" w:rsidP="00382DE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b/>
          <w:bCs/>
          <w:i/>
          <w:iCs/>
          <w:color w:val="000000" w:themeColor="text1"/>
          <w:kern w:val="0"/>
          <w:sz w:val="24"/>
        </w:rPr>
      </w:pPr>
      <w:bookmarkStart w:id="0" w:name="_GoBack"/>
      <w:bookmarkEnd w:id="0"/>
      <w:r>
        <w:rPr>
          <w:rFonts w:ascii="Times New Roman" w:eastAsia="宋体" w:hAnsi="Times New Roman" w:cs="Times New Roman" w:hint="eastAsia"/>
          <w:b/>
          <w:bCs/>
          <w:i/>
          <w:iCs/>
          <w:color w:val="000000" w:themeColor="text1"/>
          <w:kern w:val="0"/>
          <w:sz w:val="24"/>
        </w:rPr>
        <w:t>S</w:t>
      </w:r>
      <w:r>
        <w:rPr>
          <w:rFonts w:ascii="Times New Roman" w:eastAsia="宋体" w:hAnsi="Times New Roman" w:cs="Times New Roman"/>
          <w:b/>
          <w:bCs/>
          <w:i/>
          <w:iCs/>
          <w:color w:val="000000" w:themeColor="text1"/>
          <w:kern w:val="0"/>
          <w:sz w:val="24"/>
        </w:rPr>
        <w:t>upplementary table</w:t>
      </w:r>
      <w:r>
        <w:rPr>
          <w:rFonts w:ascii="Times New Roman" w:eastAsia="宋体" w:hAnsi="Times New Roman" w:cs="Times New Roman" w:hint="eastAsia"/>
          <w:b/>
          <w:bCs/>
          <w:i/>
          <w:iCs/>
          <w:color w:val="000000" w:themeColor="text1"/>
          <w:kern w:val="0"/>
          <w:sz w:val="24"/>
        </w:rPr>
        <w:t xml:space="preserve"> 1 </w:t>
      </w:r>
    </w:p>
    <w:p w14:paraId="24054798" w14:textId="77777777" w:rsidR="00382DE6" w:rsidRDefault="00382DE6" w:rsidP="00382DE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b/>
          <w:bCs/>
          <w:i/>
          <w:iCs/>
          <w:color w:val="000000" w:themeColor="text1"/>
          <w:kern w:val="0"/>
          <w:sz w:val="24"/>
        </w:rPr>
      </w:pPr>
      <w:r>
        <w:rPr>
          <w:rFonts w:ascii="Times New Roman" w:eastAsia="宋体" w:hAnsi="Times New Roman" w:cs="Times New Roman" w:hint="eastAsia"/>
          <w:b/>
          <w:bCs/>
          <w:i/>
          <w:iCs/>
          <w:color w:val="000000" w:themeColor="text1"/>
          <w:kern w:val="0"/>
          <w:sz w:val="24"/>
        </w:rPr>
        <w:t>World Health Organization Trial Registration Data Set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9"/>
        <w:gridCol w:w="5501"/>
      </w:tblGrid>
      <w:tr w:rsidR="00382DE6" w14:paraId="5845116C" w14:textId="77777777" w:rsidTr="00314176">
        <w:tc>
          <w:tcPr>
            <w:tcW w:w="2854" w:type="dxa"/>
          </w:tcPr>
          <w:p w14:paraId="79986576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Data category</w:t>
            </w:r>
          </w:p>
        </w:tc>
        <w:tc>
          <w:tcPr>
            <w:tcW w:w="5668" w:type="dxa"/>
          </w:tcPr>
          <w:p w14:paraId="66795880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Information</w:t>
            </w:r>
          </w:p>
        </w:tc>
      </w:tr>
      <w:tr w:rsidR="00382DE6" w14:paraId="4376A39B" w14:textId="77777777" w:rsidTr="00314176">
        <w:tc>
          <w:tcPr>
            <w:tcW w:w="2854" w:type="dxa"/>
          </w:tcPr>
          <w:p w14:paraId="6CBA3DCA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Primary registry and trial identifying number</w:t>
            </w:r>
          </w:p>
        </w:tc>
        <w:tc>
          <w:tcPr>
            <w:tcW w:w="5668" w:type="dxa"/>
          </w:tcPr>
          <w:p w14:paraId="3FE15B41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ClinicalTrials.gov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 xml:space="preserve"> </w:t>
            </w:r>
            <w:r>
              <w:rPr>
                <w:b/>
                <w:bCs/>
                <w:i/>
                <w:iCs/>
                <w:color w:val="000000" w:themeColor="text1"/>
                <w:sz w:val="24"/>
              </w:rPr>
              <w:t>NCT04909528</w:t>
            </w:r>
          </w:p>
        </w:tc>
      </w:tr>
      <w:tr w:rsidR="00382DE6" w14:paraId="7DD13428" w14:textId="77777777" w:rsidTr="00314176">
        <w:tc>
          <w:tcPr>
            <w:tcW w:w="2854" w:type="dxa"/>
          </w:tcPr>
          <w:p w14:paraId="396F46BA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Date of registration in primary registry</w:t>
            </w:r>
          </w:p>
        </w:tc>
        <w:tc>
          <w:tcPr>
            <w:tcW w:w="5668" w:type="dxa"/>
          </w:tcPr>
          <w:p w14:paraId="7CF92A1A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05/19/2021</w:t>
            </w:r>
          </w:p>
        </w:tc>
      </w:tr>
      <w:tr w:rsidR="00382DE6" w14:paraId="2B66B75C" w14:textId="77777777" w:rsidTr="00314176">
        <w:tc>
          <w:tcPr>
            <w:tcW w:w="2854" w:type="dxa"/>
          </w:tcPr>
          <w:p w14:paraId="5DCAE787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Secondary identifying numbers</w:t>
            </w:r>
          </w:p>
        </w:tc>
        <w:tc>
          <w:tcPr>
            <w:tcW w:w="5668" w:type="dxa"/>
          </w:tcPr>
          <w:p w14:paraId="4C210FC4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None</w:t>
            </w:r>
          </w:p>
        </w:tc>
      </w:tr>
      <w:tr w:rsidR="00382DE6" w14:paraId="28AB7E6F" w14:textId="77777777" w:rsidTr="00314176">
        <w:tc>
          <w:tcPr>
            <w:tcW w:w="2854" w:type="dxa"/>
          </w:tcPr>
          <w:p w14:paraId="1E950024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Source(s) of monetary or material support</w:t>
            </w:r>
          </w:p>
        </w:tc>
        <w:tc>
          <w:tcPr>
            <w:tcW w:w="5668" w:type="dxa"/>
          </w:tcPr>
          <w:p w14:paraId="55333600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None</w:t>
            </w:r>
          </w:p>
        </w:tc>
      </w:tr>
      <w:tr w:rsidR="00382DE6" w14:paraId="13971CA5" w14:textId="77777777" w:rsidTr="00314176">
        <w:tc>
          <w:tcPr>
            <w:tcW w:w="2854" w:type="dxa"/>
          </w:tcPr>
          <w:p w14:paraId="561E3965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Primary sponsor</w:t>
            </w:r>
          </w:p>
        </w:tc>
        <w:tc>
          <w:tcPr>
            <w:tcW w:w="5668" w:type="dxa"/>
          </w:tcPr>
          <w:p w14:paraId="608CC60F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Division of Cardiology, The First Affiliated Hospital of Nanjing Medical University, Nanjing, 210029, China</w:t>
            </w:r>
          </w:p>
        </w:tc>
      </w:tr>
      <w:tr w:rsidR="00382DE6" w14:paraId="4C529E58" w14:textId="77777777" w:rsidTr="00314176">
        <w:tc>
          <w:tcPr>
            <w:tcW w:w="2854" w:type="dxa"/>
          </w:tcPr>
          <w:p w14:paraId="2732AEB3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Secondary sponsor(s)</w:t>
            </w:r>
          </w:p>
        </w:tc>
        <w:tc>
          <w:tcPr>
            <w:tcW w:w="5668" w:type="dxa"/>
          </w:tcPr>
          <w:p w14:paraId="5E64CAD0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The Affiliated Hospital of Xuzhou Medical University</w:t>
            </w:r>
          </w:p>
          <w:p w14:paraId="5BC579D5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Wuxi No. 2 People's Hospital</w:t>
            </w:r>
          </w:p>
          <w:p w14:paraId="41DFCC47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The First People's Hospital of Changzhou</w:t>
            </w:r>
          </w:p>
          <w:p w14:paraId="41AC88D9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Second Affiliated Hospital of Nantong University</w:t>
            </w:r>
          </w:p>
          <w:p w14:paraId="130ACA7F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Affiliated Hospital of Nantong University</w:t>
            </w:r>
          </w:p>
          <w:p w14:paraId="20071F90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Jiangsu Province Official Hospital</w:t>
            </w:r>
          </w:p>
        </w:tc>
      </w:tr>
      <w:tr w:rsidR="00382DE6" w14:paraId="15CA76EC" w14:textId="77777777" w:rsidTr="00314176">
        <w:tc>
          <w:tcPr>
            <w:tcW w:w="2854" w:type="dxa"/>
          </w:tcPr>
          <w:p w14:paraId="1891774E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Contact for public queries</w:t>
            </w:r>
          </w:p>
        </w:tc>
        <w:tc>
          <w:tcPr>
            <w:tcW w:w="5668" w:type="dxa"/>
          </w:tcPr>
          <w:p w14:paraId="1F9A9CF1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Cheng Cai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, MD</w:t>
            </w:r>
          </w:p>
          <w:p w14:paraId="09838679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caichen8971@gmail.com</w:t>
            </w:r>
          </w:p>
        </w:tc>
      </w:tr>
      <w:tr w:rsidR="00382DE6" w14:paraId="1FFEC6B3" w14:textId="77777777" w:rsidTr="00314176">
        <w:tc>
          <w:tcPr>
            <w:tcW w:w="2854" w:type="dxa"/>
          </w:tcPr>
          <w:p w14:paraId="13410099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Contact for scientific queries</w:t>
            </w:r>
          </w:p>
        </w:tc>
        <w:tc>
          <w:tcPr>
            <w:tcW w:w="5668" w:type="dxa"/>
          </w:tcPr>
          <w:p w14:paraId="3FC09E49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Cheng Cai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, MD</w:t>
            </w:r>
          </w:p>
          <w:p w14:paraId="5B8532E8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Division of Cardiology, The First Affiliated Hospital of Nanjing Medical University, Nanjing, 210029, China</w:t>
            </w:r>
          </w:p>
        </w:tc>
      </w:tr>
      <w:tr w:rsidR="00382DE6" w14:paraId="2962685B" w14:textId="77777777" w:rsidTr="00314176">
        <w:tc>
          <w:tcPr>
            <w:tcW w:w="2854" w:type="dxa"/>
          </w:tcPr>
          <w:p w14:paraId="0C198165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lastRenderedPageBreak/>
              <w:t>Public title</w:t>
            </w:r>
          </w:p>
        </w:tc>
        <w:tc>
          <w:tcPr>
            <w:tcW w:w="5668" w:type="dxa"/>
          </w:tcPr>
          <w:p w14:paraId="4985B44A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Transcutaneous Electrical Vagus Nerve Stimulation to Suppress Premature Ventricular Complexes (TREAT PVC)</w:t>
            </w:r>
          </w:p>
        </w:tc>
      </w:tr>
      <w:tr w:rsidR="00382DE6" w14:paraId="57DE8056" w14:textId="77777777" w:rsidTr="00314176">
        <w:trPr>
          <w:trHeight w:val="468"/>
        </w:trPr>
        <w:tc>
          <w:tcPr>
            <w:tcW w:w="2854" w:type="dxa"/>
          </w:tcPr>
          <w:p w14:paraId="3F4A2CFF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Scientific title</w:t>
            </w:r>
          </w:p>
        </w:tc>
        <w:tc>
          <w:tcPr>
            <w:tcW w:w="5668" w:type="dxa"/>
          </w:tcPr>
          <w:p w14:paraId="1BAD067C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Transcutaneous Electrical Vagus Nerve Stimulation to Suppress Premature Ventricular Complexes (TREAT PVC): a multi-center, double-blind, randomized controlled trial</w:t>
            </w:r>
          </w:p>
        </w:tc>
      </w:tr>
      <w:tr w:rsidR="00382DE6" w14:paraId="029D46C9" w14:textId="77777777" w:rsidTr="00314176">
        <w:tc>
          <w:tcPr>
            <w:tcW w:w="2854" w:type="dxa"/>
          </w:tcPr>
          <w:p w14:paraId="0DEE536A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Countries of recruitment</w:t>
            </w:r>
          </w:p>
        </w:tc>
        <w:tc>
          <w:tcPr>
            <w:tcW w:w="5668" w:type="dxa"/>
          </w:tcPr>
          <w:p w14:paraId="0B02B9C4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China</w:t>
            </w:r>
          </w:p>
        </w:tc>
      </w:tr>
      <w:tr w:rsidR="00382DE6" w14:paraId="5815E691" w14:textId="77777777" w:rsidTr="00314176">
        <w:tc>
          <w:tcPr>
            <w:tcW w:w="2854" w:type="dxa"/>
          </w:tcPr>
          <w:p w14:paraId="66B1316F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Health condition(s) or problem(s) studied</w:t>
            </w:r>
          </w:p>
        </w:tc>
        <w:tc>
          <w:tcPr>
            <w:tcW w:w="5668" w:type="dxa"/>
          </w:tcPr>
          <w:p w14:paraId="36C253CE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P</w:t>
            </w:r>
            <w:r>
              <w:rPr>
                <w:b/>
                <w:bCs/>
                <w:i/>
                <w:iCs/>
                <w:color w:val="000000" w:themeColor="text1"/>
                <w:sz w:val="24"/>
              </w:rPr>
              <w:t xml:space="preserve">remature ventricular complexes, 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N</w:t>
            </w:r>
            <w:r>
              <w:rPr>
                <w:b/>
                <w:bCs/>
                <w:i/>
                <w:iCs/>
                <w:color w:val="000000" w:themeColor="text1"/>
                <w:sz w:val="24"/>
              </w:rPr>
              <w:t xml:space="preserve">euromodulation, 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T</w:t>
            </w:r>
            <w:r>
              <w:rPr>
                <w:b/>
                <w:bCs/>
                <w:i/>
                <w:iCs/>
                <w:color w:val="000000" w:themeColor="text1"/>
                <w:sz w:val="24"/>
              </w:rPr>
              <w:t>ragus stimulation</w:t>
            </w:r>
          </w:p>
        </w:tc>
      </w:tr>
      <w:tr w:rsidR="00382DE6" w14:paraId="3D1BEBE2" w14:textId="77777777" w:rsidTr="00314176">
        <w:tc>
          <w:tcPr>
            <w:tcW w:w="2854" w:type="dxa"/>
          </w:tcPr>
          <w:p w14:paraId="5B3B359F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Intervention(s)</w:t>
            </w:r>
          </w:p>
        </w:tc>
        <w:tc>
          <w:tcPr>
            <w:tcW w:w="5668" w:type="dxa"/>
          </w:tcPr>
          <w:p w14:paraId="0984F2A7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Experimental Group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 xml:space="preserve">: </w:t>
            </w:r>
            <w:r>
              <w:rPr>
                <w:b/>
                <w:bCs/>
                <w:i/>
                <w:iCs/>
                <w:color w:val="000000" w:themeColor="text1"/>
                <w:sz w:val="24"/>
              </w:rPr>
              <w:t>Low-level tragus stimulation</w:t>
            </w:r>
          </w:p>
          <w:p w14:paraId="4C5D94A2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Control Group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 xml:space="preserve">: </w:t>
            </w:r>
            <w:r>
              <w:rPr>
                <w:b/>
                <w:bCs/>
                <w:i/>
                <w:iCs/>
                <w:color w:val="000000" w:themeColor="text1"/>
                <w:sz w:val="24"/>
              </w:rPr>
              <w:t>Sham stimulation</w:t>
            </w:r>
          </w:p>
        </w:tc>
      </w:tr>
      <w:tr w:rsidR="00382DE6" w14:paraId="4010DD7F" w14:textId="77777777" w:rsidTr="00314176">
        <w:tc>
          <w:tcPr>
            <w:tcW w:w="2854" w:type="dxa"/>
          </w:tcPr>
          <w:p w14:paraId="73351F8E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Key inclusion and exclusion criteria</w:t>
            </w:r>
          </w:p>
        </w:tc>
        <w:tc>
          <w:tcPr>
            <w:tcW w:w="5668" w:type="dxa"/>
          </w:tcPr>
          <w:p w14:paraId="58087E59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I</w:t>
            </w:r>
            <w:r>
              <w:rPr>
                <w:b/>
                <w:bCs/>
                <w:i/>
                <w:iCs/>
                <w:color w:val="000000" w:themeColor="text1"/>
                <w:sz w:val="24"/>
              </w:rPr>
              <w:t>nclusion Criteria: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 xml:space="preserve"> </w:t>
            </w:r>
            <w:r>
              <w:rPr>
                <w:b/>
                <w:bCs/>
                <w:i/>
                <w:iCs/>
                <w:color w:val="000000" w:themeColor="text1"/>
                <w:sz w:val="24"/>
              </w:rPr>
              <w:t>1. age of 18 to 80 years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 xml:space="preserve">; </w:t>
            </w:r>
            <w:r>
              <w:rPr>
                <w:b/>
                <w:bCs/>
                <w:i/>
                <w:iCs/>
                <w:color w:val="000000" w:themeColor="text1"/>
                <w:sz w:val="24"/>
              </w:rPr>
              <w:t>2. symptomatic PVCs refractory to ≥1 antiarrhythmic drugs (including β-blockers and calcium-channel blockers)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 xml:space="preserve">; </w:t>
            </w:r>
            <w:r>
              <w:rPr>
                <w:b/>
                <w:bCs/>
                <w:i/>
                <w:iCs/>
                <w:color w:val="000000" w:themeColor="text1"/>
                <w:sz w:val="24"/>
              </w:rPr>
              <w:t>3. PVC burden ≥ 10%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 xml:space="preserve">; </w:t>
            </w:r>
            <w:r>
              <w:rPr>
                <w:b/>
                <w:bCs/>
                <w:i/>
                <w:iCs/>
                <w:color w:val="000000" w:themeColor="text1"/>
                <w:sz w:val="24"/>
              </w:rPr>
              <w:t>4. arrhythmias originated from any focus (foci) in the RV or LV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.</w:t>
            </w:r>
          </w:p>
          <w:p w14:paraId="58E40E99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 xml:space="preserve">Exclusion Criteria: 1. EF &lt; 45% unless proven to be PVC-mediated cardiomyopathy (history of improving LV ejection fraction by &gt;15% when PVC burden was reduced by pharmacological agents or ablation); 2. EF continues to decrease in the past 4 months regardless of the etiology; 3. unwilling to continue current pharmacological therapy during the study period (6 months); 4. severe heart failure with NYHA Class 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≥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 xml:space="preserve"> III; 5. ventricular arrhythmias attributed to underlying structural heart disease, known myocardial scar or myocarditis; 6. change the dosing of anti-arrhythmic drug, including 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β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 xml:space="preserve">-blockers and </w:t>
            </w: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lastRenderedPageBreak/>
              <w:t>calcium channel blockers, within 2 months prior to enrollment; 7. unsuccessful ablation within 3 months before recruitment; 8. patients are on amiodarone; 9. patients with known thyroid issues, or renal dialysis; 10. life expectancy of &lt; 12 months.</w:t>
            </w:r>
          </w:p>
        </w:tc>
      </w:tr>
      <w:tr w:rsidR="00382DE6" w14:paraId="56CE3EE9" w14:textId="77777777" w:rsidTr="00314176">
        <w:tc>
          <w:tcPr>
            <w:tcW w:w="2854" w:type="dxa"/>
          </w:tcPr>
          <w:p w14:paraId="620E29C6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lastRenderedPageBreak/>
              <w:t>Study type</w:t>
            </w:r>
          </w:p>
        </w:tc>
        <w:tc>
          <w:tcPr>
            <w:tcW w:w="5668" w:type="dxa"/>
          </w:tcPr>
          <w:p w14:paraId="54658C8F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Multicenter, prospective, randomized control trial with sham-control</w:t>
            </w:r>
          </w:p>
        </w:tc>
      </w:tr>
      <w:tr w:rsidR="00382DE6" w14:paraId="359127F3" w14:textId="77777777" w:rsidTr="00314176">
        <w:tc>
          <w:tcPr>
            <w:tcW w:w="2854" w:type="dxa"/>
          </w:tcPr>
          <w:p w14:paraId="41505F3D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Date of first enrolment</w:t>
            </w:r>
          </w:p>
        </w:tc>
        <w:tc>
          <w:tcPr>
            <w:tcW w:w="5668" w:type="dxa"/>
          </w:tcPr>
          <w:p w14:paraId="436284E5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7/10/2021</w:t>
            </w:r>
          </w:p>
        </w:tc>
      </w:tr>
      <w:tr w:rsidR="00382DE6" w14:paraId="3E525EE3" w14:textId="77777777" w:rsidTr="00314176">
        <w:tc>
          <w:tcPr>
            <w:tcW w:w="2854" w:type="dxa"/>
          </w:tcPr>
          <w:p w14:paraId="1CB65831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Target sample size</w:t>
            </w:r>
          </w:p>
        </w:tc>
        <w:tc>
          <w:tcPr>
            <w:tcW w:w="5668" w:type="dxa"/>
          </w:tcPr>
          <w:p w14:paraId="1A620B26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100</w:t>
            </w:r>
          </w:p>
        </w:tc>
      </w:tr>
      <w:tr w:rsidR="00382DE6" w14:paraId="0602E27C" w14:textId="77777777" w:rsidTr="00314176">
        <w:trPr>
          <w:trHeight w:val="604"/>
        </w:trPr>
        <w:tc>
          <w:tcPr>
            <w:tcW w:w="2854" w:type="dxa"/>
          </w:tcPr>
          <w:p w14:paraId="790EF923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Recruitment status</w:t>
            </w:r>
          </w:p>
        </w:tc>
        <w:tc>
          <w:tcPr>
            <w:tcW w:w="5668" w:type="dxa"/>
          </w:tcPr>
          <w:p w14:paraId="4E78A947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Recruiting</w:t>
            </w:r>
          </w:p>
        </w:tc>
      </w:tr>
      <w:tr w:rsidR="00382DE6" w14:paraId="1237985D" w14:textId="77777777" w:rsidTr="00314176">
        <w:tc>
          <w:tcPr>
            <w:tcW w:w="2854" w:type="dxa"/>
          </w:tcPr>
          <w:p w14:paraId="37B772C8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Primary outcome(s)</w:t>
            </w:r>
          </w:p>
        </w:tc>
        <w:tc>
          <w:tcPr>
            <w:tcW w:w="5668" w:type="dxa"/>
          </w:tcPr>
          <w:p w14:paraId="13BB444A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PVC burden at 6 months</w:t>
            </w:r>
          </w:p>
        </w:tc>
      </w:tr>
      <w:tr w:rsidR="00382DE6" w14:paraId="7A3F49C1" w14:textId="77777777" w:rsidTr="00314176">
        <w:tc>
          <w:tcPr>
            <w:tcW w:w="2854" w:type="dxa"/>
          </w:tcPr>
          <w:p w14:paraId="79DCD437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b/>
                <w:bCs/>
                <w:i/>
                <w:iCs/>
                <w:color w:val="000000" w:themeColor="text1"/>
                <w:sz w:val="24"/>
              </w:rPr>
              <w:t>Key secondary outcomes</w:t>
            </w:r>
            <w:r>
              <w:rPr>
                <w:b/>
                <w:bCs/>
                <w:i/>
                <w:iCs/>
                <w:color w:val="000000" w:themeColor="text1"/>
                <w:sz w:val="24"/>
              </w:rPr>
              <w:tab/>
            </w:r>
          </w:p>
        </w:tc>
        <w:tc>
          <w:tcPr>
            <w:tcW w:w="5668" w:type="dxa"/>
          </w:tcPr>
          <w:p w14:paraId="27C6372C" w14:textId="77777777" w:rsidR="00382DE6" w:rsidRDefault="00382DE6" w:rsidP="0031417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bCs/>
                <w:i/>
                <w:i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i/>
                <w:iCs/>
                <w:color w:val="000000" w:themeColor="text1"/>
                <w:sz w:val="24"/>
              </w:rPr>
              <w:t>H</w:t>
            </w:r>
            <w:r>
              <w:rPr>
                <w:b/>
                <w:bCs/>
                <w:i/>
                <w:iCs/>
                <w:color w:val="000000" w:themeColor="text1"/>
                <w:sz w:val="24"/>
              </w:rPr>
              <w:t>eart rate variability (HRV), quality of life, skin sympathetic nerve activity and inflammatory markers</w:t>
            </w:r>
          </w:p>
        </w:tc>
      </w:tr>
    </w:tbl>
    <w:p w14:paraId="44BE85B7" w14:textId="77777777" w:rsidR="009628FD" w:rsidRPr="00382DE6" w:rsidRDefault="009628FD"/>
    <w:sectPr w:rsidR="009628FD" w:rsidRPr="00382DE6" w:rsidSect="009C124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E6"/>
    <w:rsid w:val="0000004B"/>
    <w:rsid w:val="0000616B"/>
    <w:rsid w:val="00010085"/>
    <w:rsid w:val="00012DBD"/>
    <w:rsid w:val="00015BAA"/>
    <w:rsid w:val="000248BA"/>
    <w:rsid w:val="00036F55"/>
    <w:rsid w:val="00056084"/>
    <w:rsid w:val="000614A9"/>
    <w:rsid w:val="000618A0"/>
    <w:rsid w:val="00075B80"/>
    <w:rsid w:val="00090821"/>
    <w:rsid w:val="00096429"/>
    <w:rsid w:val="000A1EA7"/>
    <w:rsid w:val="000A483C"/>
    <w:rsid w:val="000A55CA"/>
    <w:rsid w:val="000A7C52"/>
    <w:rsid w:val="000B595B"/>
    <w:rsid w:val="000C150A"/>
    <w:rsid w:val="000C4286"/>
    <w:rsid w:val="000C4E2D"/>
    <w:rsid w:val="000D3AF8"/>
    <w:rsid w:val="000D7DB0"/>
    <w:rsid w:val="000E26D5"/>
    <w:rsid w:val="000E75F1"/>
    <w:rsid w:val="000F7BC0"/>
    <w:rsid w:val="001039C2"/>
    <w:rsid w:val="00105087"/>
    <w:rsid w:val="00106759"/>
    <w:rsid w:val="00111C8F"/>
    <w:rsid w:val="0011251C"/>
    <w:rsid w:val="00115E4C"/>
    <w:rsid w:val="001177DD"/>
    <w:rsid w:val="00120928"/>
    <w:rsid w:val="00125921"/>
    <w:rsid w:val="00133826"/>
    <w:rsid w:val="00135C6D"/>
    <w:rsid w:val="001363E9"/>
    <w:rsid w:val="001423FB"/>
    <w:rsid w:val="00152FB0"/>
    <w:rsid w:val="0016777A"/>
    <w:rsid w:val="0018668B"/>
    <w:rsid w:val="00187924"/>
    <w:rsid w:val="001A2855"/>
    <w:rsid w:val="001A6F42"/>
    <w:rsid w:val="001B611E"/>
    <w:rsid w:val="001C5A99"/>
    <w:rsid w:val="001C7BC7"/>
    <w:rsid w:val="001D1B38"/>
    <w:rsid w:val="001D33F9"/>
    <w:rsid w:val="001F0EAF"/>
    <w:rsid w:val="001F508E"/>
    <w:rsid w:val="001F6B0F"/>
    <w:rsid w:val="00200C71"/>
    <w:rsid w:val="0020120C"/>
    <w:rsid w:val="00203500"/>
    <w:rsid w:val="002149B4"/>
    <w:rsid w:val="00221776"/>
    <w:rsid w:val="002251BF"/>
    <w:rsid w:val="00230C01"/>
    <w:rsid w:val="0023280F"/>
    <w:rsid w:val="002422BC"/>
    <w:rsid w:val="00255084"/>
    <w:rsid w:val="00261D56"/>
    <w:rsid w:val="00266C99"/>
    <w:rsid w:val="002676C2"/>
    <w:rsid w:val="002907B1"/>
    <w:rsid w:val="00294342"/>
    <w:rsid w:val="0029725E"/>
    <w:rsid w:val="002A2FCF"/>
    <w:rsid w:val="002A3610"/>
    <w:rsid w:val="002A71E2"/>
    <w:rsid w:val="002C18D1"/>
    <w:rsid w:val="002C4CBE"/>
    <w:rsid w:val="002D09E7"/>
    <w:rsid w:val="002D735F"/>
    <w:rsid w:val="002E316D"/>
    <w:rsid w:val="002F61C9"/>
    <w:rsid w:val="00300834"/>
    <w:rsid w:val="003017CC"/>
    <w:rsid w:val="00310093"/>
    <w:rsid w:val="00310292"/>
    <w:rsid w:val="00310A86"/>
    <w:rsid w:val="0031574C"/>
    <w:rsid w:val="00315D3B"/>
    <w:rsid w:val="003254E8"/>
    <w:rsid w:val="0033004E"/>
    <w:rsid w:val="0033428F"/>
    <w:rsid w:val="00334EEB"/>
    <w:rsid w:val="003355DC"/>
    <w:rsid w:val="00335B58"/>
    <w:rsid w:val="00341361"/>
    <w:rsid w:val="003427C5"/>
    <w:rsid w:val="00354C16"/>
    <w:rsid w:val="00357131"/>
    <w:rsid w:val="0036465E"/>
    <w:rsid w:val="00367D26"/>
    <w:rsid w:val="003728C3"/>
    <w:rsid w:val="003760BD"/>
    <w:rsid w:val="00382DE6"/>
    <w:rsid w:val="003862D2"/>
    <w:rsid w:val="0039318B"/>
    <w:rsid w:val="00396E66"/>
    <w:rsid w:val="003B0A92"/>
    <w:rsid w:val="003C52FF"/>
    <w:rsid w:val="003C72CE"/>
    <w:rsid w:val="003D0675"/>
    <w:rsid w:val="003D1EF2"/>
    <w:rsid w:val="003D5938"/>
    <w:rsid w:val="003D5941"/>
    <w:rsid w:val="003D6EAB"/>
    <w:rsid w:val="003E15F2"/>
    <w:rsid w:val="003E33A7"/>
    <w:rsid w:val="003E3A9B"/>
    <w:rsid w:val="003E6394"/>
    <w:rsid w:val="003F2CEF"/>
    <w:rsid w:val="00415EC5"/>
    <w:rsid w:val="00421549"/>
    <w:rsid w:val="004233BE"/>
    <w:rsid w:val="0043125F"/>
    <w:rsid w:val="004323D1"/>
    <w:rsid w:val="004412CF"/>
    <w:rsid w:val="004418DD"/>
    <w:rsid w:val="0044355D"/>
    <w:rsid w:val="00450C8B"/>
    <w:rsid w:val="00452A06"/>
    <w:rsid w:val="00456628"/>
    <w:rsid w:val="00457079"/>
    <w:rsid w:val="0046108A"/>
    <w:rsid w:val="00461847"/>
    <w:rsid w:val="00471653"/>
    <w:rsid w:val="00472CBB"/>
    <w:rsid w:val="00475B84"/>
    <w:rsid w:val="004819A2"/>
    <w:rsid w:val="004A52DD"/>
    <w:rsid w:val="004B2EB6"/>
    <w:rsid w:val="004B36CC"/>
    <w:rsid w:val="004B7409"/>
    <w:rsid w:val="004B7A43"/>
    <w:rsid w:val="004B7FE5"/>
    <w:rsid w:val="004C17C1"/>
    <w:rsid w:val="004C4A97"/>
    <w:rsid w:val="004C6DFD"/>
    <w:rsid w:val="004D4985"/>
    <w:rsid w:val="004D661C"/>
    <w:rsid w:val="004E1757"/>
    <w:rsid w:val="004E7DE1"/>
    <w:rsid w:val="004F53C1"/>
    <w:rsid w:val="00502669"/>
    <w:rsid w:val="00502EF7"/>
    <w:rsid w:val="005042C9"/>
    <w:rsid w:val="005104AF"/>
    <w:rsid w:val="00517A1D"/>
    <w:rsid w:val="00520669"/>
    <w:rsid w:val="005272ED"/>
    <w:rsid w:val="00531C9C"/>
    <w:rsid w:val="005340DC"/>
    <w:rsid w:val="00534F76"/>
    <w:rsid w:val="00535314"/>
    <w:rsid w:val="00536AB8"/>
    <w:rsid w:val="00540A91"/>
    <w:rsid w:val="00541B5B"/>
    <w:rsid w:val="00541D29"/>
    <w:rsid w:val="00562CAF"/>
    <w:rsid w:val="00570D31"/>
    <w:rsid w:val="0057518F"/>
    <w:rsid w:val="00583FA4"/>
    <w:rsid w:val="0059027E"/>
    <w:rsid w:val="00591853"/>
    <w:rsid w:val="005A1611"/>
    <w:rsid w:val="005B157F"/>
    <w:rsid w:val="005B3F3F"/>
    <w:rsid w:val="005B7C9A"/>
    <w:rsid w:val="005C1AC1"/>
    <w:rsid w:val="005D232D"/>
    <w:rsid w:val="005D27BA"/>
    <w:rsid w:val="005D4A35"/>
    <w:rsid w:val="005D574C"/>
    <w:rsid w:val="005E26B8"/>
    <w:rsid w:val="005E6758"/>
    <w:rsid w:val="006114CA"/>
    <w:rsid w:val="00616852"/>
    <w:rsid w:val="00620B28"/>
    <w:rsid w:val="00636243"/>
    <w:rsid w:val="00643628"/>
    <w:rsid w:val="00653320"/>
    <w:rsid w:val="00657A34"/>
    <w:rsid w:val="00661BA5"/>
    <w:rsid w:val="00662385"/>
    <w:rsid w:val="0066522B"/>
    <w:rsid w:val="00666E20"/>
    <w:rsid w:val="006702D4"/>
    <w:rsid w:val="006721B0"/>
    <w:rsid w:val="00673463"/>
    <w:rsid w:val="0067433B"/>
    <w:rsid w:val="006766C4"/>
    <w:rsid w:val="00677CC9"/>
    <w:rsid w:val="00694FE9"/>
    <w:rsid w:val="00697FEF"/>
    <w:rsid w:val="006B3C0C"/>
    <w:rsid w:val="006C23AA"/>
    <w:rsid w:val="006C36A0"/>
    <w:rsid w:val="006C4A20"/>
    <w:rsid w:val="006C5D68"/>
    <w:rsid w:val="006C7A01"/>
    <w:rsid w:val="006D5DB9"/>
    <w:rsid w:val="006D67B2"/>
    <w:rsid w:val="006D7317"/>
    <w:rsid w:val="006E25AF"/>
    <w:rsid w:val="006F2547"/>
    <w:rsid w:val="00700806"/>
    <w:rsid w:val="00700AF1"/>
    <w:rsid w:val="00710B45"/>
    <w:rsid w:val="007154CB"/>
    <w:rsid w:val="0071679E"/>
    <w:rsid w:val="00720CB6"/>
    <w:rsid w:val="007239CC"/>
    <w:rsid w:val="00735EBC"/>
    <w:rsid w:val="00744453"/>
    <w:rsid w:val="007456C0"/>
    <w:rsid w:val="007516EA"/>
    <w:rsid w:val="00751CAF"/>
    <w:rsid w:val="00755466"/>
    <w:rsid w:val="00763190"/>
    <w:rsid w:val="00765C61"/>
    <w:rsid w:val="007756B4"/>
    <w:rsid w:val="00780D9C"/>
    <w:rsid w:val="00783929"/>
    <w:rsid w:val="007907FB"/>
    <w:rsid w:val="00792E60"/>
    <w:rsid w:val="007A149D"/>
    <w:rsid w:val="007B5A26"/>
    <w:rsid w:val="007C00E7"/>
    <w:rsid w:val="007C22EB"/>
    <w:rsid w:val="007C41FD"/>
    <w:rsid w:val="007D0A90"/>
    <w:rsid w:val="007D4827"/>
    <w:rsid w:val="007E4E70"/>
    <w:rsid w:val="0080221B"/>
    <w:rsid w:val="0080499B"/>
    <w:rsid w:val="00805628"/>
    <w:rsid w:val="00810AA6"/>
    <w:rsid w:val="0081243B"/>
    <w:rsid w:val="00825462"/>
    <w:rsid w:val="00827461"/>
    <w:rsid w:val="00845A94"/>
    <w:rsid w:val="00846477"/>
    <w:rsid w:val="00847D9F"/>
    <w:rsid w:val="00855C5B"/>
    <w:rsid w:val="00867BAC"/>
    <w:rsid w:val="00880167"/>
    <w:rsid w:val="00884089"/>
    <w:rsid w:val="00890A39"/>
    <w:rsid w:val="00891939"/>
    <w:rsid w:val="00892637"/>
    <w:rsid w:val="00897D1D"/>
    <w:rsid w:val="008B042A"/>
    <w:rsid w:val="008B0D0A"/>
    <w:rsid w:val="008B22D2"/>
    <w:rsid w:val="008B4395"/>
    <w:rsid w:val="008D45ED"/>
    <w:rsid w:val="008E4FAB"/>
    <w:rsid w:val="009118DA"/>
    <w:rsid w:val="00912D46"/>
    <w:rsid w:val="009232F6"/>
    <w:rsid w:val="00926193"/>
    <w:rsid w:val="00944453"/>
    <w:rsid w:val="00950144"/>
    <w:rsid w:val="00954C7E"/>
    <w:rsid w:val="00956D58"/>
    <w:rsid w:val="009579B8"/>
    <w:rsid w:val="00961B02"/>
    <w:rsid w:val="009628FD"/>
    <w:rsid w:val="00966880"/>
    <w:rsid w:val="00970C44"/>
    <w:rsid w:val="0097484D"/>
    <w:rsid w:val="00976B51"/>
    <w:rsid w:val="009837B9"/>
    <w:rsid w:val="009872D9"/>
    <w:rsid w:val="0099206C"/>
    <w:rsid w:val="009965FB"/>
    <w:rsid w:val="009A1476"/>
    <w:rsid w:val="009A2D83"/>
    <w:rsid w:val="009A4EC0"/>
    <w:rsid w:val="009A679B"/>
    <w:rsid w:val="009C124D"/>
    <w:rsid w:val="009C703F"/>
    <w:rsid w:val="009C7B55"/>
    <w:rsid w:val="009D4C64"/>
    <w:rsid w:val="009D6A11"/>
    <w:rsid w:val="009E5B84"/>
    <w:rsid w:val="009F3EBA"/>
    <w:rsid w:val="009F3F11"/>
    <w:rsid w:val="00A21A43"/>
    <w:rsid w:val="00A23977"/>
    <w:rsid w:val="00A23EE9"/>
    <w:rsid w:val="00A26E57"/>
    <w:rsid w:val="00A35715"/>
    <w:rsid w:val="00A47A5A"/>
    <w:rsid w:val="00A652AC"/>
    <w:rsid w:val="00A6625B"/>
    <w:rsid w:val="00A75257"/>
    <w:rsid w:val="00A92163"/>
    <w:rsid w:val="00AA28B6"/>
    <w:rsid w:val="00AA7FB4"/>
    <w:rsid w:val="00AC4405"/>
    <w:rsid w:val="00AC6DC9"/>
    <w:rsid w:val="00AD029B"/>
    <w:rsid w:val="00AD1A77"/>
    <w:rsid w:val="00AD70F6"/>
    <w:rsid w:val="00AD7E2F"/>
    <w:rsid w:val="00AF2D26"/>
    <w:rsid w:val="00AF73B4"/>
    <w:rsid w:val="00B16548"/>
    <w:rsid w:val="00B165E9"/>
    <w:rsid w:val="00B25375"/>
    <w:rsid w:val="00B27C14"/>
    <w:rsid w:val="00B3699B"/>
    <w:rsid w:val="00B509C2"/>
    <w:rsid w:val="00B53498"/>
    <w:rsid w:val="00B56353"/>
    <w:rsid w:val="00B61960"/>
    <w:rsid w:val="00B62548"/>
    <w:rsid w:val="00B71AE0"/>
    <w:rsid w:val="00B75308"/>
    <w:rsid w:val="00B75E27"/>
    <w:rsid w:val="00B760E9"/>
    <w:rsid w:val="00B93E19"/>
    <w:rsid w:val="00BA7101"/>
    <w:rsid w:val="00BF0841"/>
    <w:rsid w:val="00BF31C4"/>
    <w:rsid w:val="00C328EB"/>
    <w:rsid w:val="00C335E0"/>
    <w:rsid w:val="00C34DEB"/>
    <w:rsid w:val="00C36FCA"/>
    <w:rsid w:val="00C462B7"/>
    <w:rsid w:val="00C50BF4"/>
    <w:rsid w:val="00C5152F"/>
    <w:rsid w:val="00C51EB4"/>
    <w:rsid w:val="00C53A03"/>
    <w:rsid w:val="00C603A6"/>
    <w:rsid w:val="00C72C15"/>
    <w:rsid w:val="00C74B79"/>
    <w:rsid w:val="00C90074"/>
    <w:rsid w:val="00C920A4"/>
    <w:rsid w:val="00C930DB"/>
    <w:rsid w:val="00C93B0D"/>
    <w:rsid w:val="00CA68EE"/>
    <w:rsid w:val="00CA7C18"/>
    <w:rsid w:val="00CB0933"/>
    <w:rsid w:val="00CB0DCF"/>
    <w:rsid w:val="00CC3CC7"/>
    <w:rsid w:val="00CC5D44"/>
    <w:rsid w:val="00CD4EA6"/>
    <w:rsid w:val="00CE21C6"/>
    <w:rsid w:val="00D0324D"/>
    <w:rsid w:val="00D05CBE"/>
    <w:rsid w:val="00D10BC5"/>
    <w:rsid w:val="00D16986"/>
    <w:rsid w:val="00D2315F"/>
    <w:rsid w:val="00D47C87"/>
    <w:rsid w:val="00D62853"/>
    <w:rsid w:val="00D728C8"/>
    <w:rsid w:val="00D87AC7"/>
    <w:rsid w:val="00D92A6A"/>
    <w:rsid w:val="00D94ECD"/>
    <w:rsid w:val="00DA263E"/>
    <w:rsid w:val="00DA4623"/>
    <w:rsid w:val="00DC24C1"/>
    <w:rsid w:val="00DD17FD"/>
    <w:rsid w:val="00DE11AC"/>
    <w:rsid w:val="00DE6C96"/>
    <w:rsid w:val="00E17434"/>
    <w:rsid w:val="00E235C7"/>
    <w:rsid w:val="00E23B58"/>
    <w:rsid w:val="00E32A16"/>
    <w:rsid w:val="00E40F05"/>
    <w:rsid w:val="00E443FD"/>
    <w:rsid w:val="00E55949"/>
    <w:rsid w:val="00E6739C"/>
    <w:rsid w:val="00E67586"/>
    <w:rsid w:val="00E702EC"/>
    <w:rsid w:val="00E728CC"/>
    <w:rsid w:val="00E834BE"/>
    <w:rsid w:val="00E84F73"/>
    <w:rsid w:val="00E86302"/>
    <w:rsid w:val="00E96062"/>
    <w:rsid w:val="00E97BED"/>
    <w:rsid w:val="00EA2D9A"/>
    <w:rsid w:val="00EA2F62"/>
    <w:rsid w:val="00EA6E26"/>
    <w:rsid w:val="00EB1704"/>
    <w:rsid w:val="00EC5A96"/>
    <w:rsid w:val="00EE3910"/>
    <w:rsid w:val="00EE60D9"/>
    <w:rsid w:val="00F0391A"/>
    <w:rsid w:val="00F053A0"/>
    <w:rsid w:val="00F05D06"/>
    <w:rsid w:val="00F140FB"/>
    <w:rsid w:val="00F27FA4"/>
    <w:rsid w:val="00F37156"/>
    <w:rsid w:val="00F438F7"/>
    <w:rsid w:val="00F60BF5"/>
    <w:rsid w:val="00F62655"/>
    <w:rsid w:val="00F62F9A"/>
    <w:rsid w:val="00F66BAC"/>
    <w:rsid w:val="00F73F9A"/>
    <w:rsid w:val="00F80085"/>
    <w:rsid w:val="00F83CA3"/>
    <w:rsid w:val="00F8701D"/>
    <w:rsid w:val="00F90B38"/>
    <w:rsid w:val="00F94DA7"/>
    <w:rsid w:val="00FB3CD2"/>
    <w:rsid w:val="00FB5F32"/>
    <w:rsid w:val="00FC491F"/>
    <w:rsid w:val="00FD045B"/>
    <w:rsid w:val="00FD41F9"/>
    <w:rsid w:val="00FE1D18"/>
    <w:rsid w:val="00FE2FC1"/>
    <w:rsid w:val="00FE7C27"/>
    <w:rsid w:val="00FF03C2"/>
    <w:rsid w:val="00FF05B7"/>
    <w:rsid w:val="00FF3505"/>
    <w:rsid w:val="00FF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89FA99"/>
  <w15:chartTrackingRefBased/>
  <w15:docId w15:val="{799B9D7A-CA8D-F74C-B904-94D8C8EED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D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382DE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cai</dc:creator>
  <cp:keywords/>
  <dc:description/>
  <cp:lastModifiedBy>chen cai</cp:lastModifiedBy>
  <cp:revision>1</cp:revision>
  <dcterms:created xsi:type="dcterms:W3CDTF">2023-09-25T02:51:00Z</dcterms:created>
  <dcterms:modified xsi:type="dcterms:W3CDTF">2023-09-25T02:51:00Z</dcterms:modified>
</cp:coreProperties>
</file>