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20" w:type="dxa"/>
        <w:tblLook w:val="04A0" w:firstRow="1" w:lastRow="0" w:firstColumn="1" w:lastColumn="0" w:noHBand="0" w:noVBand="1"/>
      </w:tblPr>
      <w:tblGrid>
        <w:gridCol w:w="4364"/>
        <w:gridCol w:w="5656"/>
      </w:tblGrid>
      <w:tr w:rsidR="00BA7532" w:rsidRPr="00BA7532" w14:paraId="5EEAD953" w14:textId="77777777" w:rsidTr="4E8FA45A">
        <w:trPr>
          <w:trHeight w:val="330"/>
        </w:trPr>
        <w:tc>
          <w:tcPr>
            <w:tcW w:w="4364" w:type="dxa"/>
            <w:tcBorders>
              <w:top w:val="nil"/>
              <w:left w:val="nil"/>
              <w:bottom w:val="double" w:sz="6" w:space="0" w:color="auto"/>
              <w:right w:val="nil"/>
            </w:tcBorders>
            <w:shd w:val="clear" w:color="auto" w:fill="auto"/>
            <w:noWrap/>
            <w:vAlign w:val="bottom"/>
            <w:hideMark/>
          </w:tcPr>
          <w:p w14:paraId="3B3188F6" w14:textId="77777777" w:rsidR="00BA7532" w:rsidRPr="00BA7532" w:rsidRDefault="00BA7532" w:rsidP="00BA7532">
            <w:pPr>
              <w:spacing w:after="0" w:line="240" w:lineRule="auto"/>
              <w:rPr>
                <w:rFonts w:ascii="Calibri" w:eastAsia="Times New Roman" w:hAnsi="Calibri" w:cs="Calibri"/>
                <w:b/>
                <w:bCs/>
                <w:color w:val="000000"/>
                <w:sz w:val="20"/>
                <w:szCs w:val="20"/>
                <w:lang w:val="en-US"/>
              </w:rPr>
            </w:pPr>
            <w:r w:rsidRPr="00BA7532">
              <w:rPr>
                <w:rFonts w:ascii="Calibri" w:eastAsia="Times New Roman" w:hAnsi="Calibri" w:cs="Calibri"/>
                <w:b/>
                <w:bCs/>
                <w:color w:val="000000"/>
                <w:sz w:val="20"/>
                <w:szCs w:val="20"/>
                <w:lang w:val="en-US"/>
              </w:rPr>
              <w:t>Data category</w:t>
            </w:r>
          </w:p>
        </w:tc>
        <w:tc>
          <w:tcPr>
            <w:tcW w:w="5656" w:type="dxa"/>
            <w:tcBorders>
              <w:top w:val="nil"/>
              <w:left w:val="nil"/>
              <w:bottom w:val="double" w:sz="6" w:space="0" w:color="auto"/>
              <w:right w:val="nil"/>
            </w:tcBorders>
            <w:shd w:val="clear" w:color="auto" w:fill="auto"/>
            <w:vAlign w:val="bottom"/>
            <w:hideMark/>
          </w:tcPr>
          <w:p w14:paraId="766013F7" w14:textId="77777777" w:rsidR="00BA7532" w:rsidRPr="00BA7532" w:rsidRDefault="00BA7532" w:rsidP="00BA7532">
            <w:pPr>
              <w:spacing w:after="0" w:line="240" w:lineRule="auto"/>
              <w:rPr>
                <w:rFonts w:ascii="Calibri" w:eastAsia="Times New Roman" w:hAnsi="Calibri" w:cs="Calibri"/>
                <w:b/>
                <w:bCs/>
                <w:color w:val="000000"/>
                <w:sz w:val="20"/>
                <w:szCs w:val="20"/>
                <w:lang w:val="en-US"/>
              </w:rPr>
            </w:pPr>
            <w:r w:rsidRPr="00BA7532">
              <w:rPr>
                <w:rFonts w:ascii="Calibri" w:eastAsia="Times New Roman" w:hAnsi="Calibri" w:cs="Calibri"/>
                <w:b/>
                <w:bCs/>
                <w:color w:val="000000"/>
                <w:sz w:val="20"/>
                <w:szCs w:val="20"/>
                <w:lang w:val="en-US"/>
              </w:rPr>
              <w:t>Information</w:t>
            </w:r>
          </w:p>
        </w:tc>
      </w:tr>
      <w:tr w:rsidR="00BA7532" w:rsidRPr="00BA7532" w14:paraId="083DEAC6" w14:textId="77777777" w:rsidTr="4E8FA45A">
        <w:trPr>
          <w:trHeight w:val="315"/>
        </w:trPr>
        <w:tc>
          <w:tcPr>
            <w:tcW w:w="4364" w:type="dxa"/>
            <w:tcBorders>
              <w:top w:val="nil"/>
              <w:left w:val="nil"/>
              <w:bottom w:val="single" w:sz="4" w:space="0" w:color="auto"/>
              <w:right w:val="nil"/>
            </w:tcBorders>
            <w:shd w:val="clear" w:color="auto" w:fill="auto"/>
            <w:noWrap/>
            <w:vAlign w:val="center"/>
            <w:hideMark/>
          </w:tcPr>
          <w:p w14:paraId="72A022E3"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Primary registry and trial identifying number</w:t>
            </w:r>
          </w:p>
        </w:tc>
        <w:tc>
          <w:tcPr>
            <w:tcW w:w="5656" w:type="dxa"/>
            <w:tcBorders>
              <w:top w:val="nil"/>
              <w:left w:val="nil"/>
              <w:bottom w:val="single" w:sz="4" w:space="0" w:color="auto"/>
              <w:right w:val="nil"/>
            </w:tcBorders>
            <w:shd w:val="clear" w:color="auto" w:fill="auto"/>
            <w:vAlign w:val="bottom"/>
            <w:hideMark/>
          </w:tcPr>
          <w:p w14:paraId="04674139"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ClinicalTrials.gov NCT04748549</w:t>
            </w:r>
          </w:p>
        </w:tc>
      </w:tr>
      <w:tr w:rsidR="00BA7532" w:rsidRPr="00BA7532" w14:paraId="5C5D65B1"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4A6450D9"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Date of registration in primary registry</w:t>
            </w:r>
          </w:p>
        </w:tc>
        <w:tc>
          <w:tcPr>
            <w:tcW w:w="5656" w:type="dxa"/>
            <w:tcBorders>
              <w:top w:val="nil"/>
              <w:left w:val="nil"/>
              <w:bottom w:val="single" w:sz="4" w:space="0" w:color="auto"/>
              <w:right w:val="nil"/>
            </w:tcBorders>
            <w:shd w:val="clear" w:color="auto" w:fill="auto"/>
            <w:vAlign w:val="bottom"/>
            <w:hideMark/>
          </w:tcPr>
          <w:p w14:paraId="057E610A"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10-Feb-21</w:t>
            </w:r>
          </w:p>
        </w:tc>
      </w:tr>
      <w:tr w:rsidR="00BA7532" w:rsidRPr="00BA7532" w14:paraId="103ABFF7"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061325D3"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Secondary identifying numbers</w:t>
            </w:r>
          </w:p>
        </w:tc>
        <w:tc>
          <w:tcPr>
            <w:tcW w:w="5656" w:type="dxa"/>
            <w:tcBorders>
              <w:top w:val="nil"/>
              <w:left w:val="nil"/>
              <w:bottom w:val="single" w:sz="4" w:space="0" w:color="auto"/>
              <w:right w:val="nil"/>
            </w:tcBorders>
            <w:shd w:val="clear" w:color="auto" w:fill="auto"/>
            <w:vAlign w:val="bottom"/>
            <w:hideMark/>
          </w:tcPr>
          <w:p w14:paraId="279EC00F" w14:textId="74A26AB8" w:rsidR="00BA7532" w:rsidRPr="00BA7532" w:rsidRDefault="32066EB2" w:rsidP="193E27C9">
            <w:pPr>
              <w:spacing w:after="0" w:line="240" w:lineRule="auto"/>
              <w:rPr>
                <w:rFonts w:ascii="Calibri" w:eastAsia="Calibri" w:hAnsi="Calibri" w:cs="Calibri"/>
                <w:sz w:val="18"/>
                <w:szCs w:val="18"/>
                <w:lang w:val="en-US"/>
              </w:rPr>
            </w:pPr>
            <w:r w:rsidRPr="193E27C9">
              <w:rPr>
                <w:rFonts w:ascii="Calibri" w:eastAsia="Calibri" w:hAnsi="Calibri" w:cs="Calibri"/>
                <w:color w:val="000000" w:themeColor="text1"/>
                <w:sz w:val="18"/>
                <w:szCs w:val="18"/>
                <w:lang w:val="en-US"/>
              </w:rPr>
              <w:t>IRB #2020P001176</w:t>
            </w:r>
          </w:p>
        </w:tc>
      </w:tr>
      <w:tr w:rsidR="00BA7532" w:rsidRPr="00BA7532" w14:paraId="56516582"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38E32944"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Source(s) of monetary or material support</w:t>
            </w:r>
          </w:p>
        </w:tc>
        <w:tc>
          <w:tcPr>
            <w:tcW w:w="5656" w:type="dxa"/>
            <w:tcBorders>
              <w:top w:val="nil"/>
              <w:left w:val="nil"/>
              <w:bottom w:val="single" w:sz="4" w:space="0" w:color="auto"/>
              <w:right w:val="nil"/>
            </w:tcBorders>
            <w:shd w:val="clear" w:color="auto" w:fill="auto"/>
            <w:vAlign w:val="bottom"/>
            <w:hideMark/>
          </w:tcPr>
          <w:p w14:paraId="7DB2FAEE"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Binational Industrial Research and development (BIRD) Foundation</w:t>
            </w:r>
          </w:p>
        </w:tc>
      </w:tr>
      <w:tr w:rsidR="00BA7532" w:rsidRPr="00BA7532" w14:paraId="48B7800C"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0BB01F8B"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Primary sponsor</w:t>
            </w:r>
          </w:p>
        </w:tc>
        <w:tc>
          <w:tcPr>
            <w:tcW w:w="5656" w:type="dxa"/>
            <w:tcBorders>
              <w:top w:val="nil"/>
              <w:left w:val="nil"/>
              <w:bottom w:val="single" w:sz="4" w:space="0" w:color="auto"/>
              <w:right w:val="nil"/>
            </w:tcBorders>
            <w:shd w:val="clear" w:color="auto" w:fill="auto"/>
            <w:vAlign w:val="bottom"/>
            <w:hideMark/>
          </w:tcPr>
          <w:p w14:paraId="7EB6DFE0"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Beth Israel Deaconess Medical Center (responsible party)</w:t>
            </w:r>
          </w:p>
        </w:tc>
      </w:tr>
      <w:tr w:rsidR="00BA7532" w:rsidRPr="00BA7532" w14:paraId="7A6B54D2"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42B826F3"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Secondary sponsor(s)</w:t>
            </w:r>
          </w:p>
        </w:tc>
        <w:tc>
          <w:tcPr>
            <w:tcW w:w="5656" w:type="dxa"/>
            <w:tcBorders>
              <w:top w:val="nil"/>
              <w:left w:val="nil"/>
              <w:bottom w:val="single" w:sz="4" w:space="0" w:color="auto"/>
              <w:right w:val="nil"/>
            </w:tcBorders>
            <w:shd w:val="clear" w:color="auto" w:fill="auto"/>
            <w:vAlign w:val="bottom"/>
            <w:hideMark/>
          </w:tcPr>
          <w:p w14:paraId="2DBB02E8"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N/A</w:t>
            </w:r>
          </w:p>
        </w:tc>
      </w:tr>
      <w:tr w:rsidR="00BA7532" w:rsidRPr="00BA7532" w14:paraId="1B932308"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02A1F4A1"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Contact for public queries</w:t>
            </w:r>
          </w:p>
        </w:tc>
        <w:tc>
          <w:tcPr>
            <w:tcW w:w="5656" w:type="dxa"/>
            <w:tcBorders>
              <w:top w:val="nil"/>
              <w:left w:val="nil"/>
              <w:bottom w:val="single" w:sz="4" w:space="0" w:color="auto"/>
              <w:right w:val="nil"/>
            </w:tcBorders>
            <w:shd w:val="clear" w:color="auto" w:fill="auto"/>
            <w:vAlign w:val="bottom"/>
            <w:hideMark/>
          </w:tcPr>
          <w:p w14:paraId="1A326D2D" w14:textId="5F6F6662" w:rsidR="00BA7532" w:rsidRPr="00BA7532" w:rsidRDefault="00BA7532" w:rsidP="00BA7532">
            <w:pPr>
              <w:spacing w:after="0" w:line="240" w:lineRule="auto"/>
              <w:rPr>
                <w:rFonts w:ascii="Calibri" w:eastAsia="Times New Roman" w:hAnsi="Calibri" w:cs="Calibri"/>
                <w:color w:val="000000"/>
                <w:sz w:val="18"/>
                <w:szCs w:val="18"/>
                <w:lang w:val="en-US"/>
              </w:rPr>
            </w:pPr>
            <w:r w:rsidRPr="5DA5569D">
              <w:rPr>
                <w:rFonts w:ascii="Calibri" w:eastAsia="Times New Roman" w:hAnsi="Calibri" w:cs="Calibri"/>
                <w:color w:val="000000" w:themeColor="text1"/>
                <w:sz w:val="18"/>
                <w:szCs w:val="18"/>
                <w:lang w:val="en-US"/>
              </w:rPr>
              <w:t>BPO</w:t>
            </w:r>
            <w:r w:rsidR="4897FAD1" w:rsidRPr="5DA5569D">
              <w:rPr>
                <w:rFonts w:ascii="Calibri" w:eastAsia="Times New Roman" w:hAnsi="Calibri" w:cs="Calibri"/>
                <w:color w:val="000000" w:themeColor="text1"/>
                <w:sz w:val="18"/>
                <w:szCs w:val="18"/>
                <w:lang w:val="en-US"/>
              </w:rPr>
              <w:t>G</w:t>
            </w:r>
            <w:r w:rsidRPr="5DA5569D">
              <w:rPr>
                <w:rFonts w:ascii="Calibri" w:eastAsia="Times New Roman" w:hAnsi="Calibri" w:cs="Calibri"/>
                <w:color w:val="000000" w:themeColor="text1"/>
                <w:sz w:val="18"/>
                <w:szCs w:val="18"/>
                <w:lang w:val="en-US"/>
              </w:rPr>
              <w:t>, MD, MPH (bpogara@bidmc.harvard.edu)</w:t>
            </w:r>
          </w:p>
        </w:tc>
      </w:tr>
      <w:tr w:rsidR="00BA7532" w:rsidRPr="00BA7532" w14:paraId="782477B8"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76B39F8D"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Contact for scientific queries</w:t>
            </w:r>
          </w:p>
        </w:tc>
        <w:tc>
          <w:tcPr>
            <w:tcW w:w="5656" w:type="dxa"/>
            <w:tcBorders>
              <w:top w:val="nil"/>
              <w:left w:val="nil"/>
              <w:bottom w:val="single" w:sz="4" w:space="0" w:color="auto"/>
              <w:right w:val="nil"/>
            </w:tcBorders>
            <w:shd w:val="clear" w:color="auto" w:fill="auto"/>
            <w:vAlign w:val="bottom"/>
            <w:hideMark/>
          </w:tcPr>
          <w:p w14:paraId="63FCE685" w14:textId="057B8B22" w:rsidR="00BA7532" w:rsidRPr="00BA7532" w:rsidRDefault="00BA7532" w:rsidP="00BA7532">
            <w:pPr>
              <w:spacing w:after="0" w:line="240" w:lineRule="auto"/>
              <w:rPr>
                <w:rFonts w:ascii="Calibri" w:eastAsia="Times New Roman" w:hAnsi="Calibri" w:cs="Calibri"/>
                <w:color w:val="000000"/>
                <w:sz w:val="18"/>
                <w:szCs w:val="18"/>
                <w:lang w:val="en-US"/>
              </w:rPr>
            </w:pPr>
            <w:r w:rsidRPr="5DA5569D">
              <w:rPr>
                <w:rFonts w:ascii="Calibri" w:eastAsia="Times New Roman" w:hAnsi="Calibri" w:cs="Calibri"/>
                <w:color w:val="000000" w:themeColor="text1"/>
                <w:sz w:val="18"/>
                <w:szCs w:val="18"/>
                <w:lang w:val="en-US"/>
              </w:rPr>
              <w:t>BPO</w:t>
            </w:r>
            <w:r w:rsidR="19571041" w:rsidRPr="5DA5569D">
              <w:rPr>
                <w:rFonts w:ascii="Calibri" w:eastAsia="Times New Roman" w:hAnsi="Calibri" w:cs="Calibri"/>
                <w:color w:val="000000" w:themeColor="text1"/>
                <w:sz w:val="18"/>
                <w:szCs w:val="18"/>
                <w:lang w:val="en-US"/>
              </w:rPr>
              <w:t>G</w:t>
            </w:r>
            <w:r w:rsidRPr="5DA5569D">
              <w:rPr>
                <w:rFonts w:ascii="Calibri" w:eastAsia="Times New Roman" w:hAnsi="Calibri" w:cs="Calibri"/>
                <w:color w:val="000000" w:themeColor="text1"/>
                <w:sz w:val="18"/>
                <w:szCs w:val="18"/>
                <w:lang w:val="en-US"/>
              </w:rPr>
              <w:t>, MD, MPH (bpogara@bidmc.harvard.edu)</w:t>
            </w:r>
          </w:p>
        </w:tc>
      </w:tr>
      <w:tr w:rsidR="00BA7532" w:rsidRPr="00BA7532" w14:paraId="3ABC44F6" w14:textId="77777777" w:rsidTr="4E8FA45A">
        <w:trPr>
          <w:trHeight w:val="495"/>
        </w:trPr>
        <w:tc>
          <w:tcPr>
            <w:tcW w:w="4364" w:type="dxa"/>
            <w:tcBorders>
              <w:top w:val="nil"/>
              <w:left w:val="nil"/>
              <w:bottom w:val="single" w:sz="4" w:space="0" w:color="auto"/>
              <w:right w:val="nil"/>
            </w:tcBorders>
            <w:shd w:val="clear" w:color="auto" w:fill="auto"/>
            <w:noWrap/>
            <w:vAlign w:val="center"/>
            <w:hideMark/>
          </w:tcPr>
          <w:p w14:paraId="2A11D444"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Public title</w:t>
            </w:r>
          </w:p>
        </w:tc>
        <w:tc>
          <w:tcPr>
            <w:tcW w:w="5656" w:type="dxa"/>
            <w:tcBorders>
              <w:top w:val="nil"/>
              <w:left w:val="nil"/>
              <w:bottom w:val="single" w:sz="4" w:space="0" w:color="auto"/>
              <w:right w:val="nil"/>
            </w:tcBorders>
            <w:shd w:val="clear" w:color="auto" w:fill="auto"/>
            <w:vAlign w:val="bottom"/>
            <w:hideMark/>
          </w:tcPr>
          <w:p w14:paraId="09090973" w14:textId="0DEE445C"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Intraoperative virtual reality for older patients undergoing total knee arthroplasty: study protocol for a randomi</w:t>
            </w:r>
            <w:r w:rsidR="00AB638A">
              <w:rPr>
                <w:rFonts w:ascii="Calibri" w:eastAsia="Times New Roman" w:hAnsi="Calibri" w:cs="Calibri"/>
                <w:color w:val="000000"/>
                <w:sz w:val="18"/>
                <w:szCs w:val="18"/>
                <w:lang w:val="en-US"/>
              </w:rPr>
              <w:t>z</w:t>
            </w:r>
            <w:r w:rsidRPr="00BA7532">
              <w:rPr>
                <w:rFonts w:ascii="Calibri" w:eastAsia="Times New Roman" w:hAnsi="Calibri" w:cs="Calibri"/>
                <w:color w:val="000000"/>
                <w:sz w:val="18"/>
                <w:szCs w:val="18"/>
                <w:lang w:val="en-US"/>
              </w:rPr>
              <w:t>ed clinical trial</w:t>
            </w:r>
          </w:p>
        </w:tc>
      </w:tr>
      <w:tr w:rsidR="00BA7532" w:rsidRPr="00BA7532" w14:paraId="01B9E617" w14:textId="77777777" w:rsidTr="4E8FA45A">
        <w:trPr>
          <w:trHeight w:val="495"/>
        </w:trPr>
        <w:tc>
          <w:tcPr>
            <w:tcW w:w="4364" w:type="dxa"/>
            <w:tcBorders>
              <w:top w:val="nil"/>
              <w:left w:val="nil"/>
              <w:bottom w:val="single" w:sz="4" w:space="0" w:color="auto"/>
              <w:right w:val="nil"/>
            </w:tcBorders>
            <w:shd w:val="clear" w:color="auto" w:fill="auto"/>
            <w:noWrap/>
            <w:vAlign w:val="center"/>
            <w:hideMark/>
          </w:tcPr>
          <w:p w14:paraId="63AE7672"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Scientific title</w:t>
            </w:r>
          </w:p>
        </w:tc>
        <w:tc>
          <w:tcPr>
            <w:tcW w:w="5656" w:type="dxa"/>
            <w:tcBorders>
              <w:top w:val="nil"/>
              <w:left w:val="nil"/>
              <w:bottom w:val="single" w:sz="4" w:space="0" w:color="auto"/>
              <w:right w:val="nil"/>
            </w:tcBorders>
            <w:shd w:val="clear" w:color="auto" w:fill="auto"/>
            <w:vAlign w:val="bottom"/>
            <w:hideMark/>
          </w:tcPr>
          <w:p w14:paraId="3702CE87" w14:textId="76301CB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Intraoperative virtual reality for older patients undergoing total knee arthroplasty: study protocol for a randomi</w:t>
            </w:r>
            <w:r w:rsidR="00AB638A">
              <w:rPr>
                <w:rFonts w:ascii="Calibri" w:eastAsia="Times New Roman" w:hAnsi="Calibri" w:cs="Calibri"/>
                <w:color w:val="000000"/>
                <w:sz w:val="18"/>
                <w:szCs w:val="18"/>
                <w:lang w:val="en-US"/>
              </w:rPr>
              <w:t>z</w:t>
            </w:r>
            <w:r w:rsidRPr="00BA7532">
              <w:rPr>
                <w:rFonts w:ascii="Calibri" w:eastAsia="Times New Roman" w:hAnsi="Calibri" w:cs="Calibri"/>
                <w:color w:val="000000"/>
                <w:sz w:val="18"/>
                <w:szCs w:val="18"/>
                <w:lang w:val="en-US"/>
              </w:rPr>
              <w:t>ed clinical trial</w:t>
            </w:r>
          </w:p>
        </w:tc>
      </w:tr>
      <w:tr w:rsidR="00BA7532" w:rsidRPr="00BA7532" w14:paraId="7B816C09"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53BCBA0D"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Countries of recruitment</w:t>
            </w:r>
          </w:p>
        </w:tc>
        <w:tc>
          <w:tcPr>
            <w:tcW w:w="5656" w:type="dxa"/>
            <w:tcBorders>
              <w:top w:val="nil"/>
              <w:left w:val="nil"/>
              <w:bottom w:val="single" w:sz="4" w:space="0" w:color="auto"/>
              <w:right w:val="nil"/>
            </w:tcBorders>
            <w:shd w:val="clear" w:color="auto" w:fill="auto"/>
            <w:vAlign w:val="bottom"/>
            <w:hideMark/>
          </w:tcPr>
          <w:p w14:paraId="0A3A5953"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United States</w:t>
            </w:r>
          </w:p>
        </w:tc>
      </w:tr>
      <w:tr w:rsidR="00BA7532" w:rsidRPr="00BA7532" w14:paraId="34967C6C"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2F1A9FE3"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Health condition(s) or problem(s) studied</w:t>
            </w:r>
          </w:p>
        </w:tc>
        <w:tc>
          <w:tcPr>
            <w:tcW w:w="5656" w:type="dxa"/>
            <w:tcBorders>
              <w:top w:val="nil"/>
              <w:left w:val="nil"/>
              <w:bottom w:val="single" w:sz="4" w:space="0" w:color="auto"/>
              <w:right w:val="nil"/>
            </w:tcBorders>
            <w:shd w:val="clear" w:color="auto" w:fill="auto"/>
            <w:vAlign w:val="bottom"/>
            <w:hideMark/>
          </w:tcPr>
          <w:p w14:paraId="2B74A2CE"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Intraoperative sedation</w:t>
            </w:r>
          </w:p>
        </w:tc>
      </w:tr>
      <w:tr w:rsidR="00BA7532" w:rsidRPr="00BA7532" w14:paraId="2CC334C2" w14:textId="77777777" w:rsidTr="4E8FA45A">
        <w:trPr>
          <w:trHeight w:val="300"/>
        </w:trPr>
        <w:tc>
          <w:tcPr>
            <w:tcW w:w="4364" w:type="dxa"/>
            <w:vMerge w:val="restart"/>
            <w:tcBorders>
              <w:top w:val="nil"/>
              <w:left w:val="nil"/>
              <w:bottom w:val="single" w:sz="4" w:space="0" w:color="auto"/>
              <w:right w:val="nil"/>
            </w:tcBorders>
            <w:shd w:val="clear" w:color="auto" w:fill="auto"/>
            <w:noWrap/>
            <w:vAlign w:val="center"/>
            <w:hideMark/>
          </w:tcPr>
          <w:p w14:paraId="0C300EEF"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Intervention(s)</w:t>
            </w:r>
          </w:p>
        </w:tc>
        <w:tc>
          <w:tcPr>
            <w:tcW w:w="5656" w:type="dxa"/>
            <w:tcBorders>
              <w:top w:val="nil"/>
              <w:left w:val="nil"/>
              <w:bottom w:val="single" w:sz="4" w:space="0" w:color="auto"/>
              <w:right w:val="nil"/>
            </w:tcBorders>
            <w:shd w:val="clear" w:color="auto" w:fill="auto"/>
            <w:vAlign w:val="bottom"/>
            <w:hideMark/>
          </w:tcPr>
          <w:p w14:paraId="2AB9962E"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Intervention group: immersive virtual reality</w:t>
            </w:r>
          </w:p>
        </w:tc>
      </w:tr>
      <w:tr w:rsidR="00BA7532" w:rsidRPr="00BA7532" w14:paraId="6A81FD44" w14:textId="77777777" w:rsidTr="4E8FA45A">
        <w:trPr>
          <w:trHeight w:val="300"/>
        </w:trPr>
        <w:tc>
          <w:tcPr>
            <w:tcW w:w="4364" w:type="dxa"/>
            <w:vMerge/>
            <w:vAlign w:val="center"/>
            <w:hideMark/>
          </w:tcPr>
          <w:p w14:paraId="57CBCC58" w14:textId="77777777" w:rsidR="00BA7532" w:rsidRPr="00BA7532" w:rsidRDefault="00BA7532" w:rsidP="00BA7532">
            <w:pPr>
              <w:spacing w:after="0" w:line="240" w:lineRule="auto"/>
              <w:rPr>
                <w:rFonts w:ascii="Calibri" w:eastAsia="Times New Roman" w:hAnsi="Calibri" w:cs="Calibri"/>
                <w:color w:val="000000"/>
                <w:sz w:val="18"/>
                <w:szCs w:val="18"/>
                <w:lang w:val="en-US"/>
              </w:rPr>
            </w:pPr>
          </w:p>
        </w:tc>
        <w:tc>
          <w:tcPr>
            <w:tcW w:w="5656" w:type="dxa"/>
            <w:tcBorders>
              <w:top w:val="nil"/>
              <w:left w:val="nil"/>
              <w:bottom w:val="single" w:sz="4" w:space="0" w:color="auto"/>
              <w:right w:val="nil"/>
            </w:tcBorders>
            <w:shd w:val="clear" w:color="auto" w:fill="auto"/>
            <w:vAlign w:val="bottom"/>
            <w:hideMark/>
          </w:tcPr>
          <w:p w14:paraId="406B2BF4"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Active control: music</w:t>
            </w:r>
          </w:p>
        </w:tc>
      </w:tr>
      <w:tr w:rsidR="00BA7532" w:rsidRPr="00BA7532" w14:paraId="7CE971F3" w14:textId="77777777" w:rsidTr="4E8FA45A">
        <w:trPr>
          <w:trHeight w:val="300"/>
        </w:trPr>
        <w:tc>
          <w:tcPr>
            <w:tcW w:w="4364" w:type="dxa"/>
            <w:vMerge/>
            <w:vAlign w:val="center"/>
            <w:hideMark/>
          </w:tcPr>
          <w:p w14:paraId="17DDFA70" w14:textId="77777777" w:rsidR="00BA7532" w:rsidRPr="00BA7532" w:rsidRDefault="00BA7532" w:rsidP="00BA7532">
            <w:pPr>
              <w:spacing w:after="0" w:line="240" w:lineRule="auto"/>
              <w:rPr>
                <w:rFonts w:ascii="Calibri" w:eastAsia="Times New Roman" w:hAnsi="Calibri" w:cs="Calibri"/>
                <w:color w:val="000000"/>
                <w:sz w:val="18"/>
                <w:szCs w:val="18"/>
                <w:lang w:val="en-US"/>
              </w:rPr>
            </w:pPr>
          </w:p>
        </w:tc>
        <w:tc>
          <w:tcPr>
            <w:tcW w:w="5656" w:type="dxa"/>
            <w:tcBorders>
              <w:top w:val="nil"/>
              <w:left w:val="nil"/>
              <w:bottom w:val="single" w:sz="4" w:space="0" w:color="auto"/>
              <w:right w:val="nil"/>
            </w:tcBorders>
            <w:shd w:val="clear" w:color="auto" w:fill="auto"/>
            <w:vAlign w:val="bottom"/>
            <w:hideMark/>
          </w:tcPr>
          <w:p w14:paraId="39DD6145"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Passive control: sham virtual reality plus usual care</w:t>
            </w:r>
          </w:p>
        </w:tc>
      </w:tr>
      <w:tr w:rsidR="00BA7532" w:rsidRPr="00BA7532" w14:paraId="4CEA8C15" w14:textId="77777777" w:rsidTr="4E8FA45A">
        <w:trPr>
          <w:trHeight w:val="495"/>
        </w:trPr>
        <w:tc>
          <w:tcPr>
            <w:tcW w:w="4364" w:type="dxa"/>
            <w:vMerge w:val="restart"/>
            <w:tcBorders>
              <w:top w:val="nil"/>
              <w:left w:val="nil"/>
              <w:bottom w:val="single" w:sz="4" w:space="0" w:color="auto"/>
              <w:right w:val="nil"/>
            </w:tcBorders>
            <w:shd w:val="clear" w:color="auto" w:fill="auto"/>
            <w:noWrap/>
            <w:vAlign w:val="center"/>
            <w:hideMark/>
          </w:tcPr>
          <w:p w14:paraId="22C567F9"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Key inclusion and exclusion criteria</w:t>
            </w:r>
          </w:p>
        </w:tc>
        <w:tc>
          <w:tcPr>
            <w:tcW w:w="5656" w:type="dxa"/>
            <w:tcBorders>
              <w:top w:val="nil"/>
              <w:left w:val="nil"/>
              <w:bottom w:val="single" w:sz="4" w:space="0" w:color="auto"/>
              <w:right w:val="nil"/>
            </w:tcBorders>
            <w:shd w:val="clear" w:color="auto" w:fill="auto"/>
            <w:vAlign w:val="bottom"/>
            <w:hideMark/>
          </w:tcPr>
          <w:p w14:paraId="0A327621" w14:textId="2ECA946A"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Inclusion criteria: 60 years or older scheduled for primary total knee arthroplasty at BIDMC under spinal/regional anesthesia</w:t>
            </w:r>
          </w:p>
        </w:tc>
      </w:tr>
      <w:tr w:rsidR="00BA7532" w:rsidRPr="00BA7532" w14:paraId="77D3CC3D" w14:textId="77777777" w:rsidTr="4E8FA45A">
        <w:trPr>
          <w:trHeight w:val="1695"/>
        </w:trPr>
        <w:tc>
          <w:tcPr>
            <w:tcW w:w="4364" w:type="dxa"/>
            <w:vMerge/>
            <w:vAlign w:val="center"/>
            <w:hideMark/>
          </w:tcPr>
          <w:p w14:paraId="5D0CCF07" w14:textId="77777777" w:rsidR="00BA7532" w:rsidRPr="00BA7532" w:rsidRDefault="00BA7532" w:rsidP="00BA7532">
            <w:pPr>
              <w:spacing w:after="0" w:line="240" w:lineRule="auto"/>
              <w:rPr>
                <w:rFonts w:ascii="Calibri" w:eastAsia="Times New Roman" w:hAnsi="Calibri" w:cs="Calibri"/>
                <w:color w:val="000000"/>
                <w:sz w:val="18"/>
                <w:szCs w:val="18"/>
                <w:lang w:val="en-US"/>
              </w:rPr>
            </w:pPr>
          </w:p>
        </w:tc>
        <w:tc>
          <w:tcPr>
            <w:tcW w:w="5656" w:type="dxa"/>
            <w:tcBorders>
              <w:top w:val="nil"/>
              <w:left w:val="nil"/>
              <w:bottom w:val="single" w:sz="4" w:space="0" w:color="auto"/>
              <w:right w:val="nil"/>
            </w:tcBorders>
            <w:shd w:val="clear" w:color="auto" w:fill="auto"/>
            <w:vAlign w:val="bottom"/>
            <w:hideMark/>
          </w:tcPr>
          <w:p w14:paraId="4F6F31BC" w14:textId="51ED03BB" w:rsidR="00BA7532" w:rsidRPr="00BA7532" w:rsidRDefault="00BA7532" w:rsidP="007D4E40">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Exclusion criteria: complex or revision surgeries, “same day” TKA, open wounds or infection of the face, history of seizures or epilepsy, patients who are unable to tolerate the VR headset while wearing hearing aids or due to complete or partial blindness, pacemaker or other implanted device, are on droplet or airborne precautions, non-E</w:t>
            </w:r>
            <w:r w:rsidR="007D4E40">
              <w:rPr>
                <w:rFonts w:ascii="Calibri" w:eastAsia="Times New Roman" w:hAnsi="Calibri" w:cs="Calibri"/>
                <w:color w:val="000000"/>
                <w:sz w:val="18"/>
                <w:szCs w:val="18"/>
                <w:lang w:val="en-US"/>
              </w:rPr>
              <w:t>nglish or non-Spanish speaking</w:t>
            </w:r>
            <w:r w:rsidRPr="00BA7532">
              <w:rPr>
                <w:rFonts w:ascii="Calibri" w:eastAsia="Times New Roman" w:hAnsi="Calibri" w:cs="Calibri"/>
                <w:color w:val="000000"/>
                <w:sz w:val="18"/>
                <w:szCs w:val="18"/>
                <w:lang w:val="en-US"/>
              </w:rPr>
              <w:t>, diagnosis of moderate to severe dementia</w:t>
            </w:r>
          </w:p>
        </w:tc>
      </w:tr>
      <w:tr w:rsidR="00BA7532" w:rsidRPr="00BA7532" w14:paraId="24B5A05F"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134F434A"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Study type</w:t>
            </w:r>
          </w:p>
        </w:tc>
        <w:tc>
          <w:tcPr>
            <w:tcW w:w="5656" w:type="dxa"/>
            <w:tcBorders>
              <w:top w:val="nil"/>
              <w:left w:val="nil"/>
              <w:bottom w:val="single" w:sz="4" w:space="0" w:color="auto"/>
              <w:right w:val="nil"/>
            </w:tcBorders>
            <w:shd w:val="clear" w:color="auto" w:fill="auto"/>
            <w:vAlign w:val="bottom"/>
            <w:hideMark/>
          </w:tcPr>
          <w:p w14:paraId="62D51C90"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Interventional (clinical trial)</w:t>
            </w:r>
          </w:p>
        </w:tc>
      </w:tr>
      <w:tr w:rsidR="00BA7532" w:rsidRPr="00BA7532" w14:paraId="620AB731" w14:textId="77777777" w:rsidTr="4E8FA45A">
        <w:trPr>
          <w:trHeight w:val="495"/>
        </w:trPr>
        <w:tc>
          <w:tcPr>
            <w:tcW w:w="4364" w:type="dxa"/>
            <w:tcBorders>
              <w:top w:val="nil"/>
              <w:left w:val="nil"/>
              <w:bottom w:val="single" w:sz="4" w:space="0" w:color="auto"/>
              <w:right w:val="nil"/>
            </w:tcBorders>
            <w:shd w:val="clear" w:color="auto" w:fill="auto"/>
            <w:noWrap/>
            <w:vAlign w:val="center"/>
            <w:hideMark/>
          </w:tcPr>
          <w:p w14:paraId="66D6311B"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Interventional</w:t>
            </w:r>
          </w:p>
        </w:tc>
        <w:tc>
          <w:tcPr>
            <w:tcW w:w="5656" w:type="dxa"/>
            <w:tcBorders>
              <w:top w:val="nil"/>
              <w:left w:val="nil"/>
              <w:bottom w:val="single" w:sz="4" w:space="0" w:color="auto"/>
              <w:right w:val="nil"/>
            </w:tcBorders>
            <w:shd w:val="clear" w:color="auto" w:fill="auto"/>
            <w:vAlign w:val="bottom"/>
            <w:hideMark/>
          </w:tcPr>
          <w:p w14:paraId="4226B56C" w14:textId="6D830D82" w:rsidR="00BA7532" w:rsidRPr="00BA7532" w:rsidRDefault="00BA7532" w:rsidP="00BA7532">
            <w:pPr>
              <w:spacing w:after="0" w:line="240" w:lineRule="auto"/>
              <w:rPr>
                <w:rFonts w:ascii="Calibri" w:eastAsia="Times New Roman" w:hAnsi="Calibri" w:cs="Calibri"/>
                <w:color w:val="000000"/>
                <w:sz w:val="18"/>
                <w:szCs w:val="18"/>
                <w:lang w:val="en-US"/>
              </w:rPr>
            </w:pPr>
            <w:r w:rsidRPr="4D3811E4">
              <w:rPr>
                <w:rFonts w:ascii="Calibri" w:eastAsia="Times New Roman" w:hAnsi="Calibri" w:cs="Calibri"/>
                <w:color w:val="000000" w:themeColor="text1"/>
                <w:sz w:val="18"/>
                <w:szCs w:val="18"/>
                <w:lang w:val="en-US"/>
              </w:rPr>
              <w:t>Allocation: randomi</w:t>
            </w:r>
            <w:r w:rsidR="00AB638A">
              <w:rPr>
                <w:rFonts w:ascii="Calibri" w:eastAsia="Times New Roman" w:hAnsi="Calibri" w:cs="Calibri"/>
                <w:color w:val="000000" w:themeColor="text1"/>
                <w:sz w:val="18"/>
                <w:szCs w:val="18"/>
                <w:lang w:val="en-US"/>
              </w:rPr>
              <w:t>z</w:t>
            </w:r>
            <w:r w:rsidRPr="4D3811E4">
              <w:rPr>
                <w:rFonts w:ascii="Calibri" w:eastAsia="Times New Roman" w:hAnsi="Calibri" w:cs="Calibri"/>
                <w:color w:val="000000" w:themeColor="text1"/>
                <w:sz w:val="18"/>
                <w:szCs w:val="18"/>
                <w:lang w:val="en-US"/>
              </w:rPr>
              <w:t>ed; Intervention: parallel assignment; Masking: single-blinded (outcomes assessor); Primary purpose: Treatment</w:t>
            </w:r>
          </w:p>
        </w:tc>
      </w:tr>
      <w:tr w:rsidR="00BA7532" w:rsidRPr="00BA7532" w14:paraId="60CC12DF"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5022AD2A"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 xml:space="preserve">Date of first enrolment </w:t>
            </w:r>
          </w:p>
        </w:tc>
        <w:tc>
          <w:tcPr>
            <w:tcW w:w="5656" w:type="dxa"/>
            <w:tcBorders>
              <w:top w:val="nil"/>
              <w:left w:val="nil"/>
              <w:bottom w:val="single" w:sz="4" w:space="0" w:color="auto"/>
              <w:right w:val="nil"/>
            </w:tcBorders>
            <w:shd w:val="clear" w:color="auto" w:fill="auto"/>
            <w:vAlign w:val="bottom"/>
            <w:hideMark/>
          </w:tcPr>
          <w:p w14:paraId="4B6FF705" w14:textId="04751E94" w:rsidR="4D3811E4" w:rsidRDefault="4D3811E4" w:rsidP="00D7285E">
            <w:pPr>
              <w:rPr>
                <w:rFonts w:ascii="Calibri" w:eastAsia="Calibri" w:hAnsi="Calibri" w:cs="Calibri"/>
                <w:color w:val="000000" w:themeColor="text1"/>
                <w:sz w:val="18"/>
                <w:szCs w:val="18"/>
              </w:rPr>
            </w:pPr>
            <w:r w:rsidRPr="4D3811E4">
              <w:rPr>
                <w:rFonts w:ascii="Calibri" w:eastAsia="Calibri" w:hAnsi="Calibri" w:cs="Calibri"/>
                <w:color w:val="000000" w:themeColor="text1"/>
                <w:sz w:val="18"/>
                <w:szCs w:val="18"/>
              </w:rPr>
              <w:t xml:space="preserve">11-Apr-22 under </w:t>
            </w:r>
            <w:r w:rsidR="073BC777" w:rsidRPr="4D3811E4">
              <w:rPr>
                <w:rFonts w:ascii="Calibri" w:eastAsia="Calibri" w:hAnsi="Calibri" w:cs="Calibri"/>
                <w:color w:val="000000" w:themeColor="text1"/>
                <w:sz w:val="18"/>
                <w:szCs w:val="18"/>
              </w:rPr>
              <w:t xml:space="preserve">protocol </w:t>
            </w:r>
            <w:r w:rsidRPr="4D3811E4">
              <w:rPr>
                <w:rFonts w:ascii="Calibri" w:eastAsia="Calibri" w:hAnsi="Calibri" w:cs="Calibri"/>
                <w:color w:val="000000" w:themeColor="text1"/>
                <w:sz w:val="18"/>
                <w:szCs w:val="18"/>
              </w:rPr>
              <w:t>version approval date 27-Dec-21</w:t>
            </w:r>
          </w:p>
        </w:tc>
      </w:tr>
      <w:tr w:rsidR="00BA7532" w:rsidRPr="00BA7532" w14:paraId="7A820D2D"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0FFCEC3A"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Target sample size</w:t>
            </w:r>
          </w:p>
        </w:tc>
        <w:tc>
          <w:tcPr>
            <w:tcW w:w="5656" w:type="dxa"/>
            <w:tcBorders>
              <w:top w:val="nil"/>
              <w:left w:val="nil"/>
              <w:bottom w:val="single" w:sz="4" w:space="0" w:color="auto"/>
              <w:right w:val="nil"/>
            </w:tcBorders>
            <w:shd w:val="clear" w:color="auto" w:fill="auto"/>
            <w:vAlign w:val="bottom"/>
            <w:hideMark/>
          </w:tcPr>
          <w:p w14:paraId="74FF202B" w14:textId="50B6A099" w:rsidR="00BA7532" w:rsidRPr="00BA7532" w:rsidRDefault="00BA7532" w:rsidP="00BA7532">
            <w:pPr>
              <w:spacing w:after="0" w:line="240" w:lineRule="auto"/>
              <w:rPr>
                <w:rFonts w:ascii="Calibri" w:eastAsia="Times New Roman" w:hAnsi="Calibri" w:cs="Calibri"/>
                <w:color w:val="000000"/>
                <w:sz w:val="18"/>
                <w:szCs w:val="18"/>
                <w:lang w:val="en-US"/>
              </w:rPr>
            </w:pPr>
            <w:r w:rsidRPr="787B4557">
              <w:rPr>
                <w:rFonts w:ascii="Calibri" w:eastAsia="Times New Roman" w:hAnsi="Calibri" w:cs="Calibri"/>
                <w:color w:val="000000" w:themeColor="text1"/>
                <w:sz w:val="18"/>
                <w:szCs w:val="18"/>
                <w:lang w:val="en-US"/>
              </w:rPr>
              <w:t>13</w:t>
            </w:r>
            <w:r w:rsidR="66002E2E" w:rsidRPr="787B4557">
              <w:rPr>
                <w:rFonts w:ascii="Calibri" w:eastAsia="Times New Roman" w:hAnsi="Calibri" w:cs="Calibri"/>
                <w:color w:val="000000" w:themeColor="text1"/>
                <w:sz w:val="18"/>
                <w:szCs w:val="18"/>
                <w:lang w:val="en-US"/>
              </w:rPr>
              <w:t>1</w:t>
            </w:r>
          </w:p>
        </w:tc>
      </w:tr>
      <w:tr w:rsidR="00BA7532" w:rsidRPr="00BA7532" w14:paraId="0F5B49EA"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6A40656A"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 xml:space="preserve">Recruitment status </w:t>
            </w:r>
          </w:p>
        </w:tc>
        <w:tc>
          <w:tcPr>
            <w:tcW w:w="5656" w:type="dxa"/>
            <w:tcBorders>
              <w:top w:val="nil"/>
              <w:left w:val="nil"/>
              <w:bottom w:val="single" w:sz="4" w:space="0" w:color="auto"/>
              <w:right w:val="nil"/>
            </w:tcBorders>
            <w:shd w:val="clear" w:color="auto" w:fill="auto"/>
            <w:vAlign w:val="bottom"/>
            <w:hideMark/>
          </w:tcPr>
          <w:p w14:paraId="437F8D44"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Recruiting</w:t>
            </w:r>
          </w:p>
        </w:tc>
      </w:tr>
      <w:tr w:rsidR="00BA7532" w:rsidRPr="00BA7532" w14:paraId="37A1C68D" w14:textId="77777777" w:rsidTr="4E8FA45A">
        <w:trPr>
          <w:trHeight w:val="300"/>
        </w:trPr>
        <w:tc>
          <w:tcPr>
            <w:tcW w:w="4364" w:type="dxa"/>
            <w:tcBorders>
              <w:top w:val="nil"/>
              <w:left w:val="nil"/>
              <w:bottom w:val="single" w:sz="4" w:space="0" w:color="auto"/>
              <w:right w:val="nil"/>
            </w:tcBorders>
            <w:shd w:val="clear" w:color="auto" w:fill="auto"/>
            <w:noWrap/>
            <w:vAlign w:val="center"/>
            <w:hideMark/>
          </w:tcPr>
          <w:p w14:paraId="3C2F522D"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Primary outcome</w:t>
            </w:r>
          </w:p>
        </w:tc>
        <w:tc>
          <w:tcPr>
            <w:tcW w:w="5656" w:type="dxa"/>
            <w:tcBorders>
              <w:top w:val="nil"/>
              <w:left w:val="nil"/>
              <w:bottom w:val="single" w:sz="4" w:space="0" w:color="auto"/>
              <w:right w:val="nil"/>
            </w:tcBorders>
            <w:shd w:val="clear" w:color="auto" w:fill="auto"/>
            <w:vAlign w:val="bottom"/>
            <w:hideMark/>
          </w:tcPr>
          <w:p w14:paraId="7E705CB7"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Intraoperative propofol dose</w:t>
            </w:r>
          </w:p>
        </w:tc>
      </w:tr>
      <w:tr w:rsidR="00BA7532" w:rsidRPr="00BA7532" w14:paraId="79FEC7D6" w14:textId="77777777" w:rsidTr="4E8FA45A">
        <w:trPr>
          <w:trHeight w:val="1215"/>
        </w:trPr>
        <w:tc>
          <w:tcPr>
            <w:tcW w:w="4364" w:type="dxa"/>
            <w:tcBorders>
              <w:top w:val="nil"/>
              <w:left w:val="nil"/>
              <w:bottom w:val="single" w:sz="4" w:space="0" w:color="auto"/>
              <w:right w:val="nil"/>
            </w:tcBorders>
            <w:shd w:val="clear" w:color="auto" w:fill="auto"/>
            <w:noWrap/>
            <w:vAlign w:val="center"/>
            <w:hideMark/>
          </w:tcPr>
          <w:p w14:paraId="544AE29E" w14:textId="77777777" w:rsidR="00BA7532" w:rsidRPr="00BA7532" w:rsidRDefault="00BA7532" w:rsidP="00BA7532">
            <w:pPr>
              <w:spacing w:after="0" w:line="240" w:lineRule="auto"/>
              <w:rPr>
                <w:rFonts w:ascii="Calibri" w:eastAsia="Times New Roman" w:hAnsi="Calibri" w:cs="Calibri"/>
                <w:color w:val="000000"/>
                <w:sz w:val="18"/>
                <w:szCs w:val="18"/>
                <w:lang w:val="en-US"/>
              </w:rPr>
            </w:pPr>
            <w:r w:rsidRPr="00BA7532">
              <w:rPr>
                <w:rFonts w:ascii="Calibri" w:eastAsia="Times New Roman" w:hAnsi="Calibri" w:cs="Calibri"/>
                <w:color w:val="000000"/>
                <w:sz w:val="18"/>
                <w:szCs w:val="18"/>
                <w:lang w:val="en-US"/>
              </w:rPr>
              <w:t>Key secondary outcomes</w:t>
            </w:r>
          </w:p>
        </w:tc>
        <w:tc>
          <w:tcPr>
            <w:tcW w:w="5656" w:type="dxa"/>
            <w:tcBorders>
              <w:top w:val="nil"/>
              <w:left w:val="nil"/>
              <w:bottom w:val="single" w:sz="4" w:space="0" w:color="auto"/>
              <w:right w:val="nil"/>
            </w:tcBorders>
            <w:shd w:val="clear" w:color="auto" w:fill="auto"/>
            <w:vAlign w:val="bottom"/>
            <w:hideMark/>
          </w:tcPr>
          <w:p w14:paraId="57E4A79B" w14:textId="57AA1376" w:rsidR="00BA7532" w:rsidRPr="00BA7532" w:rsidRDefault="582789AA" w:rsidP="00BA7532">
            <w:pPr>
              <w:spacing w:after="0" w:line="240" w:lineRule="auto"/>
              <w:rPr>
                <w:rFonts w:ascii="Calibri" w:eastAsia="Times New Roman" w:hAnsi="Calibri" w:cs="Calibri"/>
                <w:color w:val="000000"/>
                <w:sz w:val="18"/>
                <w:szCs w:val="18"/>
                <w:lang w:val="en-US"/>
              </w:rPr>
            </w:pPr>
            <w:r w:rsidRPr="4E8FA45A">
              <w:rPr>
                <w:rFonts w:ascii="Calibri" w:eastAsia="Times New Roman" w:hAnsi="Calibri" w:cs="Calibri"/>
                <w:color w:val="000000" w:themeColor="text1"/>
                <w:sz w:val="18"/>
                <w:szCs w:val="18"/>
                <w:lang w:val="en-US"/>
              </w:rPr>
              <w:t xml:space="preserve">Intraoperative and postoperative opioids, intraoperative anesthesia maneuvers, length of PACU stay, postoperative pain, satisfaction with anesthesia, satisfaction with recovery, postoperative delirium, delayed </w:t>
            </w:r>
            <w:r w:rsidR="0DB71EE3" w:rsidRPr="4E8FA45A">
              <w:rPr>
                <w:rFonts w:ascii="Calibri" w:eastAsia="Times New Roman" w:hAnsi="Calibri" w:cs="Calibri"/>
                <w:color w:val="000000" w:themeColor="text1"/>
                <w:sz w:val="18"/>
                <w:szCs w:val="18"/>
                <w:lang w:val="en-US"/>
              </w:rPr>
              <w:t>neuro</w:t>
            </w:r>
            <w:r w:rsidRPr="4E8FA45A">
              <w:rPr>
                <w:rFonts w:ascii="Calibri" w:eastAsia="Times New Roman" w:hAnsi="Calibri" w:cs="Calibri"/>
                <w:color w:val="000000" w:themeColor="text1"/>
                <w:sz w:val="18"/>
                <w:szCs w:val="18"/>
                <w:lang w:val="en-US"/>
              </w:rPr>
              <w:t>cognitive recovery and postoperative neurocognitive disorder, assessment of knee pain and function</w:t>
            </w:r>
          </w:p>
        </w:tc>
      </w:tr>
    </w:tbl>
    <w:p w14:paraId="30F48FA2" w14:textId="77777777" w:rsidR="00231188" w:rsidRDefault="10597D8F" w:rsidP="23CC6AD2">
      <w:pPr>
        <w:spacing w:after="0" w:line="240" w:lineRule="auto"/>
        <w:rPr>
          <w:rFonts w:ascii="Calibri" w:eastAsia="Times New Roman" w:hAnsi="Calibri" w:cs="Calibri"/>
          <w:b/>
          <w:bCs/>
          <w:color w:val="000000" w:themeColor="text1"/>
          <w:lang w:val="en-US"/>
        </w:rPr>
      </w:pPr>
      <w:r w:rsidRPr="23CC6AD2">
        <w:rPr>
          <w:rFonts w:ascii="Calibri" w:eastAsia="Times New Roman" w:hAnsi="Calibri" w:cs="Calibri"/>
          <w:b/>
          <w:bCs/>
          <w:color w:val="000000" w:themeColor="text1"/>
          <w:lang w:val="en-US"/>
        </w:rPr>
        <w:t xml:space="preserve">Supplemental Table 1 | </w:t>
      </w:r>
      <w:r w:rsidRPr="23CC6AD2">
        <w:rPr>
          <w:rFonts w:ascii="Calibri" w:eastAsia="Times New Roman" w:hAnsi="Calibri" w:cs="Calibri"/>
          <w:color w:val="000000" w:themeColor="text1"/>
          <w:lang w:val="en-US"/>
        </w:rPr>
        <w:t>Trial registration data</w:t>
      </w:r>
    </w:p>
    <w:p w14:paraId="50F39A11" w14:textId="62407292" w:rsidR="00231188" w:rsidRDefault="00231188" w:rsidP="23CC6AD2">
      <w:pPr>
        <w:spacing w:after="0" w:line="360" w:lineRule="auto"/>
        <w:rPr>
          <w:b/>
          <w:bCs/>
          <w:sz w:val="24"/>
          <w:szCs w:val="24"/>
          <w:lang w:val="en-US"/>
        </w:rPr>
      </w:pPr>
    </w:p>
    <w:sectPr w:rsidR="0023118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F46A7" w14:textId="77777777" w:rsidR="001027ED" w:rsidRDefault="001027ED">
      <w:pPr>
        <w:spacing w:after="0" w:line="240" w:lineRule="auto"/>
      </w:pPr>
      <w:r>
        <w:separator/>
      </w:r>
    </w:p>
  </w:endnote>
  <w:endnote w:type="continuationSeparator" w:id="0">
    <w:p w14:paraId="6B6A3108" w14:textId="77777777" w:rsidR="001027ED" w:rsidRDefault="00102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7C760DD" w14:paraId="72C0A656" w14:textId="77777777" w:rsidTr="381B0ACE">
      <w:tc>
        <w:tcPr>
          <w:tcW w:w="3120" w:type="dxa"/>
        </w:tcPr>
        <w:p w14:paraId="70433F4C" w14:textId="77777777" w:rsidR="00000000" w:rsidRDefault="00000000" w:rsidP="47C760DD">
          <w:pPr>
            <w:pStyle w:val="Header"/>
            <w:ind w:left="-115"/>
          </w:pPr>
        </w:p>
      </w:tc>
      <w:tc>
        <w:tcPr>
          <w:tcW w:w="3120" w:type="dxa"/>
        </w:tcPr>
        <w:p w14:paraId="5EE0495C" w14:textId="77777777" w:rsidR="00000000" w:rsidRDefault="00000000" w:rsidP="47C760DD">
          <w:pPr>
            <w:pStyle w:val="Header"/>
            <w:jc w:val="center"/>
          </w:pPr>
        </w:p>
      </w:tc>
      <w:tc>
        <w:tcPr>
          <w:tcW w:w="3120" w:type="dxa"/>
        </w:tcPr>
        <w:p w14:paraId="5D6B26E9" w14:textId="77777777" w:rsidR="00000000" w:rsidRDefault="00000000" w:rsidP="47C760DD">
          <w:pPr>
            <w:pStyle w:val="Header"/>
            <w:ind w:right="-115"/>
            <w:jc w:val="right"/>
          </w:pPr>
        </w:p>
      </w:tc>
    </w:tr>
  </w:tbl>
  <w:p w14:paraId="63BA2E72" w14:textId="77777777" w:rsidR="00000000" w:rsidRDefault="00000000" w:rsidP="47C76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7F66B" w14:textId="77777777" w:rsidR="001027ED" w:rsidRDefault="001027ED">
      <w:pPr>
        <w:spacing w:after="0" w:line="240" w:lineRule="auto"/>
      </w:pPr>
      <w:r>
        <w:separator/>
      </w:r>
    </w:p>
  </w:footnote>
  <w:footnote w:type="continuationSeparator" w:id="0">
    <w:p w14:paraId="132AB302" w14:textId="77777777" w:rsidR="001027ED" w:rsidRDefault="00102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209076"/>
      <w:docPartObj>
        <w:docPartGallery w:val="Page Numbers (Top of Page)"/>
        <w:docPartUnique/>
      </w:docPartObj>
    </w:sdtPr>
    <w:sdtEndPr>
      <w:rPr>
        <w:noProof/>
      </w:rPr>
    </w:sdtEndPr>
    <w:sdtContent>
      <w:p w14:paraId="376986AC" w14:textId="67C4F26E" w:rsidR="00000000" w:rsidRDefault="006A5FC6">
        <w:pPr>
          <w:pStyle w:val="Header"/>
          <w:jc w:val="right"/>
        </w:pPr>
        <w:r>
          <w:fldChar w:fldCharType="begin"/>
        </w:r>
        <w:r>
          <w:instrText xml:space="preserve"> PAGE   \* MERGEFORMAT </w:instrText>
        </w:r>
        <w:r>
          <w:fldChar w:fldCharType="separate"/>
        </w:r>
        <w:r w:rsidR="005123D1">
          <w:rPr>
            <w:noProof/>
          </w:rPr>
          <w:t>2</w:t>
        </w:r>
        <w:r>
          <w:rPr>
            <w:noProof/>
          </w:rPr>
          <w:fldChar w:fldCharType="end"/>
        </w:r>
      </w:p>
    </w:sdtContent>
  </w:sdt>
  <w:p w14:paraId="666041CF" w14:textId="77777777" w:rsidR="00000000" w:rsidRDefault="00000000" w:rsidP="47C760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215"/>
    <w:rsid w:val="001027ED"/>
    <w:rsid w:val="00231188"/>
    <w:rsid w:val="005123D1"/>
    <w:rsid w:val="005461AE"/>
    <w:rsid w:val="006A5FC6"/>
    <w:rsid w:val="007D4E40"/>
    <w:rsid w:val="00A0519C"/>
    <w:rsid w:val="00AB638A"/>
    <w:rsid w:val="00BA7532"/>
    <w:rsid w:val="00C844AC"/>
    <w:rsid w:val="00D7285E"/>
    <w:rsid w:val="00DE4B03"/>
    <w:rsid w:val="00EC7B2C"/>
    <w:rsid w:val="00F22215"/>
    <w:rsid w:val="01FAA660"/>
    <w:rsid w:val="060AB0FC"/>
    <w:rsid w:val="073BC777"/>
    <w:rsid w:val="0CDA7205"/>
    <w:rsid w:val="0DB71EE3"/>
    <w:rsid w:val="10597D8F"/>
    <w:rsid w:val="1870F719"/>
    <w:rsid w:val="193E27C9"/>
    <w:rsid w:val="19571041"/>
    <w:rsid w:val="1BE78D19"/>
    <w:rsid w:val="2215C09B"/>
    <w:rsid w:val="23CC6AD2"/>
    <w:rsid w:val="28396A3B"/>
    <w:rsid w:val="32066EB2"/>
    <w:rsid w:val="4897FAD1"/>
    <w:rsid w:val="4A0D9731"/>
    <w:rsid w:val="4D3811E4"/>
    <w:rsid w:val="4E8FA45A"/>
    <w:rsid w:val="582789AA"/>
    <w:rsid w:val="5DA5569D"/>
    <w:rsid w:val="5F7129AF"/>
    <w:rsid w:val="66002E2E"/>
    <w:rsid w:val="68C0DE8D"/>
    <w:rsid w:val="787B4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31081"/>
  <w15:chartTrackingRefBased/>
  <w15:docId w15:val="{AC1EBDF5-93BF-43CF-843B-95713C739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1A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5461AE"/>
    <w:rPr>
      <w:lang w:val="en-GB"/>
    </w:rPr>
  </w:style>
  <w:style w:type="paragraph" w:styleId="Header">
    <w:name w:val="header"/>
    <w:basedOn w:val="Normal"/>
    <w:link w:val="HeaderChar"/>
    <w:uiPriority w:val="99"/>
    <w:unhideWhenUsed/>
    <w:rsid w:val="005461AE"/>
    <w:pPr>
      <w:tabs>
        <w:tab w:val="center" w:pos="4680"/>
        <w:tab w:val="right" w:pos="9360"/>
      </w:tabs>
      <w:spacing w:after="0"/>
    </w:pPr>
  </w:style>
  <w:style w:type="character" w:customStyle="1" w:styleId="HeaderChar1">
    <w:name w:val="Header Char1"/>
    <w:basedOn w:val="DefaultParagraphFont"/>
    <w:uiPriority w:val="99"/>
    <w:semiHidden/>
    <w:rsid w:val="005461AE"/>
    <w:rPr>
      <w:lang w:val="en-GB"/>
    </w:rPr>
  </w:style>
  <w:style w:type="character" w:customStyle="1" w:styleId="FooterChar">
    <w:name w:val="Footer Char"/>
    <w:basedOn w:val="DefaultParagraphFont"/>
    <w:link w:val="Footer"/>
    <w:uiPriority w:val="99"/>
    <w:rsid w:val="005461AE"/>
    <w:rPr>
      <w:lang w:val="en-GB"/>
    </w:rPr>
  </w:style>
  <w:style w:type="paragraph" w:styleId="Footer">
    <w:name w:val="footer"/>
    <w:basedOn w:val="Normal"/>
    <w:link w:val="FooterChar"/>
    <w:uiPriority w:val="99"/>
    <w:unhideWhenUsed/>
    <w:rsid w:val="005461AE"/>
    <w:pPr>
      <w:tabs>
        <w:tab w:val="center" w:pos="4680"/>
        <w:tab w:val="right" w:pos="9360"/>
      </w:tabs>
      <w:spacing w:after="0"/>
    </w:pPr>
  </w:style>
  <w:style w:type="character" w:customStyle="1" w:styleId="FooterChar1">
    <w:name w:val="Footer Char1"/>
    <w:basedOn w:val="DefaultParagraphFont"/>
    <w:uiPriority w:val="99"/>
    <w:semiHidden/>
    <w:rsid w:val="005461AE"/>
    <w:rPr>
      <w:lang w:val="en-GB"/>
    </w:rPr>
  </w:style>
  <w:style w:type="character" w:styleId="Hyperlink">
    <w:name w:val="Hyperlink"/>
    <w:basedOn w:val="DefaultParagraphFont"/>
    <w:uiPriority w:val="99"/>
    <w:unhideWhenUsed/>
    <w:rsid w:val="005461AE"/>
    <w:rPr>
      <w:color w:val="0563C1" w:themeColor="hyperlink"/>
      <w:u w:val="single"/>
    </w:rPr>
  </w:style>
  <w:style w:type="paragraph" w:customStyle="1" w:styleId="paragraph">
    <w:name w:val="paragraph"/>
    <w:basedOn w:val="Normal"/>
    <w:uiPriority w:val="1"/>
    <w:rsid w:val="005461AE"/>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461AE"/>
  </w:style>
  <w:style w:type="character" w:customStyle="1" w:styleId="eop">
    <w:name w:val="eop"/>
    <w:basedOn w:val="DefaultParagraphFont"/>
    <w:rsid w:val="005461AE"/>
  </w:style>
  <w:style w:type="character" w:styleId="FollowedHyperlink">
    <w:name w:val="FollowedHyperlink"/>
    <w:basedOn w:val="DefaultParagraphFont"/>
    <w:uiPriority w:val="99"/>
    <w:semiHidden/>
    <w:unhideWhenUsed/>
    <w:rsid w:val="005461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112701">
      <w:bodyDiv w:val="1"/>
      <w:marLeft w:val="0"/>
      <w:marRight w:val="0"/>
      <w:marTop w:val="0"/>
      <w:marBottom w:val="0"/>
      <w:divBdr>
        <w:top w:val="none" w:sz="0" w:space="0" w:color="auto"/>
        <w:left w:val="none" w:sz="0" w:space="0" w:color="auto"/>
        <w:bottom w:val="none" w:sz="0" w:space="0" w:color="auto"/>
        <w:right w:val="none" w:sz="0" w:space="0" w:color="auto"/>
      </w:divBdr>
    </w:div>
    <w:div w:id="69242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BCDE936888C64E824F157DB79E095C" ma:contentTypeVersion="15" ma:contentTypeDescription="Create a new document." ma:contentTypeScope="" ma:versionID="f887a68246878c3b92358d26b8eb88e2">
  <xsd:schema xmlns:xsd="http://www.w3.org/2001/XMLSchema" xmlns:xs="http://www.w3.org/2001/XMLSchema" xmlns:p="http://schemas.microsoft.com/office/2006/metadata/properties" xmlns:ns3="9aaa896f-da53-499a-88fc-97f428a2817d" xmlns:ns4="2b15ce3f-423f-47dd-b302-8fba29312562" targetNamespace="http://schemas.microsoft.com/office/2006/metadata/properties" ma:root="true" ma:fieldsID="9c7f6b6db60cce49bd6cca7365f6d9a9" ns3:_="" ns4:_="">
    <xsd:import namespace="9aaa896f-da53-499a-88fc-97f428a2817d"/>
    <xsd:import namespace="2b15ce3f-423f-47dd-b302-8fba2931256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a896f-da53-499a-88fc-97f428a28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15ce3f-423f-47dd-b302-8fba293125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aaa896f-da53-499a-88fc-97f428a2817d" xsi:nil="true"/>
  </documentManagement>
</p:properties>
</file>

<file path=customXml/itemProps1.xml><?xml version="1.0" encoding="utf-8"?>
<ds:datastoreItem xmlns:ds="http://schemas.openxmlformats.org/officeDocument/2006/customXml" ds:itemID="{9AE8A42E-E2F6-469B-B094-46E7F37ECEDE}">
  <ds:schemaRefs>
    <ds:schemaRef ds:uri="http://schemas.microsoft.com/sharepoint/v3/contenttype/forms"/>
  </ds:schemaRefs>
</ds:datastoreItem>
</file>

<file path=customXml/itemProps2.xml><?xml version="1.0" encoding="utf-8"?>
<ds:datastoreItem xmlns:ds="http://schemas.openxmlformats.org/officeDocument/2006/customXml" ds:itemID="{007CEB59-A58B-44CB-9D4E-E476F95C7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a896f-da53-499a-88fc-97f428a2817d"/>
    <ds:schemaRef ds:uri="2b15ce3f-423f-47dd-b302-8fba29312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B8EA15-3622-4481-ABDF-D9239A990A6A}">
  <ds:schemaRefs>
    <ds:schemaRef ds:uri="http://schemas.microsoft.com/office/2006/metadata/properties"/>
    <ds:schemaRef ds:uri="http://schemas.microsoft.com/office/infopath/2007/PartnerControls"/>
    <ds:schemaRef ds:uri="9aaa896f-da53-499a-88fc-97f428a2817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2081</Characters>
  <Application>Microsoft Office Word</Application>
  <DocSecurity>0</DocSecurity>
  <Lines>17</Lines>
  <Paragraphs>4</Paragraphs>
  <ScaleCrop>false</ScaleCrop>
  <Company>BIDMC</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Espinosa Leon, Juan Pablo (BIDMC - Banner-Goodspeed - Anesthesia)</dc:creator>
  <cp:keywords/>
  <dc:description/>
  <cp:lastModifiedBy>Juan Pablo Espinosa</cp:lastModifiedBy>
  <cp:revision>4</cp:revision>
  <dcterms:created xsi:type="dcterms:W3CDTF">2023-09-07T17:02:00Z</dcterms:created>
  <dcterms:modified xsi:type="dcterms:W3CDTF">2024-06-19T18:59:00Z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62ab78e0-7c48-43e8-b64a-6c9ecc1ae465</vt:lpwstr>
  </property>
  <property fmtid="{D5CDD505-2E9C-101B-9397-08002B2CF9AE}" pid="3" name="ContentTypeId">
    <vt:lpwstr>0x010100E6BCDE936888C64E824F157DB79E095C</vt:lpwstr>
  </property>
</Properties>
</file>