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24A32" w14:textId="216D05FA" w:rsidR="00DE60DE" w:rsidRDefault="00DE60DE" w:rsidP="00432315">
      <w:pPr>
        <w:spacing w:line="480" w:lineRule="auto"/>
        <w:rPr>
          <w:b/>
          <w:bCs/>
          <w:sz w:val="32"/>
          <w:szCs w:val="32"/>
        </w:rPr>
      </w:pPr>
      <w:r>
        <w:rPr>
          <w:b/>
          <w:bCs/>
          <w:sz w:val="32"/>
          <w:szCs w:val="32"/>
        </w:rPr>
        <w:t xml:space="preserve">Supplementary material to </w:t>
      </w:r>
    </w:p>
    <w:p w14:paraId="0CE56ECD" w14:textId="77777777" w:rsidR="00DE60DE" w:rsidRDefault="00DE60DE" w:rsidP="00432315">
      <w:pPr>
        <w:spacing w:line="480" w:lineRule="auto"/>
        <w:rPr>
          <w:b/>
          <w:bCs/>
          <w:sz w:val="32"/>
          <w:szCs w:val="32"/>
        </w:rPr>
      </w:pPr>
    </w:p>
    <w:p w14:paraId="0E023DEC" w14:textId="061C75F2" w:rsidR="00432315" w:rsidRPr="00DE60DE" w:rsidRDefault="00432315" w:rsidP="00432315">
      <w:pPr>
        <w:spacing w:line="480" w:lineRule="auto"/>
        <w:rPr>
          <w:sz w:val="32"/>
          <w:szCs w:val="32"/>
        </w:rPr>
      </w:pPr>
      <w:r w:rsidRPr="00DE60DE">
        <w:rPr>
          <w:sz w:val="32"/>
          <w:szCs w:val="32"/>
        </w:rPr>
        <w:t>Estimands in equivalence trials and non-inferiority trials: a review of EMA scientific advice to drug developers</w:t>
      </w:r>
    </w:p>
    <w:p w14:paraId="0905E246" w14:textId="77777777" w:rsidR="00432315" w:rsidRDefault="00432315" w:rsidP="00432315">
      <w:pPr>
        <w:pStyle w:val="BodytextAgency"/>
      </w:pPr>
    </w:p>
    <w:p w14:paraId="7C5EDED0" w14:textId="5FD035FF" w:rsidR="00432315" w:rsidRPr="00E92F17" w:rsidRDefault="002375B5" w:rsidP="00432315">
      <w:pPr>
        <w:pStyle w:val="BodytextAgency"/>
      </w:pPr>
      <w:r>
        <w:t xml:space="preserve">This paper analysis </w:t>
      </w:r>
      <w:r w:rsidR="00991210">
        <w:t xml:space="preserve">the use of the estimands framework in trials discussed in initial or follow-up advice in 2022. For this timeframe, 111 scientific advice letters were </w:t>
      </w:r>
      <w:r w:rsidR="00BE46EA">
        <w:t>identified. 11 follow-up advice</w:t>
      </w:r>
      <w:r w:rsidR="001246B0">
        <w:t xml:space="preserve"> letters</w:t>
      </w:r>
      <w:r w:rsidR="00BE46EA">
        <w:t xml:space="preserve"> were </w:t>
      </w:r>
      <w:r w:rsidR="001246FF">
        <w:t xml:space="preserve">issued </w:t>
      </w:r>
      <w:r w:rsidR="00136FF8">
        <w:t xml:space="preserve">in 2022 for </w:t>
      </w:r>
      <w:r w:rsidR="00BE46EA">
        <w:t xml:space="preserve">initial </w:t>
      </w:r>
      <w:r w:rsidR="003A2804">
        <w:t>advice</w:t>
      </w:r>
      <w:r w:rsidR="00BE46EA">
        <w:t xml:space="preserve"> </w:t>
      </w:r>
      <w:r w:rsidR="00136FF8">
        <w:t>that</w:t>
      </w:r>
      <w:r w:rsidR="003A2804">
        <w:t xml:space="preserve"> was</w:t>
      </w:r>
      <w:r w:rsidR="00136FF8">
        <w:t xml:space="preserve"> also issued </w:t>
      </w:r>
      <w:r w:rsidR="00BE46EA">
        <w:t xml:space="preserve">in 2022. </w:t>
      </w:r>
      <w:r w:rsidR="00991210">
        <w:t xml:space="preserve">To avoid double-counting of trials </w:t>
      </w:r>
      <w:r w:rsidR="00BE46EA">
        <w:t xml:space="preserve">discussed both in the initial and follow-up advice, only the </w:t>
      </w:r>
      <w:r w:rsidR="00625B7C">
        <w:t xml:space="preserve">cases with the more detailed discussion of the clinical trials were included. Therefore, the overall number of trials in the figures below is 145 trials identified overall minus 12 trials from 11 duplicate procedures = 133 unique trials discussed by developers and CHMP. </w:t>
      </w:r>
      <w:r w:rsidR="00A709B1">
        <w:t xml:space="preserve">These trials are the basis for the sensitivity analyses of </w:t>
      </w:r>
      <w:r w:rsidR="00D35602">
        <w:t>using</w:t>
      </w:r>
      <w:r w:rsidR="00A709B1">
        <w:t xml:space="preserve"> / recommendation to </w:t>
      </w:r>
      <w:r w:rsidR="00D35602">
        <w:t xml:space="preserve">using the estimands framework in the supplementary figures below. </w:t>
      </w:r>
    </w:p>
    <w:p w14:paraId="5E96C327" w14:textId="2D78B60B" w:rsidR="00432315" w:rsidRDefault="004F73C8" w:rsidP="00432315">
      <w:pPr>
        <w:pStyle w:val="BodytextAgency"/>
        <w:keepNext/>
      </w:pPr>
      <w:r>
        <w:rPr>
          <w:noProof/>
        </w:rPr>
        <w:lastRenderedPageBreak/>
        <w:drawing>
          <wp:inline distT="0" distB="0" distL="0" distR="0" wp14:anchorId="65EC8004" wp14:editId="534C63AF">
            <wp:extent cx="4201086" cy="4201086"/>
            <wp:effectExtent l="0" t="0" r="9525" b="9525"/>
            <wp:docPr id="124949664" name="Picture 2" descr="A graph with red and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9664" name="Picture 2" descr="A graph with red and green bar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09187" cy="4209187"/>
                    </a:xfrm>
                    <a:prstGeom prst="rect">
                      <a:avLst/>
                    </a:prstGeom>
                    <a:noFill/>
                    <a:ln>
                      <a:noFill/>
                    </a:ln>
                  </pic:spPr>
                </pic:pic>
              </a:graphicData>
            </a:graphic>
          </wp:inline>
        </w:drawing>
      </w:r>
      <w:r w:rsidR="00432315">
        <w:rPr>
          <w:noProof/>
        </w:rPr>
        <w:drawing>
          <wp:inline distT="0" distB="0" distL="0" distR="0" wp14:anchorId="1051B95D" wp14:editId="0AEC88A2">
            <wp:extent cx="3890645" cy="3890645"/>
            <wp:effectExtent l="0" t="0" r="0" b="0"/>
            <wp:docPr id="628311418" name="Picture 628311418" descr="A green and red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red bar graph&#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0645" cy="3890645"/>
                    </a:xfrm>
                    <a:prstGeom prst="rect">
                      <a:avLst/>
                    </a:prstGeom>
                    <a:noFill/>
                    <a:ln>
                      <a:noFill/>
                    </a:ln>
                  </pic:spPr>
                </pic:pic>
              </a:graphicData>
            </a:graphic>
          </wp:inline>
        </w:drawing>
      </w:r>
    </w:p>
    <w:p w14:paraId="58C99718" w14:textId="1FC20149" w:rsidR="00432315" w:rsidRDefault="00432315" w:rsidP="00432315">
      <w:pPr>
        <w:pStyle w:val="Caption"/>
      </w:pPr>
      <w:r>
        <w:t xml:space="preserve">Supplemental Figure </w:t>
      </w:r>
      <w:r w:rsidRPr="00230B6D">
        <w:fldChar w:fldCharType="begin"/>
      </w:r>
      <w:r>
        <w:instrText xml:space="preserve"> SEQ Supplemental_Figure \* ARABIC </w:instrText>
      </w:r>
      <w:r w:rsidRPr="00230B6D">
        <w:fldChar w:fldCharType="separate"/>
      </w:r>
      <w:r>
        <w:rPr>
          <w:noProof/>
        </w:rPr>
        <w:t>1</w:t>
      </w:r>
      <w:r w:rsidRPr="00230B6D">
        <w:fldChar w:fldCharType="end"/>
      </w:r>
      <w:r>
        <w:t xml:space="preserve">. </w:t>
      </w:r>
      <w:r w:rsidR="000D2B24">
        <w:t xml:space="preserve">Number of clinical trials discussed as part of </w:t>
      </w:r>
      <w:r w:rsidRPr="00B401D7">
        <w:t xml:space="preserve">initial </w:t>
      </w:r>
      <w:r>
        <w:t xml:space="preserve">scientific advice or </w:t>
      </w:r>
      <w:r w:rsidRPr="00B401D7">
        <w:t>follow-up advice</w:t>
      </w:r>
      <w:r w:rsidR="00D94663">
        <w:t xml:space="preserve"> for which </w:t>
      </w:r>
      <w:r w:rsidR="0047024D">
        <w:t>the developer used or did not use the estimands framework.</w:t>
      </w:r>
    </w:p>
    <w:p w14:paraId="48B64B16" w14:textId="1BD843F6" w:rsidR="00432315" w:rsidRDefault="004F73C8" w:rsidP="00432315">
      <w:pPr>
        <w:pStyle w:val="BodytextAgency"/>
        <w:keepNext/>
      </w:pPr>
      <w:r>
        <w:rPr>
          <w:noProof/>
        </w:rPr>
        <w:lastRenderedPageBreak/>
        <w:drawing>
          <wp:inline distT="0" distB="0" distL="0" distR="0" wp14:anchorId="52B3EAFD" wp14:editId="0AD33658">
            <wp:extent cx="3790765" cy="3790765"/>
            <wp:effectExtent l="0" t="0" r="635" b="635"/>
            <wp:docPr id="1484050495" name="Picture 1" descr="A graph with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50495" name="Picture 1" descr="A graph with blue and orange ba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9760" cy="3799760"/>
                    </a:xfrm>
                    <a:prstGeom prst="rect">
                      <a:avLst/>
                    </a:prstGeom>
                    <a:noFill/>
                    <a:ln>
                      <a:noFill/>
                    </a:ln>
                  </pic:spPr>
                </pic:pic>
              </a:graphicData>
            </a:graphic>
          </wp:inline>
        </w:drawing>
      </w:r>
      <w:r w:rsidR="00432315">
        <w:rPr>
          <w:noProof/>
        </w:rPr>
        <w:drawing>
          <wp:inline distT="0" distB="0" distL="0" distR="0" wp14:anchorId="17A95200" wp14:editId="55BB99B9">
            <wp:extent cx="3267075" cy="3267075"/>
            <wp:effectExtent l="0" t="0" r="9525" b="9525"/>
            <wp:docPr id="5" name="Picture 5" descr="A red and green bar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green bar graph&#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075" cy="3267075"/>
                    </a:xfrm>
                    <a:prstGeom prst="rect">
                      <a:avLst/>
                    </a:prstGeom>
                    <a:noFill/>
                    <a:ln>
                      <a:noFill/>
                    </a:ln>
                  </pic:spPr>
                </pic:pic>
              </a:graphicData>
            </a:graphic>
          </wp:inline>
        </w:drawing>
      </w:r>
    </w:p>
    <w:p w14:paraId="146B5CE4" w14:textId="3DEF1210" w:rsidR="00432315" w:rsidRDefault="00432315" w:rsidP="00432315">
      <w:r w:rsidRPr="00B5362E">
        <w:rPr>
          <w:i/>
          <w:iCs/>
        </w:rPr>
        <w:t xml:space="preserve">Supplemental </w:t>
      </w:r>
      <w:r w:rsidRPr="000964D6">
        <w:t>Figure</w:t>
      </w:r>
      <w:r w:rsidRPr="00B5362E">
        <w:rPr>
          <w:i/>
          <w:iCs/>
        </w:rPr>
        <w:t xml:space="preserve"> </w:t>
      </w:r>
      <w:r>
        <w:rPr>
          <w:i/>
        </w:rPr>
        <w:t>2</w:t>
      </w:r>
      <w:r w:rsidRPr="00B5362E">
        <w:rPr>
          <w:i/>
          <w:iCs/>
        </w:rPr>
        <w:t xml:space="preserve">. </w:t>
      </w:r>
      <w:r>
        <w:rPr>
          <w:i/>
        </w:rPr>
        <w:t xml:space="preserve">EMA recommendation to </w:t>
      </w:r>
      <w:r w:rsidRPr="00CA6FAA">
        <w:t>use</w:t>
      </w:r>
      <w:r>
        <w:t xml:space="preserve"> </w:t>
      </w:r>
      <w:r w:rsidRPr="00CA6FAA">
        <w:t>the estimands</w:t>
      </w:r>
      <w:r>
        <w:t xml:space="preserve"> framework when drug developers had not used the </w:t>
      </w:r>
      <w:r w:rsidRPr="00CA6FAA">
        <w:t>framework</w:t>
      </w:r>
      <w:r>
        <w:t xml:space="preserve"> </w:t>
      </w:r>
      <w:r w:rsidR="0047024D">
        <w:t xml:space="preserve">for clinical trials discussed </w:t>
      </w:r>
      <w:r w:rsidR="007841F1">
        <w:t xml:space="preserve">for </w:t>
      </w:r>
      <w:r w:rsidRPr="00CA6FAA">
        <w:t xml:space="preserve">initial </w:t>
      </w:r>
      <w:r>
        <w:t>scientific advice or</w:t>
      </w:r>
      <w:r w:rsidRPr="00CA6FAA">
        <w:t xml:space="preserve"> follow-up advice</w:t>
      </w:r>
      <w:r>
        <w:t>.</w:t>
      </w:r>
    </w:p>
    <w:p w14:paraId="75D75EC2" w14:textId="77777777" w:rsidR="00432315" w:rsidRDefault="00432315" w:rsidP="00432315">
      <w:r>
        <w:rPr>
          <w:noProof/>
        </w:rPr>
        <w:lastRenderedPageBreak/>
        <w:drawing>
          <wp:inline distT="0" distB="0" distL="0" distR="0" wp14:anchorId="1905323D" wp14:editId="77651471">
            <wp:extent cx="5976620" cy="5578475"/>
            <wp:effectExtent l="0" t="0" r="5080" b="3175"/>
            <wp:docPr id="16" name="Picture 16"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 scree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6620" cy="5578475"/>
                    </a:xfrm>
                    <a:prstGeom prst="rect">
                      <a:avLst/>
                    </a:prstGeom>
                    <a:noFill/>
                    <a:ln>
                      <a:noFill/>
                    </a:ln>
                  </pic:spPr>
                </pic:pic>
              </a:graphicData>
            </a:graphic>
          </wp:inline>
        </w:drawing>
      </w:r>
    </w:p>
    <w:p w14:paraId="625B20B3" w14:textId="77777777" w:rsidR="00432315" w:rsidRDefault="00432315" w:rsidP="00432315"/>
    <w:p w14:paraId="5D026657" w14:textId="77777777" w:rsidR="00432315" w:rsidRDefault="00432315" w:rsidP="00432315">
      <w:pPr>
        <w:pStyle w:val="Caption"/>
      </w:pPr>
      <w:r>
        <w:t xml:space="preserve">Supplemental Figure </w:t>
      </w:r>
      <w:r w:rsidR="00426A12">
        <w:fldChar w:fldCharType="begin"/>
      </w:r>
      <w:r w:rsidR="00426A12">
        <w:instrText xml:space="preserve"> SEQ Supplemental_Figure \* ARABIC </w:instrText>
      </w:r>
      <w:r w:rsidR="00426A12">
        <w:fldChar w:fldCharType="separate"/>
      </w:r>
      <w:r>
        <w:rPr>
          <w:noProof/>
        </w:rPr>
        <w:t>3</w:t>
      </w:r>
      <w:r w:rsidR="00426A12">
        <w:rPr>
          <w:noProof/>
        </w:rPr>
        <w:fldChar w:fldCharType="end"/>
      </w:r>
      <w:r>
        <w:t>. Strategies for handling ‘death’ proposed by the developers and recommended by EMA.</w:t>
      </w:r>
      <w:r w:rsidRPr="00D46A80">
        <w:t xml:space="preserve"> </w:t>
      </w:r>
      <w:r>
        <w:t>Each line in the alluvial plot corresponds to a single intercurrent event and connects the strategy proposed by the developer to the strategy recommended by EMA.</w:t>
      </w:r>
    </w:p>
    <w:p w14:paraId="401D065A" w14:textId="77777777" w:rsidR="00432315" w:rsidRDefault="00432315" w:rsidP="00432315">
      <w:r>
        <w:rPr>
          <w:noProof/>
        </w:rPr>
        <w:lastRenderedPageBreak/>
        <w:drawing>
          <wp:inline distT="0" distB="0" distL="0" distR="0" wp14:anchorId="7BCE1B6C" wp14:editId="2CFEFF7D">
            <wp:extent cx="5976620" cy="5578475"/>
            <wp:effectExtent l="0" t="0" r="5080" b="3175"/>
            <wp:docPr id="17" name="Picture 17"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a company&#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6620" cy="5578475"/>
                    </a:xfrm>
                    <a:prstGeom prst="rect">
                      <a:avLst/>
                    </a:prstGeom>
                    <a:noFill/>
                    <a:ln>
                      <a:noFill/>
                    </a:ln>
                  </pic:spPr>
                </pic:pic>
              </a:graphicData>
            </a:graphic>
          </wp:inline>
        </w:drawing>
      </w:r>
    </w:p>
    <w:p w14:paraId="34897001" w14:textId="77777777" w:rsidR="00432315" w:rsidRDefault="00432315" w:rsidP="00432315"/>
    <w:p w14:paraId="179AB0E1" w14:textId="5AC1F860" w:rsidR="00432315" w:rsidRDefault="00432315" w:rsidP="00432315">
      <w:pPr>
        <w:pStyle w:val="Caption"/>
      </w:pPr>
      <w:r>
        <w:t xml:space="preserve">Supplemental Figure </w:t>
      </w:r>
      <w:r w:rsidR="00DE60DE">
        <w:t>4</w:t>
      </w:r>
      <w:r>
        <w:t>. Strategies for handling ‘non-adherence’ proposed by the developers and recommended by EMA.</w:t>
      </w:r>
      <w:r w:rsidRPr="00D46A80">
        <w:t xml:space="preserve"> </w:t>
      </w:r>
      <w:r>
        <w:t>Each line in the alluvial plot corresponds to a single intercurrent event and connects the strategy proposed by the developer to the strategy recommended by EMA.</w:t>
      </w:r>
    </w:p>
    <w:p w14:paraId="498B882E" w14:textId="77777777" w:rsidR="00432315" w:rsidRDefault="00432315" w:rsidP="00432315">
      <w:pPr>
        <w:pStyle w:val="BodytextAgency"/>
        <w:spacing w:line="480" w:lineRule="auto"/>
      </w:pPr>
    </w:p>
    <w:p w14:paraId="3CB17D22" w14:textId="77777777" w:rsidR="00753A91" w:rsidRDefault="00753A91"/>
    <w:sectPr w:rsidR="00753A91" w:rsidSect="00432315">
      <w:footerReference w:type="default" r:id="rId14"/>
      <w:pgSz w:w="11906" w:h="16838" w:code="9"/>
      <w:pgMar w:top="1418" w:right="1247" w:bottom="1418" w:left="1247" w:header="284" w:footer="680" w:gutter="0"/>
      <w:lnNumType w:countBy="1" w:restart="continuous"/>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5CC85B" w14:textId="77777777" w:rsidR="00C14333" w:rsidRDefault="00C14333" w:rsidP="00B81056">
      <w:r>
        <w:separator/>
      </w:r>
    </w:p>
  </w:endnote>
  <w:endnote w:type="continuationSeparator" w:id="0">
    <w:p w14:paraId="4451BCD8" w14:textId="77777777" w:rsidR="00C14333" w:rsidRDefault="00C14333" w:rsidP="00B8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C00B6" w14:textId="77777777" w:rsidR="00432315" w:rsidRDefault="00432315">
    <w:pPr>
      <w:pStyle w:val="Footer"/>
      <w:jc w:val="right"/>
    </w:pPr>
  </w:p>
  <w:p w14:paraId="2F842BCC" w14:textId="77777777" w:rsidR="00432315" w:rsidRDefault="00432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FDF9F" w14:textId="77777777" w:rsidR="00C14333" w:rsidRDefault="00C14333" w:rsidP="00B81056">
      <w:r>
        <w:separator/>
      </w:r>
    </w:p>
  </w:footnote>
  <w:footnote w:type="continuationSeparator" w:id="0">
    <w:p w14:paraId="430AE531" w14:textId="77777777" w:rsidR="00C14333" w:rsidRDefault="00C14333" w:rsidP="00B81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2"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5" w15:restartNumberingAfterBreak="0">
    <w:nsid w:val="34097EA6"/>
    <w:multiLevelType w:val="multilevel"/>
    <w:tmpl w:val="120CDCCE"/>
    <w:lvl w:ilvl="0">
      <w:start w:val="3"/>
      <w:numFmt w:val="decimal"/>
      <w:lvlText w:val="%1"/>
      <w:lvlJc w:val="left"/>
      <w:pPr>
        <w:ind w:left="525" w:hanging="525"/>
      </w:pPr>
      <w:rPr>
        <w:rFonts w:hint="default"/>
      </w:rPr>
    </w:lvl>
    <w:lvl w:ilvl="1">
      <w:start w:val="4"/>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18B083E"/>
    <w:multiLevelType w:val="hybridMultilevel"/>
    <w:tmpl w:val="E318B0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8" w15:restartNumberingAfterBreak="0">
    <w:nsid w:val="658C02A1"/>
    <w:multiLevelType w:val="singleLevel"/>
    <w:tmpl w:val="E7D22186"/>
    <w:lvl w:ilvl="0">
      <w:start w:val="1"/>
      <w:numFmt w:val="upperRoman"/>
      <w:lvlText w:val="%1."/>
      <w:lvlJc w:val="left"/>
      <w:pPr>
        <w:tabs>
          <w:tab w:val="num" w:pos="720"/>
        </w:tabs>
        <w:ind w:left="360" w:hanging="360"/>
      </w:pPr>
    </w:lvl>
  </w:abstractNum>
  <w:num w:numId="1" w16cid:durableId="231740026">
    <w:abstractNumId w:val="0"/>
  </w:num>
  <w:num w:numId="2" w16cid:durableId="1712147825">
    <w:abstractNumId w:val="8"/>
  </w:num>
  <w:num w:numId="3" w16cid:durableId="1078283088">
    <w:abstractNumId w:val="1"/>
  </w:num>
  <w:num w:numId="4" w16cid:durableId="983047431">
    <w:abstractNumId w:val="3"/>
  </w:num>
  <w:num w:numId="5" w16cid:durableId="405343227">
    <w:abstractNumId w:val="7"/>
  </w:num>
  <w:num w:numId="6" w16cid:durableId="1894266034">
    <w:abstractNumId w:val="7"/>
  </w:num>
  <w:num w:numId="7" w16cid:durableId="603155135">
    <w:abstractNumId w:val="7"/>
  </w:num>
  <w:num w:numId="8" w16cid:durableId="1811627005">
    <w:abstractNumId w:val="7"/>
  </w:num>
  <w:num w:numId="9" w16cid:durableId="1641227469">
    <w:abstractNumId w:val="7"/>
  </w:num>
  <w:num w:numId="10" w16cid:durableId="877208838">
    <w:abstractNumId w:val="7"/>
  </w:num>
  <w:num w:numId="11" w16cid:durableId="679622764">
    <w:abstractNumId w:val="7"/>
  </w:num>
  <w:num w:numId="12" w16cid:durableId="1599556033">
    <w:abstractNumId w:val="7"/>
  </w:num>
  <w:num w:numId="13" w16cid:durableId="2066445355">
    <w:abstractNumId w:val="7"/>
  </w:num>
  <w:num w:numId="14" w16cid:durableId="508061293">
    <w:abstractNumId w:val="4"/>
  </w:num>
  <w:num w:numId="15" w16cid:durableId="179510175">
    <w:abstractNumId w:val="2"/>
  </w:num>
  <w:num w:numId="16" w16cid:durableId="794298658">
    <w:abstractNumId w:val="6"/>
  </w:num>
  <w:num w:numId="17" w16cid:durableId="792752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432315"/>
    <w:rsid w:val="00005701"/>
    <w:rsid w:val="00056E40"/>
    <w:rsid w:val="00057352"/>
    <w:rsid w:val="000D2B24"/>
    <w:rsid w:val="001246B0"/>
    <w:rsid w:val="001246FF"/>
    <w:rsid w:val="00136FF8"/>
    <w:rsid w:val="00195347"/>
    <w:rsid w:val="001F6449"/>
    <w:rsid w:val="00204783"/>
    <w:rsid w:val="00232AF7"/>
    <w:rsid w:val="002375B5"/>
    <w:rsid w:val="0033636B"/>
    <w:rsid w:val="00357177"/>
    <w:rsid w:val="00393C11"/>
    <w:rsid w:val="003A27D5"/>
    <w:rsid w:val="003A2804"/>
    <w:rsid w:val="00426A12"/>
    <w:rsid w:val="00432315"/>
    <w:rsid w:val="0047024D"/>
    <w:rsid w:val="004714FD"/>
    <w:rsid w:val="004A447E"/>
    <w:rsid w:val="004A4FE1"/>
    <w:rsid w:val="004B2060"/>
    <w:rsid w:val="004F73C8"/>
    <w:rsid w:val="005046D1"/>
    <w:rsid w:val="00625B7C"/>
    <w:rsid w:val="0062735A"/>
    <w:rsid w:val="006505E1"/>
    <w:rsid w:val="00753A91"/>
    <w:rsid w:val="00782C9D"/>
    <w:rsid w:val="007841F1"/>
    <w:rsid w:val="007E7811"/>
    <w:rsid w:val="0080301F"/>
    <w:rsid w:val="00856FB7"/>
    <w:rsid w:val="0096738B"/>
    <w:rsid w:val="00991210"/>
    <w:rsid w:val="00A709B1"/>
    <w:rsid w:val="00AC2E8D"/>
    <w:rsid w:val="00B07B7B"/>
    <w:rsid w:val="00B60E9D"/>
    <w:rsid w:val="00B74D0A"/>
    <w:rsid w:val="00B81056"/>
    <w:rsid w:val="00BE46EA"/>
    <w:rsid w:val="00C023F0"/>
    <w:rsid w:val="00C14333"/>
    <w:rsid w:val="00C3004E"/>
    <w:rsid w:val="00C571B2"/>
    <w:rsid w:val="00C73CCA"/>
    <w:rsid w:val="00CA4B5A"/>
    <w:rsid w:val="00D14BDD"/>
    <w:rsid w:val="00D35602"/>
    <w:rsid w:val="00D35A58"/>
    <w:rsid w:val="00D76E91"/>
    <w:rsid w:val="00D94663"/>
    <w:rsid w:val="00DC612F"/>
    <w:rsid w:val="00DE60DE"/>
    <w:rsid w:val="00DF3FD5"/>
    <w:rsid w:val="00E14B94"/>
    <w:rsid w:val="00E36A82"/>
    <w:rsid w:val="00E558DA"/>
    <w:rsid w:val="00E82569"/>
    <w:rsid w:val="00ED368C"/>
    <w:rsid w:val="00F4322F"/>
    <w:rsid w:val="00F97C55"/>
    <w:rsid w:val="00FA5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FC770"/>
  <w15:chartTrackingRefBased/>
  <w15:docId w15:val="{3F78D3A2-95CE-4442-ABA7-B64B2C54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2315"/>
    <w:rPr>
      <w:rFonts w:ascii="Verdana" w:hAnsi="Verdana"/>
      <w:sz w:val="18"/>
      <w:lang w:eastAsia="zh-CN"/>
    </w:rPr>
  </w:style>
  <w:style w:type="paragraph" w:styleId="Heading1">
    <w:name w:val="heading 1"/>
    <w:basedOn w:val="Normal"/>
    <w:next w:val="Normal"/>
    <w:link w:val="Heading1Char"/>
    <w:uiPriority w:val="9"/>
    <w:qFormat/>
    <w:rsid w:val="00432315"/>
    <w:pPr>
      <w:keepNext/>
      <w:keepLines/>
      <w:spacing w:before="240" w:line="259" w:lineRule="auto"/>
      <w:outlineLvl w:val="0"/>
    </w:pPr>
    <w:rPr>
      <w:rFonts w:asciiTheme="majorHAnsi" w:eastAsiaTheme="majorEastAsia" w:hAnsiTheme="majorHAnsi" w:cstheme="majorBidi"/>
      <w:color w:val="365F9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1056"/>
    <w:pPr>
      <w:tabs>
        <w:tab w:val="center" w:pos="4513"/>
        <w:tab w:val="right" w:pos="9026"/>
      </w:tabs>
    </w:pPr>
  </w:style>
  <w:style w:type="character" w:customStyle="1" w:styleId="HeaderChar">
    <w:name w:val="Header Char"/>
    <w:link w:val="Header"/>
    <w:rsid w:val="00B81056"/>
    <w:rPr>
      <w:sz w:val="22"/>
      <w:lang w:eastAsia="zh-CN"/>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customStyle="1" w:styleId="BodytextAgency">
    <w:name w:val="Body text (Agency)"/>
    <w:basedOn w:val="Normal"/>
    <w:qFormat/>
    <w:rsid w:val="00D35A58"/>
    <w:pPr>
      <w:spacing w:after="140" w:line="280" w:lineRule="atLeast"/>
    </w:pPr>
    <w:rPr>
      <w:rFonts w:eastAsia="Verdana" w:cs="Verdana"/>
      <w:szCs w:val="18"/>
      <w:lang w:eastAsia="en-GB"/>
    </w:rPr>
  </w:style>
  <w:style w:type="numbering" w:customStyle="1" w:styleId="BulletsAgency">
    <w:name w:val="Bullets (Agency)"/>
    <w:basedOn w:val="NoList"/>
    <w:rsid w:val="00D35A58"/>
    <w:pPr>
      <w:numPr>
        <w:numId w:val="3"/>
      </w:numPr>
    </w:pPr>
  </w:style>
  <w:style w:type="paragraph" w:customStyle="1" w:styleId="DisclaimerAgency">
    <w:name w:val="Disclaimer (Agency)"/>
    <w:basedOn w:val="Normal"/>
    <w:semiHidden/>
    <w:rsid w:val="00D35A58"/>
    <w:pPr>
      <w:tabs>
        <w:tab w:val="center" w:pos="4320"/>
        <w:tab w:val="right" w:pos="8640"/>
      </w:tabs>
      <w:spacing w:after="57" w:line="150" w:lineRule="exact"/>
    </w:pPr>
    <w:rPr>
      <w:rFonts w:eastAsia="Verdana" w:cs="Verdana"/>
      <w:snapToGrid w:val="0"/>
      <w:color w:val="6D6F71"/>
      <w:sz w:val="13"/>
      <w:szCs w:val="13"/>
      <w:lang w:eastAsia="en-GB"/>
    </w:rPr>
  </w:style>
  <w:style w:type="paragraph" w:customStyle="1" w:styleId="DoccategoryheadingAgency">
    <w:name w:val="Doc category heading (Agency)"/>
    <w:next w:val="BodytextAgency"/>
    <w:qFormat/>
    <w:rsid w:val="00D35A58"/>
    <w:pPr>
      <w:keepNext/>
      <w:pBdr>
        <w:bottom w:val="single" w:sz="4" w:space="1" w:color="auto"/>
      </w:pBdr>
      <w:spacing w:before="567"/>
    </w:pPr>
    <w:rPr>
      <w:rFonts w:ascii="Verdana" w:eastAsia="Verdana" w:hAnsi="Verdana" w:cs="Verdana"/>
      <w:b/>
      <w:color w:val="003399"/>
      <w:sz w:val="18"/>
      <w:szCs w:val="18"/>
      <w:lang w:eastAsia="en-GB"/>
    </w:rPr>
  </w:style>
  <w:style w:type="paragraph" w:customStyle="1" w:styleId="DocsubtitleAgency">
    <w:name w:val="Doc subtitle (Agency)"/>
    <w:basedOn w:val="Normal"/>
    <w:next w:val="BodytextAgency"/>
    <w:qFormat/>
    <w:rsid w:val="00D35A58"/>
    <w:pPr>
      <w:spacing w:after="640" w:line="360" w:lineRule="atLeast"/>
    </w:pPr>
    <w:rPr>
      <w:rFonts w:eastAsia="Verdana" w:cs="Verdana"/>
      <w:sz w:val="24"/>
      <w:szCs w:val="24"/>
      <w:lang w:eastAsia="en-GB"/>
    </w:rPr>
  </w:style>
  <w:style w:type="paragraph" w:customStyle="1" w:styleId="DoctitleAgency">
    <w:name w:val="Doc title (Agency)"/>
    <w:basedOn w:val="Normal"/>
    <w:next w:val="DocsubtitleAgency"/>
    <w:qFormat/>
    <w:rsid w:val="00D35A58"/>
    <w:pPr>
      <w:spacing w:before="720" w:line="360" w:lineRule="atLeast"/>
    </w:pPr>
    <w:rPr>
      <w:rFonts w:eastAsia="Verdana" w:cs="Verdana"/>
      <w:color w:val="003399"/>
      <w:sz w:val="32"/>
      <w:szCs w:val="32"/>
      <w:lang w:eastAsia="en-GB"/>
    </w:rPr>
  </w:style>
  <w:style w:type="paragraph" w:customStyle="1" w:styleId="DraftingNotesAgency">
    <w:name w:val="Drafting Notes (Agency)"/>
    <w:basedOn w:val="Normal"/>
    <w:next w:val="BodytextAgency"/>
    <w:qFormat/>
    <w:rsid w:val="00D35A58"/>
    <w:pPr>
      <w:spacing w:after="140" w:line="280" w:lineRule="atLeast"/>
    </w:pPr>
    <w:rPr>
      <w:rFonts w:ascii="Courier New" w:eastAsia="Verdana" w:hAnsi="Courier New"/>
      <w:i/>
      <w:color w:val="339966"/>
      <w:szCs w:val="18"/>
      <w:lang w:eastAsia="en-GB"/>
    </w:rPr>
  </w:style>
  <w:style w:type="character" w:customStyle="1" w:styleId="EndnotereferenceAgency">
    <w:name w:val="Endnote reference (Agency)"/>
    <w:semiHidden/>
    <w:rsid w:val="00D35A58"/>
    <w:rPr>
      <w:rFonts w:ascii="Verdana" w:hAnsi="Verdana"/>
      <w:vertAlign w:val="superscript"/>
    </w:rPr>
  </w:style>
  <w:style w:type="paragraph" w:customStyle="1" w:styleId="EndnotetextAgency">
    <w:name w:val="Endnote text (Agency)"/>
    <w:basedOn w:val="Normal"/>
    <w:semiHidden/>
    <w:rsid w:val="00D35A58"/>
    <w:rPr>
      <w:rFonts w:eastAsia="Verdana" w:cs="Verdana"/>
      <w:sz w:val="15"/>
      <w:szCs w:val="18"/>
      <w:lang w:eastAsia="en-GB"/>
    </w:rPr>
  </w:style>
  <w:style w:type="paragraph" w:customStyle="1" w:styleId="FigureAgency">
    <w:name w:val="Figure (Agency)"/>
    <w:basedOn w:val="Normal"/>
    <w:next w:val="BodytextAgency"/>
    <w:semiHidden/>
    <w:rsid w:val="00D35A58"/>
    <w:pPr>
      <w:jc w:val="center"/>
    </w:pPr>
    <w:rPr>
      <w:rFonts w:cs="Verdana"/>
      <w:szCs w:val="18"/>
    </w:rPr>
  </w:style>
  <w:style w:type="paragraph" w:customStyle="1" w:styleId="FigureheadingAgency">
    <w:name w:val="Figure heading (Agency)"/>
    <w:basedOn w:val="Normal"/>
    <w:next w:val="FigureAgency"/>
    <w:semiHidden/>
    <w:rsid w:val="00D35A58"/>
    <w:pPr>
      <w:keepNext/>
      <w:numPr>
        <w:numId w:val="4"/>
      </w:numPr>
      <w:spacing w:before="240" w:after="120"/>
    </w:pPr>
    <w:rPr>
      <w:rFonts w:cs="Verdana"/>
      <w:szCs w:val="18"/>
    </w:rPr>
  </w:style>
  <w:style w:type="paragraph" w:customStyle="1" w:styleId="FooterAgency">
    <w:name w:val="Footer (Agency)"/>
    <w:basedOn w:val="Normal"/>
    <w:link w:val="FooterAgencyCharChar"/>
    <w:rsid w:val="00B81056"/>
    <w:rPr>
      <w:rFonts w:eastAsia="Verdana" w:cs="Verdana"/>
      <w:color w:val="6D6F71"/>
      <w:sz w:val="14"/>
      <w:szCs w:val="14"/>
      <w:lang w:eastAsia="en-GB"/>
    </w:rPr>
  </w:style>
  <w:style w:type="character" w:customStyle="1" w:styleId="FooterAgencyCharChar">
    <w:name w:val="Footer (Agency) Char Char"/>
    <w:link w:val="FooterAgency"/>
    <w:rsid w:val="00B81056"/>
    <w:rPr>
      <w:rFonts w:ascii="Verdana" w:eastAsia="Verdana" w:hAnsi="Verdana" w:cs="Verdana"/>
      <w:color w:val="6D6F71"/>
      <w:sz w:val="14"/>
      <w:szCs w:val="14"/>
    </w:rPr>
  </w:style>
  <w:style w:type="paragraph" w:customStyle="1" w:styleId="FooterblueAgency">
    <w:name w:val="Footer blue (Agency)"/>
    <w:basedOn w:val="Normal"/>
    <w:link w:val="FooterblueAgencyCharChar"/>
    <w:semiHidden/>
    <w:rsid w:val="00D35A58"/>
    <w:rPr>
      <w:rFonts w:eastAsia="Verdana" w:cs="Verdana"/>
      <w:b/>
      <w:color w:val="003399"/>
      <w:sz w:val="13"/>
      <w:szCs w:val="14"/>
      <w:lang w:eastAsia="en-GB"/>
    </w:rPr>
  </w:style>
  <w:style w:type="character" w:customStyle="1" w:styleId="FooterblueAgencyCharChar">
    <w:name w:val="Footer blue (Agency) Char Char"/>
    <w:link w:val="FooterblueAgency"/>
    <w:semiHidden/>
    <w:rsid w:val="00D35A58"/>
    <w:rPr>
      <w:rFonts w:ascii="Verdana" w:eastAsia="Verdana" w:hAnsi="Verdana" w:cs="Verdana"/>
      <w:b/>
      <w:color w:val="003399"/>
      <w:sz w:val="13"/>
      <w:szCs w:val="14"/>
    </w:rPr>
  </w:style>
  <w:style w:type="table" w:customStyle="1" w:styleId="FootertableAgency">
    <w:name w:val="Footer table (Agency)"/>
    <w:basedOn w:val="TableNormal"/>
    <w:semiHidden/>
    <w:rsid w:val="00D35A58"/>
    <w:rPr>
      <w:rFonts w:ascii="Verdana" w:hAnsi="Verdana"/>
    </w:rPr>
    <w:tblPr/>
    <w:tcPr>
      <w:shd w:val="clear" w:color="auto" w:fill="auto"/>
      <w:tcMar>
        <w:left w:w="0" w:type="dxa"/>
        <w:right w:w="0" w:type="dxa"/>
      </w:tcMar>
    </w:tcPr>
    <w:tblStylePr w:type="firstRow">
      <w:rPr>
        <w:rFonts w:ascii="Tahoma" w:hAnsi="Tahom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notereferenceAgency">
    <w:name w:val="Footnote reference (Agency)"/>
    <w:semiHidden/>
    <w:rsid w:val="00D35A58"/>
    <w:rPr>
      <w:rFonts w:ascii="Verdana" w:hAnsi="Verdana"/>
      <w:color w:val="auto"/>
      <w:vertAlign w:val="superscript"/>
    </w:rPr>
  </w:style>
  <w:style w:type="paragraph" w:customStyle="1" w:styleId="FootnotetextAgency">
    <w:name w:val="Footnote text (Agency)"/>
    <w:basedOn w:val="Normal"/>
    <w:semiHidden/>
    <w:rsid w:val="00D35A58"/>
    <w:rPr>
      <w:rFonts w:eastAsia="Verdana" w:cs="Verdana"/>
      <w:sz w:val="15"/>
      <w:szCs w:val="18"/>
      <w:lang w:eastAsia="en-GB"/>
    </w:rPr>
  </w:style>
  <w:style w:type="paragraph" w:customStyle="1" w:styleId="HeaderAgency">
    <w:name w:val="Header (Agency)"/>
    <w:basedOn w:val="FooterAgency"/>
    <w:semiHidden/>
    <w:rsid w:val="00D35A58"/>
  </w:style>
  <w:style w:type="paragraph" w:customStyle="1" w:styleId="Heading1Agency">
    <w:name w:val="Heading 1 (Agency)"/>
    <w:basedOn w:val="Normal"/>
    <w:next w:val="BodytextAgency"/>
    <w:qFormat/>
    <w:rsid w:val="00D35A58"/>
    <w:pPr>
      <w:keepNext/>
      <w:numPr>
        <w:numId w:val="13"/>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qFormat/>
    <w:rsid w:val="00D35A58"/>
    <w:pPr>
      <w:keepNext/>
      <w:numPr>
        <w:ilvl w:val="1"/>
        <w:numId w:val="13"/>
      </w:numPr>
      <w:spacing w:before="280" w:after="220"/>
      <w:outlineLvl w:val="1"/>
    </w:pPr>
    <w:rPr>
      <w:rFonts w:eastAsia="Verdana" w:cs="Arial"/>
      <w:b/>
      <w:bCs/>
      <w:i/>
      <w:kern w:val="32"/>
      <w:szCs w:val="22"/>
      <w:lang w:eastAsia="en-GB"/>
    </w:rPr>
  </w:style>
  <w:style w:type="paragraph" w:customStyle="1" w:styleId="Heading3Agency">
    <w:name w:val="Heading 3 (Agency)"/>
    <w:basedOn w:val="Normal"/>
    <w:next w:val="BodytextAgency"/>
    <w:qFormat/>
    <w:rsid w:val="00D35A58"/>
    <w:pPr>
      <w:keepNext/>
      <w:numPr>
        <w:ilvl w:val="2"/>
        <w:numId w:val="13"/>
      </w:numPr>
      <w:spacing w:before="280" w:after="220"/>
      <w:outlineLvl w:val="2"/>
    </w:pPr>
    <w:rPr>
      <w:rFonts w:eastAsia="Verdana" w:cs="Arial"/>
      <w:b/>
      <w:bCs/>
      <w:kern w:val="32"/>
      <w:szCs w:val="22"/>
      <w:lang w:eastAsia="en-GB"/>
    </w:rPr>
  </w:style>
  <w:style w:type="paragraph" w:customStyle="1" w:styleId="Heading4Agency">
    <w:name w:val="Heading 4 (Agency)"/>
    <w:basedOn w:val="Heading3Agency"/>
    <w:next w:val="BodytextAgency"/>
    <w:qFormat/>
    <w:rsid w:val="00D35A58"/>
    <w:pPr>
      <w:numPr>
        <w:ilvl w:val="3"/>
      </w:numPr>
      <w:outlineLvl w:val="3"/>
    </w:pPr>
    <w:rPr>
      <w:i/>
      <w:szCs w:val="18"/>
    </w:rPr>
  </w:style>
  <w:style w:type="paragraph" w:customStyle="1" w:styleId="Heading5Agency">
    <w:name w:val="Heading 5 (Agency)"/>
    <w:basedOn w:val="Heading4Agency"/>
    <w:next w:val="BodytextAgency"/>
    <w:qFormat/>
    <w:rsid w:val="00D35A58"/>
    <w:pPr>
      <w:numPr>
        <w:ilvl w:val="4"/>
      </w:numPr>
      <w:outlineLvl w:val="4"/>
    </w:pPr>
    <w:rPr>
      <w:i w:val="0"/>
    </w:rPr>
  </w:style>
  <w:style w:type="paragraph" w:customStyle="1" w:styleId="Heading6Agency">
    <w:name w:val="Heading 6 (Agency)"/>
    <w:basedOn w:val="Heading5Agency"/>
    <w:next w:val="BodytextAgency"/>
    <w:semiHidden/>
    <w:rsid w:val="00D35A58"/>
    <w:pPr>
      <w:numPr>
        <w:ilvl w:val="5"/>
      </w:numPr>
      <w:outlineLvl w:val="5"/>
    </w:pPr>
  </w:style>
  <w:style w:type="paragraph" w:customStyle="1" w:styleId="Heading7Agency">
    <w:name w:val="Heading 7 (Agency)"/>
    <w:basedOn w:val="Heading6Agency"/>
    <w:next w:val="BodytextAgency"/>
    <w:semiHidden/>
    <w:rsid w:val="00D35A58"/>
    <w:pPr>
      <w:numPr>
        <w:ilvl w:val="6"/>
      </w:numPr>
      <w:outlineLvl w:val="6"/>
    </w:pPr>
  </w:style>
  <w:style w:type="paragraph" w:customStyle="1" w:styleId="Heading8Agency">
    <w:name w:val="Heading 8 (Agency)"/>
    <w:basedOn w:val="Heading7Agency"/>
    <w:next w:val="BodytextAgency"/>
    <w:semiHidden/>
    <w:rsid w:val="00D35A58"/>
    <w:pPr>
      <w:numPr>
        <w:ilvl w:val="7"/>
      </w:numPr>
      <w:outlineLvl w:val="7"/>
    </w:pPr>
  </w:style>
  <w:style w:type="paragraph" w:customStyle="1" w:styleId="Heading9Agency">
    <w:name w:val="Heading 9 (Agency)"/>
    <w:basedOn w:val="Heading8Agency"/>
    <w:next w:val="BodytextAgency"/>
    <w:semiHidden/>
    <w:rsid w:val="00D35A58"/>
    <w:pPr>
      <w:numPr>
        <w:ilvl w:val="8"/>
      </w:numPr>
      <w:outlineLvl w:val="8"/>
    </w:pPr>
  </w:style>
  <w:style w:type="paragraph" w:customStyle="1" w:styleId="No-numheading1Agency">
    <w:name w:val="No-num heading 1 (Agency)"/>
    <w:basedOn w:val="Normal"/>
    <w:next w:val="BodytextAgency"/>
    <w:qFormat/>
    <w:rsid w:val="00D35A58"/>
    <w:pPr>
      <w:keepNext/>
      <w:spacing w:before="280" w:after="220"/>
      <w:outlineLvl w:val="0"/>
    </w:pPr>
    <w:rPr>
      <w:rFonts w:eastAsia="Verdana" w:cs="Arial"/>
      <w:b/>
      <w:bCs/>
      <w:kern w:val="32"/>
      <w:sz w:val="27"/>
      <w:szCs w:val="27"/>
      <w:lang w:eastAsia="en-GB"/>
    </w:rPr>
  </w:style>
  <w:style w:type="paragraph" w:customStyle="1" w:styleId="HeadingcentredAgency">
    <w:name w:val="Heading centred (Agency)"/>
    <w:basedOn w:val="No-numheading1Agency"/>
    <w:next w:val="BodytextAgency"/>
    <w:qFormat/>
    <w:rsid w:val="00D35A58"/>
    <w:pPr>
      <w:jc w:val="center"/>
    </w:pPr>
  </w:style>
  <w:style w:type="paragraph" w:customStyle="1" w:styleId="No-numheading2Agency">
    <w:name w:val="No-num heading 2 (Agency)"/>
    <w:basedOn w:val="Normal"/>
    <w:next w:val="BodytextAgency"/>
    <w:qFormat/>
    <w:rsid w:val="00D35A58"/>
    <w:pPr>
      <w:keepNext/>
      <w:spacing w:before="280" w:after="220"/>
      <w:outlineLvl w:val="1"/>
    </w:pPr>
    <w:rPr>
      <w:rFonts w:eastAsia="Verdana" w:cs="Arial"/>
      <w:b/>
      <w:bCs/>
      <w:i/>
      <w:kern w:val="32"/>
      <w:szCs w:val="22"/>
      <w:lang w:eastAsia="en-GB"/>
    </w:rPr>
  </w:style>
  <w:style w:type="paragraph" w:customStyle="1" w:styleId="No-numheading3Agency">
    <w:name w:val="No-num heading 3 (Agency)"/>
    <w:basedOn w:val="Heading3Agency"/>
    <w:next w:val="BodytextAgency"/>
    <w:qFormat/>
    <w:rsid w:val="00D35A58"/>
    <w:pPr>
      <w:numPr>
        <w:ilvl w:val="0"/>
        <w:numId w:val="0"/>
      </w:numPr>
    </w:pPr>
  </w:style>
  <w:style w:type="paragraph" w:customStyle="1" w:styleId="No-numheading4Agency">
    <w:name w:val="No-num heading 4 (Agency)"/>
    <w:basedOn w:val="Heading4Agency"/>
    <w:next w:val="BodytextAgency"/>
    <w:qFormat/>
    <w:rsid w:val="00D35A58"/>
    <w:pPr>
      <w:numPr>
        <w:ilvl w:val="0"/>
        <w:numId w:val="0"/>
      </w:numPr>
    </w:pPr>
  </w:style>
  <w:style w:type="paragraph" w:customStyle="1" w:styleId="No-numheading5Agency">
    <w:name w:val="No-num heading 5 (Agency)"/>
    <w:basedOn w:val="Heading5Agency"/>
    <w:next w:val="BodytextAgency"/>
    <w:qFormat/>
    <w:rsid w:val="00D35A58"/>
    <w:pPr>
      <w:numPr>
        <w:ilvl w:val="0"/>
        <w:numId w:val="0"/>
      </w:numPr>
    </w:pPr>
  </w:style>
  <w:style w:type="paragraph" w:customStyle="1" w:styleId="No-numheading6Agency">
    <w:name w:val="No-num heading 6 (Agency)"/>
    <w:basedOn w:val="No-numheading5Agency"/>
    <w:next w:val="BodytextAgency"/>
    <w:semiHidden/>
    <w:rsid w:val="00D35A58"/>
    <w:pPr>
      <w:outlineLvl w:val="5"/>
    </w:pPr>
  </w:style>
  <w:style w:type="paragraph" w:customStyle="1" w:styleId="No-numheading7Agency">
    <w:name w:val="No-num heading 7 (Agency)"/>
    <w:basedOn w:val="No-numheading6Agency"/>
    <w:next w:val="BodytextAgency"/>
    <w:semiHidden/>
    <w:rsid w:val="00D35A58"/>
    <w:pPr>
      <w:outlineLvl w:val="6"/>
    </w:pPr>
  </w:style>
  <w:style w:type="paragraph" w:customStyle="1" w:styleId="No-numheading8Agency">
    <w:name w:val="No-num heading 8 (Agency)"/>
    <w:basedOn w:val="No-numheading7Agency"/>
    <w:next w:val="BodytextAgency"/>
    <w:semiHidden/>
    <w:rsid w:val="00D35A58"/>
    <w:pPr>
      <w:outlineLvl w:val="7"/>
    </w:pPr>
  </w:style>
  <w:style w:type="paragraph" w:customStyle="1" w:styleId="No-numheading9Agency">
    <w:name w:val="No-num heading 9 (Agency)"/>
    <w:basedOn w:val="No-numheading8Agency"/>
    <w:next w:val="BodytextAgency"/>
    <w:semiHidden/>
    <w:rsid w:val="00D35A58"/>
    <w:pPr>
      <w:outlineLvl w:val="8"/>
    </w:pPr>
  </w:style>
  <w:style w:type="paragraph" w:customStyle="1" w:styleId="NormalAgency">
    <w:name w:val="Normal (Agency)"/>
    <w:qFormat/>
    <w:rsid w:val="00D35A58"/>
    <w:rPr>
      <w:rFonts w:ascii="Verdana" w:eastAsia="Verdana" w:hAnsi="Verdana" w:cs="Verdana"/>
      <w:sz w:val="18"/>
      <w:szCs w:val="18"/>
      <w:lang w:eastAsia="en-GB"/>
    </w:rPr>
  </w:style>
  <w:style w:type="paragraph" w:customStyle="1" w:styleId="No-TOCheadingAgency">
    <w:name w:val="No-TOC heading (Agency)"/>
    <w:basedOn w:val="Normal"/>
    <w:next w:val="BodytextAgency"/>
    <w:qFormat/>
    <w:rsid w:val="00D35A58"/>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D35A58"/>
    <w:pPr>
      <w:numPr>
        <w:numId w:val="14"/>
      </w:numPr>
    </w:pPr>
  </w:style>
  <w:style w:type="paragraph" w:customStyle="1" w:styleId="PagenumberAgency">
    <w:name w:val="Page number (Agency)"/>
    <w:basedOn w:val="Normal"/>
    <w:next w:val="Normal"/>
    <w:link w:val="PagenumberAgencyCharChar"/>
    <w:semiHidden/>
    <w:rsid w:val="00D35A58"/>
    <w:pPr>
      <w:tabs>
        <w:tab w:val="right" w:pos="9781"/>
      </w:tabs>
      <w:jc w:val="right"/>
    </w:pPr>
    <w:rPr>
      <w:rFonts w:eastAsia="Verdana" w:cs="Verdana"/>
      <w:color w:val="6D6F71"/>
      <w:sz w:val="14"/>
      <w:szCs w:val="14"/>
      <w:lang w:eastAsia="en-GB"/>
    </w:rPr>
  </w:style>
  <w:style w:type="character" w:customStyle="1" w:styleId="PagenumberAgencyCharChar">
    <w:name w:val="Page number (Agency) Char Char"/>
    <w:link w:val="PagenumberAgency"/>
    <w:semiHidden/>
    <w:rsid w:val="00D35A58"/>
  </w:style>
  <w:style w:type="paragraph" w:customStyle="1" w:styleId="RefAgency">
    <w:name w:val="Ref. (Agency)"/>
    <w:basedOn w:val="Normal"/>
    <w:semiHidden/>
    <w:rsid w:val="00D35A58"/>
    <w:rPr>
      <w:rFonts w:eastAsia="Times New Roman"/>
      <w:sz w:val="17"/>
      <w:szCs w:val="18"/>
      <w:lang w:eastAsia="en-GB"/>
    </w:rPr>
  </w:style>
  <w:style w:type="paragraph" w:customStyle="1" w:styleId="SpecialcommentAgency">
    <w:name w:val="Special comment (Agency)"/>
    <w:next w:val="BodytextAgency"/>
    <w:qFormat/>
    <w:rsid w:val="00D35A58"/>
    <w:rPr>
      <w:rFonts w:ascii="Verdana" w:eastAsia="Times New Roman" w:hAnsi="Verdana"/>
      <w:color w:val="FF0000"/>
      <w:sz w:val="17"/>
      <w:szCs w:val="17"/>
      <w:lang w:eastAsia="en-GB"/>
    </w:rPr>
  </w:style>
  <w:style w:type="paragraph" w:customStyle="1" w:styleId="TablefirstrowAgency">
    <w:name w:val="Table first row (Agency)"/>
    <w:basedOn w:val="BodytextAgency"/>
    <w:semiHidden/>
    <w:rsid w:val="00D35A58"/>
    <w:pPr>
      <w:keepNext/>
    </w:pPr>
    <w:rPr>
      <w:rFonts w:eastAsia="Times New Roman"/>
      <w:b/>
    </w:rPr>
  </w:style>
  <w:style w:type="table" w:customStyle="1" w:styleId="TablegridAgency">
    <w:name w:val="Table grid (Agency)"/>
    <w:basedOn w:val="TableNormal"/>
    <w:semiHidden/>
    <w:rsid w:val="001F6449"/>
    <w:rPr>
      <w:rFonts w:ascii="Verdana" w:eastAsia="SimSun" w:hAnsi="Verdana"/>
      <w:sz w:val="18"/>
      <w:lang w:eastAsia="en-GB"/>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ahoma" w:hAnsi="Tahom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D35A58"/>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D35A58"/>
    <w:rPr>
      <w:rFonts w:ascii="Verdana" w:hAnsi="Verdana"/>
      <w:sz w:val="18"/>
    </w:rPr>
    <w:tblPr/>
    <w:tcPr>
      <w:shd w:val="clear" w:color="auto" w:fill="auto"/>
    </w:tcPr>
    <w:tblStylePr w:type="firstRow">
      <w:rPr>
        <w:rFonts w:ascii="Tahoma" w:hAnsi="Tahom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semiHidden/>
    <w:rsid w:val="00D35A58"/>
    <w:pPr>
      <w:keepNext/>
      <w:numPr>
        <w:numId w:val="15"/>
      </w:numPr>
      <w:spacing w:before="240" w:after="120"/>
    </w:pPr>
    <w:rPr>
      <w:rFonts w:cs="Verdana"/>
      <w:szCs w:val="18"/>
    </w:rPr>
  </w:style>
  <w:style w:type="paragraph" w:customStyle="1" w:styleId="TableheadingrowsAgency">
    <w:name w:val="Table heading rows (Agency)"/>
    <w:basedOn w:val="BodytextAgency"/>
    <w:semiHidden/>
    <w:rsid w:val="00D35A58"/>
    <w:pPr>
      <w:keepNext/>
    </w:pPr>
    <w:rPr>
      <w:rFonts w:eastAsia="Times New Roman"/>
      <w:b/>
    </w:rPr>
  </w:style>
  <w:style w:type="paragraph" w:customStyle="1" w:styleId="TabletextrowsAgency">
    <w:name w:val="Table text rows (Agency)"/>
    <w:basedOn w:val="Normal"/>
    <w:semiHidden/>
    <w:rsid w:val="00D35A58"/>
    <w:pPr>
      <w:spacing w:line="280" w:lineRule="exact"/>
    </w:pPr>
    <w:rPr>
      <w:rFonts w:eastAsia="Times New Roman" w:cs="Verdana"/>
      <w:szCs w:val="18"/>
    </w:rPr>
  </w:style>
  <w:style w:type="paragraph" w:customStyle="1" w:styleId="TableFigurenoteAgency">
    <w:name w:val="Table/Figure note (Agency)"/>
    <w:basedOn w:val="BodytextAgency"/>
    <w:next w:val="BodytextAgency"/>
    <w:semiHidden/>
    <w:rsid w:val="00D35A58"/>
    <w:pPr>
      <w:spacing w:before="60" w:after="240" w:line="240" w:lineRule="auto"/>
    </w:pPr>
    <w:rPr>
      <w:sz w:val="16"/>
      <w:szCs w:val="16"/>
    </w:rPr>
  </w:style>
  <w:style w:type="paragraph" w:styleId="Footer">
    <w:name w:val="footer"/>
    <w:basedOn w:val="Normal"/>
    <w:link w:val="FooterChar"/>
    <w:uiPriority w:val="99"/>
    <w:rsid w:val="00B81056"/>
    <w:pPr>
      <w:tabs>
        <w:tab w:val="center" w:pos="4513"/>
        <w:tab w:val="right" w:pos="9026"/>
      </w:tabs>
    </w:pPr>
  </w:style>
  <w:style w:type="character" w:customStyle="1" w:styleId="FooterChar">
    <w:name w:val="Footer Char"/>
    <w:link w:val="Footer"/>
    <w:uiPriority w:val="99"/>
    <w:rsid w:val="00B81056"/>
    <w:rPr>
      <w:sz w:val="22"/>
      <w:lang w:eastAsia="zh-CN"/>
    </w:rPr>
  </w:style>
  <w:style w:type="character" w:customStyle="1" w:styleId="Heading1Char">
    <w:name w:val="Heading 1 Char"/>
    <w:basedOn w:val="DefaultParagraphFont"/>
    <w:link w:val="Heading1"/>
    <w:uiPriority w:val="9"/>
    <w:rsid w:val="00432315"/>
    <w:rPr>
      <w:rFonts w:asciiTheme="majorHAnsi" w:eastAsiaTheme="majorEastAsia" w:hAnsiTheme="majorHAnsi" w:cstheme="majorBidi"/>
      <w:color w:val="365F91" w:themeColor="accent1" w:themeShade="BF"/>
      <w:kern w:val="0"/>
      <w:sz w:val="32"/>
      <w:szCs w:val="32"/>
      <w:lang w:val="en-US"/>
      <w14:ligatures w14:val="none"/>
    </w:rPr>
  </w:style>
  <w:style w:type="table" w:styleId="TableGrid">
    <w:name w:val="Table Grid"/>
    <w:basedOn w:val="TableNormal"/>
    <w:rsid w:val="0043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32315"/>
    <w:rPr>
      <w:sz w:val="16"/>
      <w:szCs w:val="16"/>
    </w:rPr>
  </w:style>
  <w:style w:type="paragraph" w:styleId="CommentText">
    <w:name w:val="annotation text"/>
    <w:basedOn w:val="Normal"/>
    <w:link w:val="CommentTextChar"/>
    <w:unhideWhenUsed/>
    <w:rsid w:val="00432315"/>
    <w:rPr>
      <w:sz w:val="20"/>
    </w:rPr>
  </w:style>
  <w:style w:type="character" w:customStyle="1" w:styleId="CommentTextChar">
    <w:name w:val="Comment Text Char"/>
    <w:basedOn w:val="DefaultParagraphFont"/>
    <w:link w:val="CommentText"/>
    <w:rsid w:val="00432315"/>
    <w:rPr>
      <w:rFonts w:ascii="Verdana" w:hAnsi="Verdana"/>
      <w:lang w:eastAsia="zh-CN"/>
    </w:rPr>
  </w:style>
  <w:style w:type="paragraph" w:styleId="CommentSubject">
    <w:name w:val="annotation subject"/>
    <w:basedOn w:val="CommentText"/>
    <w:next w:val="CommentText"/>
    <w:link w:val="CommentSubjectChar"/>
    <w:semiHidden/>
    <w:unhideWhenUsed/>
    <w:rsid w:val="00432315"/>
    <w:rPr>
      <w:b/>
      <w:bCs/>
    </w:rPr>
  </w:style>
  <w:style w:type="character" w:customStyle="1" w:styleId="CommentSubjectChar">
    <w:name w:val="Comment Subject Char"/>
    <w:basedOn w:val="CommentTextChar"/>
    <w:link w:val="CommentSubject"/>
    <w:semiHidden/>
    <w:rsid w:val="00432315"/>
    <w:rPr>
      <w:rFonts w:ascii="Verdana" w:hAnsi="Verdana"/>
      <w:b/>
      <w:bCs/>
      <w:lang w:eastAsia="zh-CN"/>
    </w:rPr>
  </w:style>
  <w:style w:type="paragraph" w:styleId="NormalWeb">
    <w:name w:val="Normal (Web)"/>
    <w:basedOn w:val="Normal"/>
    <w:uiPriority w:val="99"/>
    <w:semiHidden/>
    <w:unhideWhenUsed/>
    <w:rsid w:val="00432315"/>
    <w:pPr>
      <w:spacing w:before="100" w:beforeAutospacing="1" w:after="100" w:afterAutospacing="1"/>
    </w:pPr>
    <w:rPr>
      <w:rFonts w:ascii="Times New Roman" w:eastAsia="Times New Roman" w:hAnsi="Times New Roman"/>
      <w:kern w:val="0"/>
      <w:sz w:val="24"/>
      <w:szCs w:val="24"/>
      <w:lang w:val="en-US" w:eastAsia="en-US"/>
      <w14:ligatures w14:val="none"/>
    </w:rPr>
  </w:style>
  <w:style w:type="paragraph" w:styleId="Caption">
    <w:name w:val="caption"/>
    <w:basedOn w:val="Normal"/>
    <w:next w:val="Normal"/>
    <w:unhideWhenUsed/>
    <w:qFormat/>
    <w:rsid w:val="00432315"/>
    <w:pPr>
      <w:spacing w:after="200"/>
    </w:pPr>
    <w:rPr>
      <w:i/>
      <w:iCs/>
      <w:color w:val="1F497D" w:themeColor="text2"/>
      <w:szCs w:val="18"/>
    </w:rPr>
  </w:style>
  <w:style w:type="character" w:styleId="Mention">
    <w:name w:val="Mention"/>
    <w:basedOn w:val="DefaultParagraphFont"/>
    <w:uiPriority w:val="99"/>
    <w:unhideWhenUsed/>
    <w:rsid w:val="00432315"/>
    <w:rPr>
      <w:color w:val="2B579A"/>
      <w:shd w:val="clear" w:color="auto" w:fill="E1DFDD"/>
    </w:rPr>
  </w:style>
  <w:style w:type="paragraph" w:styleId="Revision">
    <w:name w:val="Revision"/>
    <w:hidden/>
    <w:uiPriority w:val="99"/>
    <w:semiHidden/>
    <w:rsid w:val="00432315"/>
    <w:rPr>
      <w:rFonts w:ascii="Verdana" w:hAnsi="Verdana"/>
      <w:sz w:val="18"/>
      <w:lang w:eastAsia="zh-CN"/>
    </w:rPr>
  </w:style>
  <w:style w:type="character" w:styleId="Hyperlink">
    <w:name w:val="Hyperlink"/>
    <w:basedOn w:val="DefaultParagraphFont"/>
    <w:unhideWhenUsed/>
    <w:rsid w:val="00432315"/>
    <w:rPr>
      <w:color w:val="0000FF" w:themeColor="hyperlink"/>
      <w:u w:val="single"/>
    </w:rPr>
  </w:style>
  <w:style w:type="character" w:styleId="UnresolvedMention">
    <w:name w:val="Unresolved Mention"/>
    <w:basedOn w:val="DefaultParagraphFont"/>
    <w:uiPriority w:val="99"/>
    <w:semiHidden/>
    <w:unhideWhenUsed/>
    <w:rsid w:val="00432315"/>
    <w:rPr>
      <w:color w:val="605E5C"/>
      <w:shd w:val="clear" w:color="auto" w:fill="E1DFDD"/>
    </w:rPr>
  </w:style>
  <w:style w:type="paragraph" w:styleId="EndnoteText">
    <w:name w:val="endnote text"/>
    <w:basedOn w:val="Normal"/>
    <w:link w:val="EndnoteTextChar"/>
    <w:semiHidden/>
    <w:unhideWhenUsed/>
    <w:rsid w:val="00432315"/>
    <w:rPr>
      <w:sz w:val="20"/>
    </w:rPr>
  </w:style>
  <w:style w:type="character" w:customStyle="1" w:styleId="EndnoteTextChar">
    <w:name w:val="Endnote Text Char"/>
    <w:basedOn w:val="DefaultParagraphFont"/>
    <w:link w:val="EndnoteText"/>
    <w:semiHidden/>
    <w:rsid w:val="00432315"/>
    <w:rPr>
      <w:rFonts w:ascii="Verdana" w:hAnsi="Verdana"/>
      <w:lang w:eastAsia="zh-CN"/>
    </w:rPr>
  </w:style>
  <w:style w:type="character" w:styleId="EndnoteReference">
    <w:name w:val="endnote reference"/>
    <w:basedOn w:val="DefaultParagraphFont"/>
    <w:semiHidden/>
    <w:unhideWhenUsed/>
    <w:rsid w:val="00432315"/>
    <w:rPr>
      <w:vertAlign w:val="superscript"/>
    </w:rPr>
  </w:style>
  <w:style w:type="character" w:customStyle="1" w:styleId="cf01">
    <w:name w:val="cf01"/>
    <w:basedOn w:val="DefaultParagraphFont"/>
    <w:rsid w:val="00432315"/>
    <w:rPr>
      <w:rFonts w:ascii="Segoe UI" w:hAnsi="Segoe UI" w:cs="Segoe UI" w:hint="default"/>
      <w:sz w:val="18"/>
      <w:szCs w:val="18"/>
    </w:rPr>
  </w:style>
  <w:style w:type="character" w:styleId="FollowedHyperlink">
    <w:name w:val="FollowedHyperlink"/>
    <w:basedOn w:val="DefaultParagraphFont"/>
    <w:semiHidden/>
    <w:unhideWhenUsed/>
    <w:rsid w:val="00432315"/>
    <w:rPr>
      <w:color w:val="800080" w:themeColor="followedHyperlink"/>
      <w:u w:val="single"/>
    </w:rPr>
  </w:style>
  <w:style w:type="paragraph" w:styleId="Bibliography">
    <w:name w:val="Bibliography"/>
    <w:basedOn w:val="Normal"/>
    <w:next w:val="Normal"/>
    <w:uiPriority w:val="37"/>
    <w:unhideWhenUsed/>
    <w:rsid w:val="00432315"/>
  </w:style>
  <w:style w:type="character" w:styleId="LineNumber">
    <w:name w:val="line number"/>
    <w:basedOn w:val="DefaultParagraphFont"/>
    <w:semiHidden/>
    <w:unhideWhenUsed/>
    <w:rsid w:val="00432315"/>
  </w:style>
  <w:style w:type="character" w:customStyle="1" w:styleId="ui-provider">
    <w:name w:val="ui-provider"/>
    <w:basedOn w:val="DefaultParagraphFont"/>
    <w:rsid w:val="00627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Int98</b:Tag>
    <b:SourceType>Report</b:SourceType>
    <b:Guid>{ED2C01B8-681B-492F-9AB8-4DA48DDC8320}</b:Guid>
    <b:Title>E9 - Statistical principles for clinical trials</b:Title>
    <b:Year>1998</b:Year>
    <b:Author>
      <b:Author>
        <b:NameList>
          <b:Person>
            <b:Last>ICH</b:Last>
          </b:Person>
        </b:NameList>
      </b:Author>
    </b:Author>
    <b:RefOrder>1</b:RefOrder>
  </b:Source>
  <b:Source>
    <b:Tag>EMA00</b:Tag>
    <b:SourceType>Report</b:SourceType>
    <b:Guid>{69E51DB2-4145-47A5-974F-8B4AF057C128}</b:Guid>
    <b:Author>
      <b:Author>
        <b:NameList>
          <b:Person>
            <b:Last>EMA</b:Last>
          </b:Person>
        </b:NameList>
      </b:Author>
    </b:Author>
    <b:Title>Points to consider in switching between superiority and non-inferiority</b:Title>
    <b:Year>2000</b:Year>
    <b:RefOrder>2</b:RefOrder>
  </b:Source>
  <b:Source>
    <b:Tag>FDA16</b:Tag>
    <b:SourceType>Report</b:SourceType>
    <b:Guid>{EC69C8FA-5A50-44D1-BBBE-4FB2376BA2F7}</b:Guid>
    <b:Author>
      <b:Author>
        <b:NameList>
          <b:Person>
            <b:Last>FDA</b:Last>
          </b:Person>
        </b:NameList>
      </b:Author>
    </b:Author>
    <b:Title>Non-Inferiority clinical trials to establish effectiveness</b:Title>
    <b:Year>2016</b:Year>
    <b:RefOrder>3</b:RefOrder>
  </b:Source>
  <b:Source>
    <b:Tag>Moh12</b:Tag>
    <b:SourceType>JournalArticle</b:SourceType>
    <b:Guid>{ED43159A-C379-4BB0-BB54-355D58914865}</b:Guid>
    <b:Author>
      <b:Author>
        <b:NameList>
          <b:Person>
            <b:Last>Alshurafa</b:Last>
            <b:First>Mohamad</b:First>
          </b:Person>
          <b:Person>
            <b:Last>Briel</b:Last>
            <b:First>Matthias</b:First>
          </b:Person>
          <b:Person>
            <b:Last>Akl</b:Last>
            <b:First>Elie</b:First>
            <b:Middle>A.</b:Middle>
          </b:Person>
          <b:Person>
            <b:Last>Haines</b:Last>
            <b:First>Ted</b:First>
          </b:Person>
          <b:Person>
            <b:Last>Moayyedi</b:Last>
            <b:First>Paul</b:First>
          </b:Person>
          <b:Person>
            <b:Last>Gentles</b:Last>
            <b:First>Stephen</b:First>
            <b:Middle>J.</b:Middle>
          </b:Person>
          <b:Person>
            <b:Last>Rios</b:Last>
            <b:First>Lorena</b:First>
          </b:Person>
          <b:Person>
            <b:Last>Tran</b:Last>
            <b:First>Chau</b:First>
          </b:Person>
          <b:Person>
            <b:Last>Bhatnagar</b:Last>
            <b:First>Neera</b:First>
          </b:Person>
          <b:Person>
            <b:Last>Lamontagne</b:Last>
            <b:First>Francois</b:First>
          </b:Person>
          <b:Person>
            <b:Last>Walter</b:Last>
            <b:First>Stephen</b:First>
            <b:Middle>D.</b:Middle>
          </b:Person>
          <b:Person>
            <b:Last>Guyatt</b:Last>
            <b:First>Gordon</b:First>
            <b:Middle>H.</b:Middle>
          </b:Person>
        </b:NameList>
      </b:Author>
    </b:Author>
    <b:Title>Inconsistent Definitions for Intention-To-Treat in Relation to Missing Outcome Data: Systematic Review of the Methods Literature</b:Title>
    <b:Year>2012</b:Year>
    <b:Publisher>PLOS ONE</b:Publisher>
    <b:Volume>7</b:Volume>
    <b:Issue>11</b:Issue>
    <b:JournalName>PLoS One</b:JournalName>
    <b:RefOrder>5</b:RefOrder>
  </b:Source>
  <b:Source>
    <b:Tag>ICH19</b:Tag>
    <b:SourceType>Report</b:SourceType>
    <b:Guid>{1DD7DF19-A733-45C3-8870-22ADBF332BFE}</b:Guid>
    <b:Title>E9 (R1) - Addendum on estimands and sensitivity analysis in clinical trials to the guideline on statistical principles for clinical trials</b:Title>
    <b:Year>2019</b:Year>
    <b:Author>
      <b:Author>
        <b:NameList>
          <b:Person>
            <b:Last>ICH</b:Last>
          </b:Person>
        </b:NameList>
      </b:Author>
    </b:Author>
    <b:RefOrder>6</b:RefOrder>
  </b:Source>
  <b:Source>
    <b:Tag>Wei20</b:Tag>
    <b:SourceType>JournalArticle</b:SourceType>
    <b:Guid>{4FE4EA3B-0303-4BAF-8AF1-A644B257384F}</b:Guid>
    <b:Title>Strengthening the interpretability of clinical trial results by assessing the effect of informative censoring on the primary estimand in PRECISION</b:Title>
    <b:Year>2020</b:Year>
    <b:Publisher>Clinical Trials</b:Publisher>
    <b:Volume>17</b:Volume>
    <b:Issue>5</b:Issue>
    <b:Author>
      <b:Author>
        <b:NameList>
          <b:Person>
            <b:Last>Ba</b:Last>
            <b:First>Weihang</b:First>
          </b:Person>
          <b:Person>
            <b:Last>Gaffney</b:Last>
            <b:First>Michael</b:First>
          </b:Person>
          <b:Person>
            <b:Last>Pressler</b:Last>
            <b:First>Milton</b:First>
            <b:Middle>L</b:Middle>
          </b:Person>
          <b:Person>
            <b:Last>Fayyad</b:Last>
            <b:First>Rana</b:First>
          </b:Person>
          <b:Person>
            <b:Last>Wisemandle</b:Last>
            <b:First>Wayne</b:First>
          </b:Person>
          <b:Person>
            <b:Last>Beckerman</b:Last>
            <b:First>Bruce</b:First>
          </b:Person>
          <b:Person>
            <b:Last>Wolski</b:Last>
            <b:First>Katherine</b:First>
            <b:Middle>E</b:Middle>
          </b:Person>
          <b:Person>
            <b:Last>Nissen</b:Last>
            <b:First>Steven</b:First>
            <b:Middle>E</b:Middle>
          </b:Person>
        </b:NameList>
      </b:Author>
    </b:Author>
    <b:JournalName>Clinical Trials</b:JournalName>
    <b:RefOrder>7</b:RefOrder>
  </b:Source>
  <b:Source>
    <b:Tag>Sun23</b:Tag>
    <b:SourceType>JournalArticle</b:SourceType>
    <b:Guid>{6B83E7B3-881E-4170-9C59-620B00FD41C0}</b:Guid>
    <b:Author>
      <b:Author>
        <b:NameList>
          <b:Person>
            <b:Last>Rehal</b:Last>
            <b:First>Sunita</b:First>
          </b:Person>
          <b:Person>
            <b:Last>Cro</b:Last>
            <b:First>Suzie</b:First>
          </b:Person>
          <b:Person>
            <b:Last>Phillips</b:Last>
            <b:First>Patrick</b:First>
            <b:Middle>PJ</b:Middle>
          </b:Person>
          <b:Person>
            <b:Last>Fielding</b:Last>
            <b:First>Katherine</b:First>
          </b:Person>
          <b:Person>
            <b:Last>Carpenter</b:Last>
            <b:First>James</b:First>
            <b:Middle>R</b:Middle>
          </b:Person>
        </b:NameList>
      </b:Author>
    </b:Author>
    <b:Title>Handling intercurrent events and missing data in non-inferiority trials using the estimand framework: A tuberculosis case study</b:Title>
    <b:Year>2023</b:Year>
    <b:Publisher>Clinical Trials</b:Publisher>
    <b:Volume>0</b:Volume>
    <b:Issue>0</b:Issue>
    <b:JournalName>Clinical Trials</b:JournalName>
    <b:RefOrder>8</b:RefOrder>
  </b:Source>
  <b:Source>
    <b:Tag>Lud</b:Tag>
    <b:SourceType>JournalArticle</b:SourceType>
    <b:Guid>{EF44F035-36E4-46BC-B851-57F9549232FE}</b:Guid>
    <b:Author>
      <b:Author>
        <b:NameList>
          <b:Person>
            <b:Last>Ludvik</b:Last>
            <b:First>B</b:First>
          </b:Person>
          <b:Person>
            <b:Last>Giorgino</b:Last>
            <b:First>F</b:First>
          </b:Person>
          <b:Person>
            <b:Last>Jódar</b:Last>
            <b:First>E</b:First>
          </b:Person>
          <b:Person>
            <b:Last>Frias</b:Last>
            <b:First>JP</b:First>
          </b:Person>
          <b:Person>
            <b:Last>Fernández Landó</b:Last>
            <b:First>L</b:First>
          </b:Person>
          <b:Person>
            <b:Last>Brown</b:Last>
            <b:First>K</b:First>
          </b:Person>
          <b:Person>
            <b:Last>Bray</b:Last>
            <b:First>R</b:First>
          </b:Person>
          <b:Person>
            <b:Last>Rodríguez</b:Last>
            <b:First>Á</b:First>
          </b:Person>
        </b:NameList>
      </b:Author>
    </b:Author>
    <b:Title>Once-weekly tirzepatide versus once-daily insulin degludec as add-on to metformin with or without SGLT2 inhibitors in patients with type 2 diabetes (SURPASS-3): a randomised, open-label, parallel-group, phase 3 trial</b:Title>
    <b:Year>2021</b:Year>
    <b:Publisher>Lancet</b:Publisher>
    <b:Volume>14</b:Volume>
    <b:Issue>398</b:Issue>
    <b:JournalName>The Lancet</b:JournalName>
    <b:RefOrder>9</b:RefOrder>
  </b:Source>
  <b:Source>
    <b:Tag>Sha23</b:Tag>
    <b:SourceType>JournalArticle</b:SourceType>
    <b:Guid>{45F46BD6-5683-4406-A7D5-808EA85DAAEA}</b:Guid>
    <b:Author>
      <b:Author>
        <b:NameList>
          <b:Person>
            <b:Last>Shapiro</b:Last>
            <b:First>AE</b:First>
          </b:Person>
          <b:Person>
            <b:Last>Sarkis</b:Last>
            <b:First>E</b:First>
          </b:Person>
          <b:Person>
            <b:Last>Acloque</b:Last>
            <b:First>J</b:First>
          </b:Person>
          <b:Person>
            <b:Last>Free</b:Last>
            <b:First>A</b:First>
          </b:Person>
          <b:Person>
            <b:Last>Gonzalez-Rojas</b:Last>
            <b:First>Y</b:First>
          </b:Person>
          <b:Person>
            <b:Last>Hussain</b:Last>
            <b:First>R</b:First>
          </b:Person>
          <b:Person>
            <b:Last>Juarez</b:Last>
            <b:First>E</b:First>
          </b:Person>
          <b:Person>
            <b:Last>Moya</b:Last>
            <b:First>J</b:First>
          </b:Person>
          <b:Person>
            <b:Last>Parikh</b:Last>
            <b:First>N</b:First>
          </b:Person>
          <b:Person>
            <b:Last>Inman</b:Last>
            <b:First>D</b:First>
          </b:Person>
          <b:Person>
            <b:Last>Cebrik</b:Last>
            <b:First>D</b:First>
          </b:Person>
          <b:Person>
            <b:Last>Nader</b:Last>
            <b:First>A</b:First>
          </b:Person>
          <b:Person>
            <b:Last>Noormohamed</b:Last>
            <b:First>N</b:First>
          </b:Person>
          <b:Person>
            <b:Last>Wang</b:Last>
            <b:First>Q</b:First>
          </b:Person>
          <b:Person>
            <b:Last>Skingsley</b:Last>
            <b:First>A</b:First>
          </b:Person>
          <b:Person>
            <b:Last>Austin</b:Last>
            <b:First>D</b:First>
          </b:Person>
          <b:Person>
            <b:Last>Peppercorn</b:Last>
            <b:First>A</b:First>
          </b:Person>
          <b:Person>
            <b:Last>Agostini</b:Last>
            <b:First>ML</b:First>
          </b:Person>
          <b:Person>
            <b:Last>Parra</b:Last>
            <b:First>S</b:First>
          </b:Person>
          <b:Person>
            <b:Last>Chow</b:Last>
            <b:First>S</b:First>
          </b:Person>
          <b:Person>
            <b:Last>Mogalian</b:Last>
            <b:First>E</b:First>
          </b:Person>
          <b:Person>
            <b:Last>Pang</b:Last>
            <b:First>PS</b:First>
          </b:Person>
          <b:Person>
            <b:Last>Hong</b:Last>
            <b:First>DK</b:First>
          </b:Person>
          <b:Person>
            <b:Last>Sager</b:Last>
            <b:First>JE</b:First>
          </b:Person>
        </b:NameList>
      </b:Author>
    </b:Author>
    <b:Title>Intramuscular vs Intravenous SARS-CoV-2 Neutralizing Antibody Sotrovimab for Treatment of COVID-19 (COMET-TAIL): A Randomized Noninferiority Clinical Trial</b:Title>
    <b:Year>2023</b:Year>
    <b:JournalName>Open Forum Infectious Disease</b:JournalName>
    <b:Volume>10</b:Volume>
    <b:Issue>8</b:Issue>
    <b:RefOrder>10</b:RefOrder>
  </b:Source>
  <b:Source>
    <b:Tag>Yiy19</b:Tag>
    <b:SourceType>JournalArticle</b:SourceType>
    <b:Guid>{F5751242-3E6E-4986-95F5-328DAF9AC3DC}</b:Guid>
    <b:Author>
      <b:Author>
        <b:NameList>
          <b:Person>
            <b:Last>Lou</b:Last>
            <b:First>Yiyue</b:First>
          </b:Person>
          <b:Person>
            <b:Last>Jones</b:Last>
            <b:First>Michael</b:First>
            <b:Middle>P.</b:Middle>
          </b:Person>
          <b:Person>
            <b:Last>Sun</b:Last>
            <b:First>Wanjie</b:First>
          </b:Person>
        </b:NameList>
      </b:Author>
    </b:Author>
    <b:Title>Estimation of causal effects in clinical endpoint bioequivalence studies in the presence of intercurrent events: noncompliance and missing data</b:Title>
    <b:Year>2019</b:Year>
    <b:Publisher>Journal of Biopharmaceutical Statistics</b:Publisher>
    <b:Volume>29</b:Volume>
    <b:Issue>1</b:Issue>
    <b:JournalName>Journal of Biomarphaceutical Statistics</b:JournalName>
    <b:RefOrder>11</b:RefOrder>
  </b:Source>
  <b:Source>
    <b:Tag>Mor231</b:Tag>
    <b:SourceType>JournalArticle</b:SourceType>
    <b:Guid>{A726968C-DABC-4797-B2E0-896C31F0FEF7}</b:Guid>
    <b:Author>
      <b:Author>
        <b:NameList>
          <b:Person>
            <b:Last>Morgan</b:Last>
            <b:First>Katy</b:First>
            <b:Middle>E</b:Middle>
          </b:Person>
          <b:Person>
            <b:Last>White</b:Last>
            <b:First>Ian</b:First>
            <b:Middle>R</b:Middle>
          </b:Person>
          <b:Person>
            <b:Last>Leyrat</b:Last>
            <b:First>Clémence</b:First>
          </b:Person>
          <b:Person>
            <b:Last>Stanworth</b:Last>
            <b:First>Simon</b:First>
          </b:Person>
          <b:Person>
            <b:Last>Kahan</b:Last>
            <b:First>Brennan</b:First>
            <b:Middle>C</b:Middle>
          </b:Person>
        </b:NameList>
      </b:Author>
    </b:Author>
    <b:Title>Applying the estimands framework to non-inferiority trials: guidance on choice of hypothetical estimands for non-adherence and comparison of estimation methods</b:Title>
    <b:JournalName>arxiv.org</b:JournalName>
    <b:Year>2023</b:Year>
    <b:RefOrder>12</b:RefOrder>
  </b:Source>
  <b:Source>
    <b:Tag>FDA22</b:Tag>
    <b:SourceType>Report</b:SourceType>
    <b:Guid>{BC17DEB3-AFB2-490D-AB6D-EAE094E46C16}</b:Guid>
    <b:Title>Statistical Approaches for Establishing Bioequivalence</b:Title>
    <b:Year>2022</b:Year>
    <b:Author>
      <b:Author>
        <b:NameList>
          <b:Person>
            <b:Last>FDA</b:Last>
          </b:Person>
        </b:NameList>
      </b:Author>
    </b:Author>
    <b:RefOrder>13</b:RefOrder>
  </b:Source>
  <b:Source>
    <b:Tag>EMA05</b:Tag>
    <b:SourceType>Report</b:SourceType>
    <b:Guid>{F952A332-0BE7-4B64-AE24-CFEC9E490F57}</b:Guid>
    <b:Author>
      <b:Author>
        <b:NameList>
          <b:Person>
            <b:Last>EMA</b:Last>
          </b:Person>
        </b:NameList>
      </b:Author>
    </b:Author>
    <b:Title>Guideline on the choice of the non-inferiority margin</b:Title>
    <b:Year>2005</b:Year>
    <b:RefOrder>14</b:RefOrder>
  </b:Source>
  <b:Source>
    <b:Tag>EMA23</b:Tag>
    <b:SourceType>Report</b:SourceType>
    <b:Guid>{2189DA70-7E2A-4127-B31D-A19590FA590E}</b:Guid>
    <b:Title>Draft revised consolidated 3-year work plan for the Methodology Working Party (MWP)</b:Title>
    <b:Year>2023</b:Year>
    <b:Author>
      <b:Author>
        <b:NameList>
          <b:Person>
            <b:Last>EMA</b:Last>
          </b:Person>
        </b:NameList>
      </b:Author>
    </b:Author>
    <b:RefOrder>15</b:RefOrder>
  </b:Source>
  <b:Source>
    <b:Tag>FDA23</b:Tag>
    <b:SourceType>Report</b:SourceType>
    <b:Guid>{1B702620-045C-467D-AA50-47335BD46021}</b:Guid>
    <b:Title>Statistical Approaches to Establishing Bioequivalence</b:Title>
    <b:Year>2023</b:Year>
    <b:Author>
      <b:Author>
        <b:NameList>
          <b:Person>
            <b:Last>FDA</b:Last>
          </b:Person>
        </b:NameList>
      </b:Author>
    </b:Author>
    <b:RefOrder>16</b:RefOrder>
  </b:Source>
  <b:Source>
    <b:Tag>Kee23</b:Tag>
    <b:SourceType>JournalArticle</b:SourceType>
    <b:Guid>{87EB2AC2-7027-4478-8BDB-61CA57427178}</b:Guid>
    <b:Author>
      <b:Author>
        <b:NameList>
          <b:Person>
            <b:Last>Keene</b:Last>
            <b:First>Oliver</b:First>
            <b:Middle>N.</b:Middle>
          </b:Person>
          <b:Person>
            <b:Last>Lynggaard</b:Last>
            <b:First>Helle</b:First>
          </b:Person>
          <b:Person>
            <b:Last>Englert</b:Last>
            <b:First>Stefan</b:First>
          </b:Person>
          <b:Person>
            <b:Last>Lanius</b:Last>
            <b:First>Vivian</b:First>
          </b:Person>
          <b:Person>
            <b:Last>Wright</b:Last>
            <b:First>David</b:First>
          </b:Person>
        </b:NameList>
      </b:Author>
    </b:Author>
    <b:Title>Why estimands are needed to define treatment effects in clinical trials</b:Title>
    <b:Year>2023</b:Year>
    <b:Publisher>BMC Med</b:Publisher>
    <b:Volume>21</b:Volume>
    <b:Issue>276</b:Issue>
    <b:JournalName>BMC Med </b:JournalName>
    <b:RefOrder>4</b:RefOrder>
  </b:Source>
</b:Sources>
</file>

<file path=customXml/itemProps1.xml><?xml version="1.0" encoding="utf-8"?>
<ds:datastoreItem xmlns:ds="http://schemas.openxmlformats.org/officeDocument/2006/customXml" ds:itemID="{F32E6C56-0CDC-45B0-9EE8-2ECEFB26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285</Words>
  <Characters>1676</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European Medicines Agency</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Lasch Florian</dc:creator>
  <cp:keywords/>
  <dc:description/>
  <cp:lastModifiedBy>Lasch Florian</cp:lastModifiedBy>
  <cp:revision>3</cp:revision>
  <dcterms:created xsi:type="dcterms:W3CDTF">2025-01-13T15:02:00Z</dcterms:created>
  <dcterms:modified xsi:type="dcterms:W3CDTF">2025-01-13T15:02:00Z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a11ca-d417-4147-80ed-01a58412c458_Enabled">
    <vt:lpwstr>true</vt:lpwstr>
  </property>
  <property fmtid="{D5CDD505-2E9C-101B-9397-08002B2CF9AE}" pid="3" name="MSIP_Label_0eea11ca-d417-4147-80ed-01a58412c458_SetDate">
    <vt:lpwstr>2024-01-10T16:00:35Z</vt:lpwstr>
  </property>
  <property fmtid="{D5CDD505-2E9C-101B-9397-08002B2CF9AE}" pid="4" name="MSIP_Label_0eea11ca-d417-4147-80ed-01a58412c458_Method">
    <vt:lpwstr>Standard</vt:lpwstr>
  </property>
  <property fmtid="{D5CDD505-2E9C-101B-9397-08002B2CF9AE}" pid="5" name="MSIP_Label_0eea11ca-d417-4147-80ed-01a58412c458_Name">
    <vt:lpwstr>0eea11ca-d417-4147-80ed-01a58412c458</vt:lpwstr>
  </property>
  <property fmtid="{D5CDD505-2E9C-101B-9397-08002B2CF9AE}" pid="6" name="MSIP_Label_0eea11ca-d417-4147-80ed-01a58412c458_SiteId">
    <vt:lpwstr>bc9dc15c-61bc-4f03-b60b-e5b6d8922839</vt:lpwstr>
  </property>
  <property fmtid="{D5CDD505-2E9C-101B-9397-08002B2CF9AE}" pid="7" name="MSIP_Label_0eea11ca-d417-4147-80ed-01a58412c458_ActionId">
    <vt:lpwstr>c771e384-6ffe-4328-8d26-fa177e51ad30</vt:lpwstr>
  </property>
  <property fmtid="{D5CDD505-2E9C-101B-9397-08002B2CF9AE}" pid="8" name="MSIP_Label_0eea11ca-d417-4147-80ed-01a58412c458_ContentBits">
    <vt:lpwstr>2</vt:lpwstr>
  </property>
</Properties>
</file>