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8B757" w14:textId="77777777" w:rsidR="001F50D6" w:rsidRPr="00C52978" w:rsidRDefault="00000000">
      <w:pPr>
        <w:pStyle w:val="1"/>
        <w:rPr>
          <w:sz w:val="40"/>
          <w:szCs w:val="40"/>
        </w:rPr>
      </w:pPr>
      <w:r w:rsidRPr="00C52978">
        <w:rPr>
          <w:sz w:val="40"/>
          <w:szCs w:val="40"/>
        </w:rPr>
        <w:t>Monitoring Plan</w:t>
      </w:r>
    </w:p>
    <w:p w14:paraId="768E61BD" w14:textId="77777777" w:rsidR="001F50D6" w:rsidRDefault="00000000">
      <w:r>
        <w:t>Version 3 – Date: February 27, 2025</w:t>
      </w:r>
    </w:p>
    <w:p w14:paraId="7E2994C9" w14:textId="77777777" w:rsidR="00C52978" w:rsidRDefault="00C52978"/>
    <w:p w14:paraId="4F488765" w14:textId="77777777" w:rsidR="001F50D6" w:rsidRDefault="00000000">
      <w:r>
        <w:t>This plan complements the separately defined Standard Operating Procedures for Monitoring in Clinical Research (SOP, Version 2), and outlines the monitoring strategy, specific procedures, and other essential matters to ensure appropriate monitoring conduct.</w:t>
      </w:r>
    </w:p>
    <w:p w14:paraId="0E5F6694" w14:textId="77777777" w:rsidR="00C52978" w:rsidRDefault="00C52978"/>
    <w:p w14:paraId="2C7F1193" w14:textId="77777777" w:rsidR="001F50D6" w:rsidRDefault="00000000">
      <w:pPr>
        <w:pStyle w:val="21"/>
      </w:pPr>
      <w:r>
        <w:t>Study Details</w:t>
      </w:r>
    </w:p>
    <w:p w14:paraId="21D1ECC0" w14:textId="77777777" w:rsidR="001F50D6" w:rsidRDefault="00000000">
      <w:r>
        <w:t>Study Title: A Multicenter, Open-label, Randomized Phase III Trial on Short-term Antimicrobial Therapy for Acute Cholangitis</w:t>
      </w:r>
    </w:p>
    <w:p w14:paraId="0D744C02" w14:textId="77777777" w:rsidR="001F50D6" w:rsidRDefault="00000000">
      <w:r>
        <w:t>EC/CRB Code: 2418</w:t>
      </w:r>
    </w:p>
    <w:p w14:paraId="41949C6D" w14:textId="77777777" w:rsidR="001F50D6" w:rsidRDefault="00000000">
      <w:r>
        <w:t xml:space="preserve">Study Site: Shonan Kamakura General Hospital, </w:t>
      </w:r>
      <w:proofErr w:type="spellStart"/>
      <w:r>
        <w:t>Tokushukai</w:t>
      </w:r>
      <w:proofErr w:type="spellEnd"/>
      <w:r>
        <w:t xml:space="preserve"> Medical Corporation</w:t>
      </w:r>
    </w:p>
    <w:p w14:paraId="7D41E82C" w14:textId="77777777" w:rsidR="001F50D6" w:rsidRDefault="00000000">
      <w:r>
        <w:t>Primary Outcome: The proportion of patients who achieve clinical improvement without recurrence and remain alive within 14 days from the date of ERCP.</w:t>
      </w:r>
    </w:p>
    <w:p w14:paraId="6474D35F" w14:textId="569AB1A8" w:rsidR="001F50D6" w:rsidRDefault="00000000">
      <w:r>
        <w:t xml:space="preserve">Study Period: From </w:t>
      </w:r>
      <w:r w:rsidR="007D7620">
        <w:rPr>
          <w:lang w:eastAsia="ja-JP"/>
        </w:rPr>
        <w:t>Institutional Review Board</w:t>
      </w:r>
      <w:r>
        <w:rPr>
          <w:rFonts w:hint="eastAsia"/>
          <w:lang w:eastAsia="ja-JP"/>
        </w:rPr>
        <w:t xml:space="preserve"> </w:t>
      </w:r>
      <w:r>
        <w:t>approval until March 31, 2027</w:t>
      </w:r>
      <w:r>
        <w:br/>
        <w:t xml:space="preserve"> - Recruitment period: until March 31, 2026</w:t>
      </w:r>
      <w:r>
        <w:br/>
        <w:t xml:space="preserve"> - Follow-up period: until April 30, 2026</w:t>
      </w:r>
      <w:r>
        <w:br/>
        <w:t xml:space="preserve"> - Reporting and publication period: April 30, 2026 – March 31, 2027</w:t>
      </w:r>
    </w:p>
    <w:p w14:paraId="70DDD939" w14:textId="77777777" w:rsidR="001F50D6" w:rsidRDefault="00000000">
      <w:r>
        <w:t>Risk Level: Risk Level 3 (Refer to Appendix 1 of the SOP)</w:t>
      </w:r>
    </w:p>
    <w:p w14:paraId="09E34743" w14:textId="77777777" w:rsidR="001F50D6" w:rsidRDefault="00000000">
      <w:pPr>
        <w:pStyle w:val="21"/>
      </w:pPr>
      <w:r>
        <w:t>Personnel</w:t>
      </w:r>
    </w:p>
    <w:p w14:paraId="6F3189DD" w14:textId="77777777" w:rsidR="001F50D6" w:rsidRDefault="00000000">
      <w:r>
        <w:t>Principal Investigator: Dr. Sakue Masuda, Department of Gastroenterology</w:t>
      </w:r>
    </w:p>
    <w:p w14:paraId="5A82C9C9" w14:textId="079D44A5" w:rsidR="001F50D6" w:rsidRDefault="00000000">
      <w:r>
        <w:t xml:space="preserve">Co-Investigators: Dr. Kazuya Koizumi, Dr. </w:t>
      </w:r>
      <w:proofErr w:type="spellStart"/>
      <w:r>
        <w:t>Makomo</w:t>
      </w:r>
      <w:proofErr w:type="spellEnd"/>
      <w:r>
        <w:t xml:space="preserve"> </w:t>
      </w:r>
      <w:proofErr w:type="spellStart"/>
      <w:r w:rsidR="00C52978">
        <w:rPr>
          <w:lang w:eastAsia="ja-JP"/>
        </w:rPr>
        <w:t>Makazu</w:t>
      </w:r>
      <w:proofErr w:type="spellEnd"/>
      <w:r>
        <w:rPr>
          <w:rFonts w:hint="eastAsia"/>
          <w:lang w:eastAsia="ja-JP"/>
        </w:rPr>
        <w:t>,</w:t>
      </w:r>
      <w:r>
        <w:t xml:space="preserve"> Dr. Karen Kimura (Department of Gastroenterology)</w:t>
      </w:r>
    </w:p>
    <w:p w14:paraId="66841070" w14:textId="77777777" w:rsidR="001F50D6" w:rsidRDefault="00000000">
      <w:r>
        <w:t>Hospital Liaison: Dr. Sakue Masuda, Department of Gastroenterology</w:t>
      </w:r>
    </w:p>
    <w:p w14:paraId="73779285" w14:textId="77777777" w:rsidR="001F50D6" w:rsidRDefault="00000000">
      <w:r>
        <w:t>Monitors: Clinical Trial Monitoring Division, Research Support Headquarters, Mirai Medical Research Center, Inc.</w:t>
      </w:r>
    </w:p>
    <w:p w14:paraId="4D3CDF7E" w14:textId="2175680E" w:rsidR="001F50D6" w:rsidRDefault="00000000">
      <w:r>
        <w:t xml:space="preserve"> - Kumiko </w:t>
      </w:r>
      <w:r w:rsidR="00C52978">
        <w:t>Cho</w:t>
      </w:r>
      <w:r>
        <w:br/>
        <w:t xml:space="preserve"> - Miki Nakahara</w:t>
      </w:r>
      <w:r>
        <w:br/>
        <w:t xml:space="preserve"> - Kaori Yoshimoto</w:t>
      </w:r>
    </w:p>
    <w:p w14:paraId="3356C342" w14:textId="77777777" w:rsidR="001F50D6" w:rsidRDefault="00000000">
      <w:pPr>
        <w:pStyle w:val="21"/>
      </w:pPr>
      <w:r>
        <w:lastRenderedPageBreak/>
        <w:t>Monitoring</w:t>
      </w:r>
    </w:p>
    <w:p w14:paraId="228D96B1" w14:textId="77777777" w:rsidR="001F50D6" w:rsidRDefault="00000000">
      <w:pPr>
        <w:pStyle w:val="31"/>
      </w:pPr>
      <w:r>
        <w:t>Monitoring Items</w:t>
      </w:r>
    </w:p>
    <w:p w14:paraId="2CDAC45E" w14:textId="77777777" w:rsidR="001F50D6" w:rsidRDefault="00000000">
      <w:r>
        <w:t>■ Informed consent</w:t>
      </w:r>
      <w:r>
        <w:br/>
        <w:t>■ Serious Adverse Events (SAEs)</w:t>
      </w:r>
      <w:r>
        <w:br/>
        <w:t>■ Eligibility</w:t>
      </w:r>
      <w:r>
        <w:br/>
        <w:t>■ Primary endpoint</w:t>
      </w:r>
      <w:r>
        <w:br/>
        <w:t>■ Secondary endpoints</w:t>
      </w:r>
      <w:r>
        <w:br/>
        <w:t>■ Compliance with the Clinical Trials Act, related guidelines, and study protocol</w:t>
      </w:r>
      <w:r>
        <w:br/>
        <w:t xml:space="preserve">■ Others (e.g., confirmation of </w:t>
      </w:r>
      <w:proofErr w:type="spellStart"/>
      <w:r>
        <w:t>jRCT</w:t>
      </w:r>
      <w:proofErr w:type="spellEnd"/>
      <w:r>
        <w:t xml:space="preserve"> registration, tracking progress)</w:t>
      </w:r>
    </w:p>
    <w:p w14:paraId="5FAC093D" w14:textId="77777777" w:rsidR="001F50D6" w:rsidRDefault="00000000">
      <w:pPr>
        <w:pStyle w:val="31"/>
      </w:pPr>
      <w:r>
        <w:t>Schedule / Frequency</w:t>
      </w:r>
    </w:p>
    <w:p w14:paraId="65EB40C0" w14:textId="77777777" w:rsidR="001F50D6" w:rsidRDefault="00000000">
      <w:r>
        <w:t>Monitoring will be conducted at least once every 3 months to confirm the study’s progress.</w:t>
      </w:r>
      <w:r>
        <w:br/>
        <w:t>In addition, monitoring may be conducted on an ad-hoc basis under the following conditions:</w:t>
      </w:r>
      <w:r>
        <w:br/>
        <w:t xml:space="preserve"> - Upon reporting of a serious adverse event to the ethics committee</w:t>
      </w:r>
      <w:r>
        <w:br/>
        <w:t xml:space="preserve"> - Upon reporting of a significant protocol deviation</w:t>
      </w:r>
      <w:r>
        <w:br/>
        <w:t xml:space="preserve"> - At the end of the study</w:t>
      </w:r>
      <w:r>
        <w:br/>
        <w:t xml:space="preserve"> - When any concerns arise during the conduct of the study</w:t>
      </w:r>
    </w:p>
    <w:p w14:paraId="0D1FEC8E" w14:textId="77777777" w:rsidR="001F50D6" w:rsidRDefault="00000000">
      <w:pPr>
        <w:pStyle w:val="31"/>
      </w:pPr>
      <w:r>
        <w:t>Monitoring Methods</w:t>
      </w:r>
    </w:p>
    <w:p w14:paraId="1CC2BF28" w14:textId="77777777" w:rsidR="001F50D6" w:rsidRDefault="00000000">
      <w:r>
        <w:t>Monitoring will follow Article 7 of SOP (Version 2.0):</w:t>
      </w:r>
      <w:r>
        <w:br/>
        <w:t>1. Informed consent: Confirm the original or copy of the signed consent form.</w:t>
      </w:r>
      <w:r>
        <w:br/>
        <w:t>2. Eligibility: Confirm to the extent possible using source documents (e.g., medical records).</w:t>
      </w:r>
      <w:r>
        <w:br/>
        <w:t>3. Primary endpoint: Compare case report forms (CRFs) with source documents such as medical records.</w:t>
      </w:r>
      <w:r>
        <w:br/>
        <w:t>4. Secondary endpoints: Confirm CRF entries to the extent possible.</w:t>
      </w:r>
      <w:r>
        <w:br/>
        <w:t>5. Safety (all adverse events): Confirm SAEs from SAE report forms.</w:t>
      </w:r>
    </w:p>
    <w:p w14:paraId="762C2484" w14:textId="77777777" w:rsidR="001F50D6" w:rsidRDefault="00000000">
      <w:pPr>
        <w:pStyle w:val="31"/>
      </w:pPr>
      <w:r>
        <w:t>Sampling Strategy</w:t>
      </w:r>
    </w:p>
    <w:p w14:paraId="1681C4A1" w14:textId="77777777" w:rsidR="001F50D6" w:rsidRDefault="00000000">
      <w:r>
        <w:t>1. SAEs and informed consent: 100% monitoring of all cases.</w:t>
      </w:r>
      <w:r>
        <w:br/>
        <w:t>2. Eligibility: Review the first 3 enrolled cases.</w:t>
      </w:r>
      <w:r>
        <w:br/>
        <w:t>3. Primary and secondary endpoints: Randomly sample 1 in every 10 cases.</w:t>
      </w:r>
      <w:r>
        <w:br/>
        <w:t>4. Protocol or regulatory deviations: Check only for deviations related to monitored items.</w:t>
      </w:r>
    </w:p>
    <w:p w14:paraId="0B6124E4" w14:textId="77777777" w:rsidR="001F50D6" w:rsidRDefault="00000000">
      <w:pPr>
        <w:pStyle w:val="31"/>
      </w:pPr>
      <w:r>
        <w:t>Reporting of Monitoring Results</w:t>
      </w:r>
    </w:p>
    <w:p w14:paraId="28D0EE7C" w14:textId="77777777" w:rsidR="001F50D6" w:rsidRDefault="00000000">
      <w:r>
        <w:t>Findings based on the monitoring records will be summarized in a monitoring report, including any important issues such as adverse events or protocol violations. The report will be submitted to the supervisor for approval.</w:t>
      </w:r>
      <w:r>
        <w:br/>
        <w:t>After obtaining approval, the finalized monitoring report will be submitted to the Principal Investigator.</w:t>
      </w:r>
    </w:p>
    <w:sectPr w:rsidR="001F50D6"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561014758">
    <w:abstractNumId w:val="8"/>
  </w:num>
  <w:num w:numId="2" w16cid:durableId="502860470">
    <w:abstractNumId w:val="6"/>
  </w:num>
  <w:num w:numId="3" w16cid:durableId="529997573">
    <w:abstractNumId w:val="5"/>
  </w:num>
  <w:num w:numId="4" w16cid:durableId="964845023">
    <w:abstractNumId w:val="4"/>
  </w:num>
  <w:num w:numId="5" w16cid:durableId="321198453">
    <w:abstractNumId w:val="7"/>
  </w:num>
  <w:num w:numId="6" w16cid:durableId="1449281409">
    <w:abstractNumId w:val="3"/>
  </w:num>
  <w:num w:numId="7" w16cid:durableId="1699427477">
    <w:abstractNumId w:val="2"/>
  </w:num>
  <w:num w:numId="8" w16cid:durableId="1341814904">
    <w:abstractNumId w:val="1"/>
  </w:num>
  <w:num w:numId="9" w16cid:durableId="611491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F50D6"/>
    <w:rsid w:val="0026158F"/>
    <w:rsid w:val="0029639D"/>
    <w:rsid w:val="00326F90"/>
    <w:rsid w:val="003377C0"/>
    <w:rsid w:val="005F097C"/>
    <w:rsid w:val="006162B3"/>
    <w:rsid w:val="007D7620"/>
    <w:rsid w:val="00AA1D8D"/>
    <w:rsid w:val="00B47730"/>
    <w:rsid w:val="00C52978"/>
    <w:rsid w:val="00CB0664"/>
    <w:rsid w:val="00D429D1"/>
    <w:rsid w:val="00E32A7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31C9AA2"/>
  <w14:defaultImageDpi w14:val="300"/>
  <w15:docId w15:val="{0F3E444A-1B70-594A-B0C2-2A52E3FB3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
    <w:name w:val="annotation reference"/>
    <w:basedOn w:val="a2"/>
    <w:uiPriority w:val="99"/>
    <w:semiHidden/>
    <w:unhideWhenUsed/>
    <w:rsid w:val="005F097C"/>
    <w:rPr>
      <w:sz w:val="16"/>
      <w:szCs w:val="16"/>
    </w:rPr>
  </w:style>
  <w:style w:type="paragraph" w:styleId="aff0">
    <w:name w:val="annotation text"/>
    <w:basedOn w:val="a1"/>
    <w:link w:val="aff1"/>
    <w:uiPriority w:val="99"/>
    <w:semiHidden/>
    <w:unhideWhenUsed/>
    <w:rsid w:val="005F097C"/>
    <w:pPr>
      <w:spacing w:line="240" w:lineRule="auto"/>
    </w:pPr>
    <w:rPr>
      <w:sz w:val="20"/>
      <w:szCs w:val="20"/>
    </w:rPr>
  </w:style>
  <w:style w:type="character" w:customStyle="1" w:styleId="aff1">
    <w:name w:val="コメント文字列 (文字)"/>
    <w:basedOn w:val="a2"/>
    <w:link w:val="aff0"/>
    <w:uiPriority w:val="99"/>
    <w:semiHidden/>
    <w:rsid w:val="005F097C"/>
    <w:rPr>
      <w:sz w:val="20"/>
      <w:szCs w:val="20"/>
    </w:rPr>
  </w:style>
  <w:style w:type="paragraph" w:styleId="aff2">
    <w:name w:val="annotation subject"/>
    <w:basedOn w:val="aff0"/>
    <w:next w:val="aff0"/>
    <w:link w:val="aff3"/>
    <w:uiPriority w:val="99"/>
    <w:semiHidden/>
    <w:unhideWhenUsed/>
    <w:rsid w:val="005F097C"/>
    <w:rPr>
      <w:b/>
      <w:bCs/>
    </w:rPr>
  </w:style>
  <w:style w:type="character" w:customStyle="1" w:styleId="aff3">
    <w:name w:val="コメント内容 (文字)"/>
    <w:basedOn w:val="aff1"/>
    <w:link w:val="aff2"/>
    <w:uiPriority w:val="99"/>
    <w:semiHidden/>
    <w:rsid w:val="005F097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484</Words>
  <Characters>2761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Sakue Masuda</cp:lastModifiedBy>
  <cp:revision>5</cp:revision>
  <dcterms:created xsi:type="dcterms:W3CDTF">2025-08-06T01:46:00Z</dcterms:created>
  <dcterms:modified xsi:type="dcterms:W3CDTF">2025-08-12T02:38:00Z</dcterms:modified>
</cp:coreProperties>
</file>