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F590" w14:textId="237BB5EA" w:rsidR="000317ED" w:rsidRPr="000317ED" w:rsidRDefault="000317ED" w:rsidP="000317ED">
      <w:pPr>
        <w:ind w:hanging="540"/>
        <w:rPr>
          <w:rFonts w:ascii="Arial" w:hAnsi="Arial" w:cs="Arial"/>
          <w:b/>
        </w:rPr>
      </w:pPr>
      <w:r w:rsidRPr="000317ED">
        <w:rPr>
          <w:rFonts w:ascii="Arial" w:hAnsi="Arial" w:cs="Arial"/>
          <w:b/>
        </w:rPr>
        <w:t xml:space="preserve">Supplementary Table 2. </w:t>
      </w:r>
      <w:r w:rsidR="008C11B2">
        <w:rPr>
          <w:rFonts w:ascii="Arial" w:hAnsi="Arial" w:cs="Arial"/>
          <w:b/>
        </w:rPr>
        <w:t>Outcome Specification According to the Five Elements</w:t>
      </w:r>
      <w:bookmarkStart w:id="0" w:name="_GoBack"/>
      <w:bookmarkEnd w:id="0"/>
    </w:p>
    <w:tbl>
      <w:tblPr>
        <w:tblStyle w:val="TableGrid"/>
        <w:tblW w:w="10345" w:type="dxa"/>
        <w:tblInd w:w="-545" w:type="dxa"/>
        <w:tblLook w:val="04A0" w:firstRow="1" w:lastRow="0" w:firstColumn="1" w:lastColumn="0" w:noHBand="0" w:noVBand="1"/>
      </w:tblPr>
      <w:tblGrid>
        <w:gridCol w:w="1705"/>
        <w:gridCol w:w="1800"/>
        <w:gridCol w:w="2105"/>
        <w:gridCol w:w="1855"/>
        <w:gridCol w:w="2880"/>
      </w:tblGrid>
      <w:tr w:rsidR="00CE349A" w:rsidRPr="000317ED" w14:paraId="4CC00C49" w14:textId="77777777" w:rsidTr="00380BC4">
        <w:trPr>
          <w:trHeight w:val="440"/>
        </w:trPr>
        <w:tc>
          <w:tcPr>
            <w:tcW w:w="1705" w:type="dxa"/>
            <w:shd w:val="clear" w:color="auto" w:fill="FFFFFF" w:themeFill="background1"/>
            <w:vAlign w:val="center"/>
          </w:tcPr>
          <w:p w14:paraId="4CC00C44" w14:textId="77777777" w:rsidR="006424C8" w:rsidRPr="000317ED" w:rsidRDefault="006424C8" w:rsidP="006424C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Domain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CC00C45" w14:textId="77777777" w:rsidR="006424C8" w:rsidRPr="000317ED" w:rsidRDefault="006424C8" w:rsidP="006424C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Measure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14:paraId="4CC00C46" w14:textId="77777777" w:rsidR="006424C8" w:rsidRPr="000317ED" w:rsidRDefault="006424C8" w:rsidP="006424C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Metric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14:paraId="4CC00C47" w14:textId="77777777" w:rsidR="006424C8" w:rsidRPr="000317ED" w:rsidRDefault="006424C8" w:rsidP="006424C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Method of Aggregation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4CC00C48" w14:textId="77777777" w:rsidR="006424C8" w:rsidRPr="000317ED" w:rsidRDefault="006424C8" w:rsidP="006424C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Timepoint</w:t>
            </w:r>
          </w:p>
        </w:tc>
      </w:tr>
      <w:tr w:rsidR="006424C8" w:rsidRPr="000317ED" w14:paraId="4CC00C4B" w14:textId="77777777" w:rsidTr="000317ED">
        <w:trPr>
          <w:trHeight w:val="368"/>
        </w:trPr>
        <w:tc>
          <w:tcPr>
            <w:tcW w:w="10345" w:type="dxa"/>
            <w:gridSpan w:val="5"/>
            <w:shd w:val="clear" w:color="auto" w:fill="E7E6E6" w:themeFill="background2"/>
            <w:vAlign w:val="center"/>
          </w:tcPr>
          <w:p w14:paraId="4CC00C4A" w14:textId="77777777" w:rsidR="006424C8" w:rsidRPr="000317ED" w:rsidRDefault="006424C8" w:rsidP="000317ED">
            <w:pPr>
              <w:rPr>
                <w:rFonts w:ascii="Arial" w:hAnsi="Arial" w:cs="Arial"/>
                <w:b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Primary Outcome</w:t>
            </w:r>
          </w:p>
        </w:tc>
      </w:tr>
      <w:tr w:rsidR="00380BC4" w:rsidRPr="000317ED" w14:paraId="4CC00C51" w14:textId="77777777" w:rsidTr="00380BC4">
        <w:tc>
          <w:tcPr>
            <w:tcW w:w="1705" w:type="dxa"/>
          </w:tcPr>
          <w:p w14:paraId="4CC00C4C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consumption</w:t>
            </w:r>
          </w:p>
        </w:tc>
        <w:tc>
          <w:tcPr>
            <w:tcW w:w="1800" w:type="dxa"/>
          </w:tcPr>
          <w:p w14:paraId="4CC00C4D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Number of drinks per drinking day</w:t>
            </w:r>
          </w:p>
        </w:tc>
        <w:tc>
          <w:tcPr>
            <w:tcW w:w="2105" w:type="dxa"/>
          </w:tcPr>
          <w:p w14:paraId="4CC00C4E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Average number of drinks on drinking days</w:t>
            </w:r>
          </w:p>
        </w:tc>
        <w:tc>
          <w:tcPr>
            <w:tcW w:w="1855" w:type="dxa"/>
          </w:tcPr>
          <w:p w14:paraId="4CC00C4F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across all drinking days</w:t>
            </w:r>
          </w:p>
        </w:tc>
        <w:tc>
          <w:tcPr>
            <w:tcW w:w="2880" w:type="dxa"/>
          </w:tcPr>
          <w:p w14:paraId="4CC00C50" w14:textId="77777777" w:rsidR="006424C8" w:rsidRPr="000317ED" w:rsidRDefault="00CE349A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 xml:space="preserve">Baseline, </w:t>
            </w:r>
            <w:r w:rsidR="00380BC4" w:rsidRPr="000317ED">
              <w:rPr>
                <w:rFonts w:ascii="Arial" w:hAnsi="Arial" w:cs="Arial"/>
                <w:color w:val="000000"/>
              </w:rPr>
              <w:t xml:space="preserve">MRI Visit 1, </w:t>
            </w:r>
            <w:r w:rsidRPr="000317ED">
              <w:rPr>
                <w:rFonts w:ascii="Arial" w:hAnsi="Arial" w:cs="Arial"/>
                <w:color w:val="000000"/>
              </w:rPr>
              <w:t xml:space="preserve">all </w:t>
            </w:r>
            <w:r w:rsidR="00380BC4" w:rsidRPr="000317ED">
              <w:rPr>
                <w:rFonts w:ascii="Arial" w:hAnsi="Arial" w:cs="Arial"/>
                <w:color w:val="000000"/>
              </w:rPr>
              <w:t xml:space="preserve">TMS </w:t>
            </w:r>
            <w:r w:rsidRPr="000317ED">
              <w:rPr>
                <w:rFonts w:ascii="Arial" w:hAnsi="Arial" w:cs="Arial"/>
                <w:color w:val="000000"/>
              </w:rPr>
              <w:t xml:space="preserve">treatment visits, </w:t>
            </w:r>
            <w:r w:rsidR="00380BC4" w:rsidRPr="000317ED">
              <w:rPr>
                <w:rFonts w:ascii="Arial" w:hAnsi="Arial" w:cs="Arial"/>
                <w:color w:val="000000"/>
              </w:rPr>
              <w:t xml:space="preserve">MRI Visit 2, </w:t>
            </w:r>
            <w:r w:rsidR="006424C8" w:rsidRPr="000317ED">
              <w:rPr>
                <w:rFonts w:ascii="Arial" w:hAnsi="Arial" w:cs="Arial"/>
                <w:color w:val="000000"/>
              </w:rPr>
              <w:t>monthly follow-up visits</w:t>
            </w:r>
          </w:p>
        </w:tc>
      </w:tr>
      <w:tr w:rsidR="006424C8" w:rsidRPr="000317ED" w14:paraId="4CC00C53" w14:textId="77777777" w:rsidTr="000317ED">
        <w:trPr>
          <w:trHeight w:val="350"/>
        </w:trPr>
        <w:tc>
          <w:tcPr>
            <w:tcW w:w="10345" w:type="dxa"/>
            <w:gridSpan w:val="5"/>
            <w:shd w:val="clear" w:color="auto" w:fill="E7E6E6" w:themeFill="background2"/>
            <w:vAlign w:val="center"/>
          </w:tcPr>
          <w:p w14:paraId="4CC00C52" w14:textId="77777777" w:rsidR="006424C8" w:rsidRPr="000317ED" w:rsidRDefault="006424C8" w:rsidP="000317ED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 xml:space="preserve">Secondary Outcomes </w:t>
            </w:r>
          </w:p>
        </w:tc>
      </w:tr>
      <w:tr w:rsidR="00380BC4" w:rsidRPr="000317ED" w14:paraId="4CC00C59" w14:textId="77777777" w:rsidTr="00380BC4">
        <w:tc>
          <w:tcPr>
            <w:tcW w:w="1705" w:type="dxa"/>
          </w:tcPr>
          <w:p w14:paraId="4CC00C54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use</w:t>
            </w:r>
          </w:p>
        </w:tc>
        <w:tc>
          <w:tcPr>
            <w:tcW w:w="1800" w:type="dxa"/>
          </w:tcPr>
          <w:p w14:paraId="4CC00C55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Percent days abstinent</w:t>
            </w:r>
          </w:p>
        </w:tc>
        <w:tc>
          <w:tcPr>
            <w:tcW w:w="2105" w:type="dxa"/>
          </w:tcPr>
          <w:p w14:paraId="4CC00C56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Percentage of days with no alcohol consumption</w:t>
            </w:r>
          </w:p>
        </w:tc>
        <w:tc>
          <w:tcPr>
            <w:tcW w:w="1855" w:type="dxa"/>
          </w:tcPr>
          <w:p w14:paraId="4CC00C57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percentage</w:t>
            </w:r>
          </w:p>
        </w:tc>
        <w:tc>
          <w:tcPr>
            <w:tcW w:w="2880" w:type="dxa"/>
          </w:tcPr>
          <w:p w14:paraId="4CC00C58" w14:textId="77777777" w:rsidR="006424C8" w:rsidRPr="000317ED" w:rsidRDefault="00380BC4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Baseline, MRI Visit 1, all TMS treatment visits, MRI Visit 2, monthly follow-up visits</w:t>
            </w:r>
          </w:p>
        </w:tc>
      </w:tr>
      <w:tr w:rsidR="00380BC4" w:rsidRPr="000317ED" w14:paraId="4CC00C5F" w14:textId="77777777" w:rsidTr="00380BC4">
        <w:tc>
          <w:tcPr>
            <w:tcW w:w="1705" w:type="dxa"/>
          </w:tcPr>
          <w:p w14:paraId="4CC00C5A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craving</w:t>
            </w:r>
          </w:p>
        </w:tc>
        <w:tc>
          <w:tcPr>
            <w:tcW w:w="1800" w:type="dxa"/>
          </w:tcPr>
          <w:p w14:paraId="4CC00C5B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Obsessive Compulsive Drinking Scale (OCDS)</w:t>
            </w:r>
          </w:p>
        </w:tc>
        <w:tc>
          <w:tcPr>
            <w:tcW w:w="2105" w:type="dxa"/>
          </w:tcPr>
          <w:p w14:paraId="4CC00C5C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Total score</w:t>
            </w:r>
          </w:p>
        </w:tc>
        <w:tc>
          <w:tcPr>
            <w:tcW w:w="1855" w:type="dxa"/>
          </w:tcPr>
          <w:p w14:paraId="4CC00C5D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score</w:t>
            </w:r>
          </w:p>
        </w:tc>
        <w:tc>
          <w:tcPr>
            <w:tcW w:w="2880" w:type="dxa"/>
          </w:tcPr>
          <w:p w14:paraId="4CC00C5E" w14:textId="77777777" w:rsidR="006424C8" w:rsidRPr="000317ED" w:rsidRDefault="006424C8" w:rsidP="00F06FFC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 xml:space="preserve">Baseline, </w:t>
            </w:r>
            <w:r w:rsidR="00F06FFC" w:rsidRPr="000317ED">
              <w:rPr>
                <w:rFonts w:ascii="Arial" w:hAnsi="Arial" w:cs="Arial"/>
                <w:color w:val="000000"/>
              </w:rPr>
              <w:t xml:space="preserve">treatment visits 1, 6, 11 &amp; 15, monthly </w:t>
            </w:r>
            <w:r w:rsidRPr="000317ED">
              <w:rPr>
                <w:rFonts w:ascii="Arial" w:hAnsi="Arial" w:cs="Arial"/>
                <w:color w:val="000000"/>
              </w:rPr>
              <w:t>follow-up visits</w:t>
            </w:r>
          </w:p>
        </w:tc>
      </w:tr>
      <w:tr w:rsidR="00380BC4" w:rsidRPr="000317ED" w14:paraId="4CC00C65" w14:textId="77777777" w:rsidTr="00380BC4">
        <w:tc>
          <w:tcPr>
            <w:tcW w:w="1705" w:type="dxa"/>
          </w:tcPr>
          <w:p w14:paraId="4CC00C60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craving</w:t>
            </w:r>
          </w:p>
        </w:tc>
        <w:tc>
          <w:tcPr>
            <w:tcW w:w="1800" w:type="dxa"/>
          </w:tcPr>
          <w:p w14:paraId="4CC00C61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Urges Questionnaire (AUQ)</w:t>
            </w:r>
          </w:p>
        </w:tc>
        <w:tc>
          <w:tcPr>
            <w:tcW w:w="2105" w:type="dxa"/>
          </w:tcPr>
          <w:p w14:paraId="4CC00C62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Total score</w:t>
            </w:r>
          </w:p>
        </w:tc>
        <w:tc>
          <w:tcPr>
            <w:tcW w:w="1855" w:type="dxa"/>
          </w:tcPr>
          <w:p w14:paraId="4CC00C63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score</w:t>
            </w:r>
          </w:p>
        </w:tc>
        <w:tc>
          <w:tcPr>
            <w:tcW w:w="2880" w:type="dxa"/>
          </w:tcPr>
          <w:p w14:paraId="4CC00C64" w14:textId="77777777" w:rsidR="006424C8" w:rsidRPr="000317ED" w:rsidRDefault="00F06FFC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Baseline, treatment visits 1, 6, 11 &amp; 15, monthly follow-up visits</w:t>
            </w:r>
          </w:p>
        </w:tc>
      </w:tr>
      <w:tr w:rsidR="00380BC4" w:rsidRPr="000317ED" w14:paraId="4CC00C6B" w14:textId="77777777" w:rsidTr="00380BC4">
        <w:tc>
          <w:tcPr>
            <w:tcW w:w="1705" w:type="dxa"/>
          </w:tcPr>
          <w:p w14:paraId="4CC00C66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Neural response to alcohol cues</w:t>
            </w:r>
          </w:p>
        </w:tc>
        <w:tc>
          <w:tcPr>
            <w:tcW w:w="1800" w:type="dxa"/>
          </w:tcPr>
          <w:p w14:paraId="4CC00C67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fMRI BOLD activation</w:t>
            </w:r>
          </w:p>
        </w:tc>
        <w:tc>
          <w:tcPr>
            <w:tcW w:w="2105" w:type="dxa"/>
          </w:tcPr>
          <w:p w14:paraId="4CC00C68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Contrast between alcohol and neutral beverage cues</w:t>
            </w:r>
          </w:p>
        </w:tc>
        <w:tc>
          <w:tcPr>
            <w:tcW w:w="1855" w:type="dxa"/>
          </w:tcPr>
          <w:p w14:paraId="4CC00C69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Group-level average activation in ROIs</w:t>
            </w:r>
          </w:p>
        </w:tc>
        <w:tc>
          <w:tcPr>
            <w:tcW w:w="2880" w:type="dxa"/>
          </w:tcPr>
          <w:p w14:paraId="4CC00C6A" w14:textId="77777777" w:rsidR="006424C8" w:rsidRPr="000317ED" w:rsidRDefault="006424C8" w:rsidP="00F06FFC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 xml:space="preserve">Baseline and post-treatment </w:t>
            </w:r>
            <w:r w:rsidR="00F06FFC" w:rsidRPr="000317ED">
              <w:rPr>
                <w:rFonts w:ascii="Arial" w:hAnsi="Arial" w:cs="Arial"/>
                <w:color w:val="000000"/>
              </w:rPr>
              <w:t>(MRI Visits 1 &amp; 2)</w:t>
            </w:r>
          </w:p>
        </w:tc>
      </w:tr>
      <w:tr w:rsidR="00380BC4" w:rsidRPr="000317ED" w14:paraId="4CC00C71" w14:textId="77777777" w:rsidTr="00380BC4">
        <w:tc>
          <w:tcPr>
            <w:tcW w:w="1705" w:type="dxa"/>
          </w:tcPr>
          <w:p w14:paraId="4CC00C6C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Functional connectivity</w:t>
            </w:r>
          </w:p>
        </w:tc>
        <w:tc>
          <w:tcPr>
            <w:tcW w:w="1800" w:type="dxa"/>
          </w:tcPr>
          <w:p w14:paraId="4CC00C6D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Task-based fMRI connectivity (DLPFC/MPFC to striatum)</w:t>
            </w:r>
          </w:p>
        </w:tc>
        <w:tc>
          <w:tcPr>
            <w:tcW w:w="2105" w:type="dxa"/>
          </w:tcPr>
          <w:p w14:paraId="4CC00C6E" w14:textId="77777777" w:rsidR="006424C8" w:rsidRPr="000317ED" w:rsidRDefault="006424C8" w:rsidP="00380BC4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Connectivity strength</w:t>
            </w:r>
            <w:r w:rsidR="00380BC4" w:rsidRPr="000317E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55" w:type="dxa"/>
          </w:tcPr>
          <w:p w14:paraId="4CC00C6F" w14:textId="77777777" w:rsidR="006424C8" w:rsidRPr="000317ED" w:rsidRDefault="006424C8" w:rsidP="00380BC4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Group-level average</w:t>
            </w:r>
            <w:r w:rsidR="00380BC4" w:rsidRPr="000317ED">
              <w:rPr>
                <w:rFonts w:ascii="Arial" w:hAnsi="Arial" w:cs="Arial"/>
                <w:color w:val="000000"/>
              </w:rPr>
              <w:t xml:space="preserve"> connectivity </w:t>
            </w:r>
          </w:p>
        </w:tc>
        <w:tc>
          <w:tcPr>
            <w:tcW w:w="2880" w:type="dxa"/>
          </w:tcPr>
          <w:p w14:paraId="4CC00C70" w14:textId="77777777" w:rsidR="006424C8" w:rsidRPr="000317ED" w:rsidRDefault="006424C8" w:rsidP="00F06FFC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 xml:space="preserve">Baseline and post-treatment </w:t>
            </w:r>
            <w:r w:rsidR="00F06FFC" w:rsidRPr="000317ED">
              <w:rPr>
                <w:rFonts w:ascii="Arial" w:hAnsi="Arial" w:cs="Arial"/>
                <w:color w:val="000000"/>
              </w:rPr>
              <w:t>(MRI Visits 1 &amp; 2)</w:t>
            </w:r>
          </w:p>
        </w:tc>
      </w:tr>
      <w:tr w:rsidR="00CE349A" w:rsidRPr="000317ED" w14:paraId="4CC00C73" w14:textId="77777777" w:rsidTr="000317ED">
        <w:trPr>
          <w:trHeight w:val="431"/>
        </w:trPr>
        <w:tc>
          <w:tcPr>
            <w:tcW w:w="10345" w:type="dxa"/>
            <w:gridSpan w:val="5"/>
            <w:shd w:val="clear" w:color="auto" w:fill="E7E6E6" w:themeFill="background2"/>
            <w:vAlign w:val="center"/>
          </w:tcPr>
          <w:p w14:paraId="4CC00C72" w14:textId="77777777" w:rsidR="00CE349A" w:rsidRPr="000317ED" w:rsidRDefault="00CE349A" w:rsidP="000317ED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b/>
                <w:color w:val="000000"/>
              </w:rPr>
              <w:t>Exploratory Outcomes</w:t>
            </w:r>
          </w:p>
        </w:tc>
      </w:tr>
      <w:tr w:rsidR="00380BC4" w:rsidRPr="000317ED" w14:paraId="4CC00C79" w14:textId="77777777" w:rsidTr="00380BC4">
        <w:tc>
          <w:tcPr>
            <w:tcW w:w="1705" w:type="dxa"/>
          </w:tcPr>
          <w:p w14:paraId="4CC00C74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Mood</w:t>
            </w:r>
          </w:p>
        </w:tc>
        <w:tc>
          <w:tcPr>
            <w:tcW w:w="1800" w:type="dxa"/>
          </w:tcPr>
          <w:p w14:paraId="4CC00C75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POMS, BDI, STAI</w:t>
            </w:r>
          </w:p>
        </w:tc>
        <w:tc>
          <w:tcPr>
            <w:tcW w:w="2105" w:type="dxa"/>
          </w:tcPr>
          <w:p w14:paraId="4CC00C76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Total scores</w:t>
            </w:r>
          </w:p>
        </w:tc>
        <w:tc>
          <w:tcPr>
            <w:tcW w:w="1855" w:type="dxa"/>
          </w:tcPr>
          <w:p w14:paraId="4CC00C77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scores</w:t>
            </w:r>
          </w:p>
        </w:tc>
        <w:tc>
          <w:tcPr>
            <w:tcW w:w="2880" w:type="dxa"/>
          </w:tcPr>
          <w:p w14:paraId="4CC00C78" w14:textId="77777777" w:rsidR="006424C8" w:rsidRPr="000317ED" w:rsidRDefault="00F06FFC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Baseline, MRI Visit 1, treatment visits 1, 6, 11 &amp; 15, MRI Visit 2, monthly follow-up visits</w:t>
            </w:r>
          </w:p>
        </w:tc>
      </w:tr>
      <w:tr w:rsidR="00380BC4" w:rsidRPr="000317ED" w14:paraId="4CC00C7F" w14:textId="77777777" w:rsidTr="00380BC4">
        <w:tc>
          <w:tcPr>
            <w:tcW w:w="1705" w:type="dxa"/>
          </w:tcPr>
          <w:p w14:paraId="4CC00C7A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Sleep quality</w:t>
            </w:r>
          </w:p>
        </w:tc>
        <w:tc>
          <w:tcPr>
            <w:tcW w:w="1800" w:type="dxa"/>
          </w:tcPr>
          <w:p w14:paraId="4CC00C7B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Pittsburgh Sleep Quality Index (PSQI)</w:t>
            </w:r>
          </w:p>
        </w:tc>
        <w:tc>
          <w:tcPr>
            <w:tcW w:w="2105" w:type="dxa"/>
          </w:tcPr>
          <w:p w14:paraId="4CC00C7C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Total score</w:t>
            </w:r>
          </w:p>
        </w:tc>
        <w:tc>
          <w:tcPr>
            <w:tcW w:w="1855" w:type="dxa"/>
          </w:tcPr>
          <w:p w14:paraId="4CC00C7D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score</w:t>
            </w:r>
          </w:p>
        </w:tc>
        <w:tc>
          <w:tcPr>
            <w:tcW w:w="2880" w:type="dxa"/>
          </w:tcPr>
          <w:p w14:paraId="4CC00C7E" w14:textId="77777777" w:rsidR="006424C8" w:rsidRPr="000317ED" w:rsidRDefault="00380BC4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Baseline, MRI Visit 1, treatment visits 1, 6, 11 &amp; 15, MRI Visit 2, monthly follow-up visits</w:t>
            </w:r>
          </w:p>
        </w:tc>
      </w:tr>
      <w:tr w:rsidR="00380BC4" w:rsidRPr="000317ED" w14:paraId="4CC00C85" w14:textId="77777777" w:rsidTr="00380BC4">
        <w:tc>
          <w:tcPr>
            <w:tcW w:w="1705" w:type="dxa"/>
          </w:tcPr>
          <w:p w14:paraId="4CC00C80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Alcohol use</w:t>
            </w:r>
          </w:p>
        </w:tc>
        <w:tc>
          <w:tcPr>
            <w:tcW w:w="1800" w:type="dxa"/>
          </w:tcPr>
          <w:p w14:paraId="4CC00C81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Percent heavy drinking days</w:t>
            </w:r>
          </w:p>
        </w:tc>
        <w:tc>
          <w:tcPr>
            <w:tcW w:w="2105" w:type="dxa"/>
          </w:tcPr>
          <w:p w14:paraId="4CC00C82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 xml:space="preserve">Percentage of days with </w:t>
            </w:r>
            <w:r w:rsidR="00F06FFC" w:rsidRPr="000317ED">
              <w:rPr>
                <w:rFonts w:ascii="Arial" w:hAnsi="Arial" w:cs="Arial"/>
                <w:color w:val="000000"/>
              </w:rPr>
              <w:t>≥</w:t>
            </w:r>
            <w:r w:rsidRPr="000317ED">
              <w:rPr>
                <w:rFonts w:ascii="Arial" w:hAnsi="Arial" w:cs="Arial"/>
                <w:color w:val="000000"/>
              </w:rPr>
              <w:t xml:space="preserve">4 drinks (women) or </w:t>
            </w:r>
            <w:r w:rsidR="00F06FFC" w:rsidRPr="000317ED">
              <w:rPr>
                <w:rFonts w:ascii="Arial" w:hAnsi="Arial" w:cs="Arial"/>
                <w:color w:val="000000"/>
              </w:rPr>
              <w:t>≥</w:t>
            </w:r>
            <w:r w:rsidRPr="000317ED">
              <w:rPr>
                <w:rFonts w:ascii="Arial" w:hAnsi="Arial" w:cs="Arial"/>
                <w:color w:val="000000"/>
              </w:rPr>
              <w:t>5 drinks (men)</w:t>
            </w:r>
          </w:p>
        </w:tc>
        <w:tc>
          <w:tcPr>
            <w:tcW w:w="1855" w:type="dxa"/>
          </w:tcPr>
          <w:p w14:paraId="4CC00C83" w14:textId="77777777" w:rsidR="006424C8" w:rsidRPr="000317ED" w:rsidRDefault="006424C8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Mean percentage</w:t>
            </w:r>
          </w:p>
        </w:tc>
        <w:tc>
          <w:tcPr>
            <w:tcW w:w="2880" w:type="dxa"/>
          </w:tcPr>
          <w:p w14:paraId="4CC00C84" w14:textId="77777777" w:rsidR="006424C8" w:rsidRPr="000317ED" w:rsidRDefault="00380BC4" w:rsidP="006424C8">
            <w:pPr>
              <w:rPr>
                <w:rFonts w:ascii="Arial" w:hAnsi="Arial" w:cs="Arial"/>
                <w:color w:val="000000"/>
              </w:rPr>
            </w:pPr>
            <w:r w:rsidRPr="000317ED">
              <w:rPr>
                <w:rFonts w:ascii="Arial" w:hAnsi="Arial" w:cs="Arial"/>
                <w:color w:val="000000"/>
              </w:rPr>
              <w:t>Baseline, MRI Visit 1, all TMS treatment visits, MRI Visit 2, monthly follow-up visits</w:t>
            </w:r>
          </w:p>
        </w:tc>
      </w:tr>
    </w:tbl>
    <w:p w14:paraId="4CC00C86" w14:textId="77777777" w:rsidR="00FD0489" w:rsidRPr="000317ED" w:rsidRDefault="00FD0489">
      <w:pPr>
        <w:rPr>
          <w:rFonts w:ascii="Arial" w:hAnsi="Arial" w:cs="Arial"/>
        </w:rPr>
      </w:pPr>
    </w:p>
    <w:sectPr w:rsidR="00FD0489" w:rsidRPr="00031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C8"/>
    <w:rsid w:val="000317ED"/>
    <w:rsid w:val="00380BC4"/>
    <w:rsid w:val="006424C8"/>
    <w:rsid w:val="00866E6F"/>
    <w:rsid w:val="008C11B2"/>
    <w:rsid w:val="00CE349A"/>
    <w:rsid w:val="00F06FFC"/>
    <w:rsid w:val="00FD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00C44"/>
  <w15:chartTrackingRefBased/>
  <w15:docId w15:val="{0E8518BD-B9AE-4D55-99EB-4647A287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4C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06F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59CA8-8064-4065-9B45-E679082C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Kinney, Kaitlin Roberta</dc:creator>
  <cp:keywords/>
  <dc:description/>
  <cp:lastModifiedBy>Kinney, Kaitlin Roberta</cp:lastModifiedBy>
  <cp:revision>2</cp:revision>
  <dcterms:created xsi:type="dcterms:W3CDTF">2025-08-08T18:32:00Z</dcterms:created>
  <dcterms:modified xsi:type="dcterms:W3CDTF">2025-08-11T21:47:00Z</dcterms:modified>
</cp:coreProperties>
</file>