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9155" w14:textId="77777777" w:rsidR="0039478B" w:rsidRPr="0039478B" w:rsidRDefault="0039478B" w:rsidP="0039478B">
      <w:pPr>
        <w:contextualSpacing/>
        <w:rPr>
          <w:rFonts w:ascii="Arial" w:hAnsi="Arial" w:cs="Arial"/>
          <w:b/>
          <w:bCs/>
          <w:color w:val="000000" w:themeColor="text1"/>
          <w:sz w:val="22"/>
          <w:szCs w:val="22"/>
        </w:rPr>
      </w:pPr>
    </w:p>
    <w:p w14:paraId="2A9F4C30" w14:textId="06D3733A" w:rsidR="0039478B" w:rsidRDefault="0039478B" w:rsidP="0039478B">
      <w:pPr>
        <w:spacing w:before="100" w:beforeAutospacing="1" w:after="100" w:afterAutospacing="1"/>
        <w:contextualSpacing/>
        <w:rPr>
          <w:rFonts w:ascii="Arial" w:hAnsi="Arial" w:cs="Arial"/>
          <w:iCs/>
          <w:color w:val="000000" w:themeColor="text1"/>
          <w:sz w:val="20"/>
          <w:szCs w:val="20"/>
        </w:rPr>
      </w:pPr>
      <w:r w:rsidRPr="0039478B">
        <w:rPr>
          <w:rFonts w:ascii="Arial" w:hAnsi="Arial" w:cs="Arial"/>
          <w:b/>
          <w:bCs/>
          <w:color w:val="000000" w:themeColor="text1"/>
          <w:sz w:val="20"/>
          <w:szCs w:val="20"/>
        </w:rPr>
        <w:t>Supplemental Table 1</w:t>
      </w:r>
      <w:r w:rsidRPr="0039478B">
        <w:rPr>
          <w:rFonts w:ascii="Arial" w:hAnsi="Arial" w:cs="Arial"/>
          <w:b/>
          <w:bCs/>
          <w:iCs/>
          <w:color w:val="000000" w:themeColor="text1"/>
          <w:sz w:val="20"/>
          <w:szCs w:val="20"/>
        </w:rPr>
        <w:t>.</w:t>
      </w:r>
      <w:r w:rsidRPr="005A0C46">
        <w:rPr>
          <w:rFonts w:ascii="Arial" w:hAnsi="Arial" w:cs="Arial"/>
          <w:iCs/>
          <w:color w:val="000000" w:themeColor="text1"/>
          <w:sz w:val="20"/>
          <w:szCs w:val="20"/>
        </w:rPr>
        <w:t xml:space="preserve"> Study outcomes</w:t>
      </w:r>
    </w:p>
    <w:p w14:paraId="638BCCF4" w14:textId="77777777" w:rsidR="0039478B" w:rsidRPr="005A0C46" w:rsidRDefault="0039478B" w:rsidP="0039478B">
      <w:pPr>
        <w:spacing w:before="100" w:beforeAutospacing="1" w:after="100" w:afterAutospacing="1"/>
        <w:contextualSpacing/>
        <w:rPr>
          <w:rFonts w:ascii="Arial" w:hAnsi="Arial" w:cs="Arial"/>
          <w:iCs/>
          <w:color w:val="000000" w:themeColor="text1"/>
          <w:sz w:val="20"/>
          <w:szCs w:val="20"/>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786"/>
        <w:gridCol w:w="3217"/>
        <w:gridCol w:w="5249"/>
      </w:tblGrid>
      <w:tr w:rsidR="0039478B" w:rsidRPr="00CF16AD" w14:paraId="0098B09E" w14:textId="77777777" w:rsidTr="000C1939">
        <w:tc>
          <w:tcPr>
            <w:tcW w:w="786" w:type="dxa"/>
            <w:tcBorders>
              <w:top w:val="single" w:sz="4" w:space="0" w:color="auto"/>
              <w:left w:val="nil"/>
              <w:bottom w:val="single" w:sz="4" w:space="0" w:color="auto"/>
            </w:tcBorders>
            <w:shd w:val="clear" w:color="auto" w:fill="auto"/>
          </w:tcPr>
          <w:p w14:paraId="3C3A8CE7" w14:textId="77777777" w:rsidR="0039478B" w:rsidRPr="003F3938" w:rsidRDefault="0039478B" w:rsidP="000C1939">
            <w:pPr>
              <w:jc w:val="center"/>
              <w:rPr>
                <w:rFonts w:ascii="Arial" w:hAnsi="Arial" w:cs="Arial"/>
                <w:b/>
                <w:sz w:val="16"/>
                <w:szCs w:val="16"/>
              </w:rPr>
            </w:pPr>
            <w:r w:rsidRPr="003F3938">
              <w:rPr>
                <w:rFonts w:ascii="Arial" w:hAnsi="Arial" w:cs="Arial"/>
                <w:b/>
                <w:sz w:val="16"/>
                <w:szCs w:val="16"/>
              </w:rPr>
              <w:t>Aim</w:t>
            </w:r>
          </w:p>
        </w:tc>
        <w:tc>
          <w:tcPr>
            <w:tcW w:w="3303" w:type="dxa"/>
            <w:tcBorders>
              <w:top w:val="single" w:sz="4" w:space="0" w:color="auto"/>
              <w:bottom w:val="single" w:sz="4" w:space="0" w:color="auto"/>
            </w:tcBorders>
            <w:shd w:val="clear" w:color="auto" w:fill="auto"/>
          </w:tcPr>
          <w:p w14:paraId="2D3C4DFD" w14:textId="77777777" w:rsidR="0039478B" w:rsidRPr="003F3938" w:rsidRDefault="0039478B" w:rsidP="000C1939">
            <w:pPr>
              <w:jc w:val="center"/>
              <w:rPr>
                <w:rFonts w:ascii="Arial" w:hAnsi="Arial" w:cs="Arial"/>
                <w:b/>
                <w:sz w:val="16"/>
                <w:szCs w:val="16"/>
              </w:rPr>
            </w:pPr>
            <w:r>
              <w:rPr>
                <w:rFonts w:ascii="Arial" w:hAnsi="Arial" w:cs="Arial"/>
                <w:b/>
                <w:sz w:val="16"/>
                <w:szCs w:val="16"/>
              </w:rPr>
              <w:t>Outcomes</w:t>
            </w:r>
          </w:p>
        </w:tc>
        <w:tc>
          <w:tcPr>
            <w:tcW w:w="5443" w:type="dxa"/>
            <w:tcBorders>
              <w:top w:val="single" w:sz="4" w:space="0" w:color="auto"/>
              <w:bottom w:val="single" w:sz="4" w:space="0" w:color="auto"/>
              <w:right w:val="nil"/>
            </w:tcBorders>
            <w:shd w:val="clear" w:color="auto" w:fill="auto"/>
          </w:tcPr>
          <w:p w14:paraId="7D88B51A" w14:textId="77777777" w:rsidR="0039478B" w:rsidRPr="003F3938" w:rsidRDefault="0039478B" w:rsidP="000C1939">
            <w:pPr>
              <w:jc w:val="center"/>
              <w:rPr>
                <w:rFonts w:ascii="Arial" w:hAnsi="Arial" w:cs="Arial"/>
                <w:b/>
                <w:sz w:val="16"/>
                <w:szCs w:val="16"/>
              </w:rPr>
            </w:pPr>
            <w:r w:rsidRPr="003F3938">
              <w:rPr>
                <w:rFonts w:ascii="Arial" w:hAnsi="Arial" w:cs="Arial"/>
                <w:b/>
                <w:sz w:val="16"/>
                <w:szCs w:val="16"/>
              </w:rPr>
              <w:t>Definition</w:t>
            </w:r>
          </w:p>
        </w:tc>
      </w:tr>
      <w:tr w:rsidR="0039478B" w:rsidRPr="00CF16AD" w14:paraId="330BB662" w14:textId="77777777" w:rsidTr="000C1939">
        <w:tc>
          <w:tcPr>
            <w:tcW w:w="786" w:type="dxa"/>
            <w:tcBorders>
              <w:top w:val="single" w:sz="4" w:space="0" w:color="auto"/>
              <w:left w:val="nil"/>
              <w:bottom w:val="single" w:sz="4" w:space="0" w:color="auto"/>
            </w:tcBorders>
            <w:shd w:val="clear" w:color="auto" w:fill="auto"/>
          </w:tcPr>
          <w:p w14:paraId="7CBC4EC6" w14:textId="77777777" w:rsidR="0039478B" w:rsidRPr="003F3938" w:rsidRDefault="0039478B" w:rsidP="000C1939">
            <w:pPr>
              <w:jc w:val="center"/>
              <w:rPr>
                <w:rFonts w:ascii="Arial" w:hAnsi="Arial" w:cs="Arial"/>
                <w:sz w:val="16"/>
                <w:szCs w:val="16"/>
              </w:rPr>
            </w:pPr>
            <w:r>
              <w:rPr>
                <w:rFonts w:ascii="Arial" w:hAnsi="Arial" w:cs="Arial"/>
                <w:sz w:val="16"/>
                <w:szCs w:val="16"/>
              </w:rPr>
              <w:t>General</w:t>
            </w:r>
          </w:p>
        </w:tc>
        <w:tc>
          <w:tcPr>
            <w:tcW w:w="3303" w:type="dxa"/>
            <w:tcBorders>
              <w:top w:val="single" w:sz="4" w:space="0" w:color="auto"/>
              <w:bottom w:val="single" w:sz="4" w:space="0" w:color="auto"/>
            </w:tcBorders>
            <w:shd w:val="clear" w:color="auto" w:fill="auto"/>
          </w:tcPr>
          <w:p w14:paraId="5F26F6AB" w14:textId="401E2C9A" w:rsidR="0039478B" w:rsidRDefault="0039478B" w:rsidP="000C1939">
            <w:pPr>
              <w:rPr>
                <w:rFonts w:ascii="Arial" w:hAnsi="Arial" w:cs="Arial"/>
                <w:sz w:val="16"/>
                <w:szCs w:val="16"/>
              </w:rPr>
            </w:pPr>
            <w:r w:rsidRPr="00BD2672">
              <w:rPr>
                <w:rFonts w:ascii="Arial" w:hAnsi="Arial" w:cs="Arial"/>
                <w:sz w:val="16"/>
                <w:szCs w:val="16"/>
              </w:rPr>
              <w:t>Cumulative</w:t>
            </w:r>
            <w:r>
              <w:rPr>
                <w:rFonts w:ascii="Arial" w:hAnsi="Arial" w:cs="Arial"/>
                <w:sz w:val="16"/>
                <w:szCs w:val="16"/>
              </w:rPr>
              <w:t xml:space="preserve"> incidence of</w:t>
            </w:r>
            <w:r>
              <w:rPr>
                <w:rFonts w:ascii="Arial" w:hAnsi="Arial" w:cs="Arial"/>
                <w:i/>
                <w:iCs/>
                <w:sz w:val="16"/>
                <w:szCs w:val="16"/>
              </w:rPr>
              <w:t xml:space="preserve"> </w:t>
            </w:r>
            <w:r w:rsidRPr="006E0F36">
              <w:rPr>
                <w:rFonts w:ascii="Arial" w:hAnsi="Arial" w:cs="Arial"/>
                <w:i/>
                <w:iCs/>
                <w:sz w:val="16"/>
                <w:szCs w:val="16"/>
              </w:rPr>
              <w:t>P</w:t>
            </w:r>
            <w:r>
              <w:rPr>
                <w:rFonts w:ascii="Arial" w:hAnsi="Arial" w:cs="Arial"/>
                <w:i/>
                <w:iCs/>
                <w:sz w:val="16"/>
                <w:szCs w:val="16"/>
              </w:rPr>
              <w:t>. vivax</w:t>
            </w:r>
            <w:r>
              <w:rPr>
                <w:rFonts w:ascii="Arial" w:hAnsi="Arial" w:cs="Arial"/>
                <w:sz w:val="16"/>
                <w:szCs w:val="16"/>
              </w:rPr>
              <w:t>* (Primary outcome)</w:t>
            </w:r>
            <w:r w:rsidRPr="006E0F36">
              <w:rPr>
                <w:rFonts w:ascii="Arial" w:hAnsi="Arial" w:cs="Arial"/>
                <w:sz w:val="16"/>
                <w:szCs w:val="16"/>
              </w:rPr>
              <w:t xml:space="preserve"> †‡</w:t>
            </w:r>
          </w:p>
        </w:tc>
        <w:tc>
          <w:tcPr>
            <w:tcW w:w="5443" w:type="dxa"/>
            <w:tcBorders>
              <w:top w:val="single" w:sz="4" w:space="0" w:color="auto"/>
              <w:bottom w:val="single" w:sz="4" w:space="0" w:color="auto"/>
              <w:right w:val="nil"/>
            </w:tcBorders>
            <w:shd w:val="clear" w:color="auto" w:fill="auto"/>
          </w:tcPr>
          <w:p w14:paraId="74D1E359" w14:textId="61F427D9" w:rsidR="0039478B" w:rsidRDefault="0039478B" w:rsidP="000C1939">
            <w:pPr>
              <w:pStyle w:val="List2"/>
              <w:ind w:left="0" w:firstLine="0"/>
              <w:rPr>
                <w:rFonts w:ascii="Arial" w:hAnsi="Arial" w:cs="Arial"/>
                <w:sz w:val="16"/>
                <w:szCs w:val="16"/>
              </w:rPr>
            </w:pPr>
            <w:r>
              <w:rPr>
                <w:rFonts w:ascii="Arial" w:hAnsi="Arial" w:cs="Arial"/>
                <w:sz w:val="16"/>
                <w:szCs w:val="16"/>
              </w:rPr>
              <w:t xml:space="preserve">Number of microscopy-confirmed, </w:t>
            </w:r>
            <w:r w:rsidRPr="006E0F36">
              <w:rPr>
                <w:rFonts w:ascii="Arial" w:hAnsi="Arial" w:cs="Arial"/>
                <w:i/>
                <w:iCs/>
                <w:sz w:val="16"/>
                <w:szCs w:val="16"/>
              </w:rPr>
              <w:t>P</w:t>
            </w:r>
            <w:r>
              <w:rPr>
                <w:rFonts w:ascii="Arial" w:hAnsi="Arial" w:cs="Arial"/>
                <w:i/>
                <w:iCs/>
                <w:sz w:val="16"/>
                <w:szCs w:val="16"/>
              </w:rPr>
              <w:t>. vivax</w:t>
            </w:r>
            <w:r>
              <w:rPr>
                <w:rFonts w:ascii="Arial" w:hAnsi="Arial" w:cs="Arial"/>
                <w:sz w:val="16"/>
                <w:szCs w:val="16"/>
              </w:rPr>
              <w:t xml:space="preserve"> malaria cases in residents** reported from health facilities per population over the follow-up study period</w:t>
            </w:r>
          </w:p>
        </w:tc>
      </w:tr>
      <w:tr w:rsidR="0039478B" w:rsidRPr="00CF16AD" w14:paraId="5A254586" w14:textId="77777777" w:rsidTr="000C1939">
        <w:tc>
          <w:tcPr>
            <w:tcW w:w="786" w:type="dxa"/>
            <w:tcBorders>
              <w:top w:val="single" w:sz="4" w:space="0" w:color="auto"/>
              <w:left w:val="nil"/>
              <w:bottom w:val="single" w:sz="4" w:space="0" w:color="auto"/>
            </w:tcBorders>
            <w:shd w:val="clear" w:color="auto" w:fill="auto"/>
          </w:tcPr>
          <w:p w14:paraId="63609A67" w14:textId="77777777" w:rsidR="0039478B" w:rsidRPr="003F3938" w:rsidRDefault="0039478B" w:rsidP="000C1939">
            <w:pPr>
              <w:jc w:val="center"/>
              <w:rPr>
                <w:rFonts w:ascii="Arial" w:hAnsi="Arial" w:cs="Arial"/>
                <w:sz w:val="16"/>
                <w:szCs w:val="16"/>
              </w:rPr>
            </w:pPr>
            <w:r w:rsidRPr="00954AFD">
              <w:rPr>
                <w:rFonts w:ascii="Arial" w:hAnsi="Arial" w:cs="Arial"/>
                <w:sz w:val="16"/>
                <w:szCs w:val="16"/>
              </w:rPr>
              <w:t>General</w:t>
            </w:r>
          </w:p>
        </w:tc>
        <w:tc>
          <w:tcPr>
            <w:tcW w:w="3303" w:type="dxa"/>
            <w:tcBorders>
              <w:top w:val="single" w:sz="4" w:space="0" w:color="auto"/>
              <w:bottom w:val="single" w:sz="4" w:space="0" w:color="auto"/>
            </w:tcBorders>
            <w:shd w:val="clear" w:color="auto" w:fill="auto"/>
          </w:tcPr>
          <w:p w14:paraId="0C10423B" w14:textId="62995F43" w:rsidR="0039478B" w:rsidRPr="00404665" w:rsidRDefault="0039478B" w:rsidP="000C1939">
            <w:pPr>
              <w:rPr>
                <w:rFonts w:ascii="Arial" w:hAnsi="Arial" w:cs="Arial"/>
                <w:sz w:val="16"/>
                <w:szCs w:val="16"/>
              </w:rPr>
            </w:pPr>
            <w:r>
              <w:rPr>
                <w:rFonts w:ascii="Arial" w:hAnsi="Arial" w:cs="Arial"/>
                <w:sz w:val="16"/>
                <w:szCs w:val="16"/>
              </w:rPr>
              <w:t xml:space="preserve">Prevalence of </w:t>
            </w:r>
            <w:r w:rsidRPr="006E0F36">
              <w:rPr>
                <w:rFonts w:ascii="Arial" w:hAnsi="Arial" w:cs="Arial"/>
                <w:i/>
                <w:iCs/>
                <w:sz w:val="16"/>
                <w:szCs w:val="16"/>
              </w:rPr>
              <w:t>P</w:t>
            </w:r>
            <w:r>
              <w:rPr>
                <w:rFonts w:ascii="Arial" w:hAnsi="Arial" w:cs="Arial"/>
                <w:i/>
                <w:iCs/>
                <w:sz w:val="16"/>
                <w:szCs w:val="16"/>
              </w:rPr>
              <w:t>. vivax</w:t>
            </w:r>
            <w:r>
              <w:rPr>
                <w:rFonts w:ascii="Arial" w:hAnsi="Arial" w:cs="Arial"/>
                <w:sz w:val="16"/>
                <w:szCs w:val="16"/>
              </w:rPr>
              <w:t xml:space="preserve"> infection*</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66C9789E" w14:textId="77777777" w:rsidR="0039478B" w:rsidRPr="003F3938" w:rsidRDefault="0039478B" w:rsidP="000C1939">
            <w:pPr>
              <w:pStyle w:val="List2"/>
              <w:ind w:left="0" w:firstLine="0"/>
              <w:rPr>
                <w:rFonts w:ascii="Arial" w:hAnsi="Arial" w:cs="Arial"/>
                <w:sz w:val="16"/>
                <w:szCs w:val="16"/>
              </w:rPr>
            </w:pPr>
            <w:r>
              <w:rPr>
                <w:rFonts w:ascii="Arial" w:hAnsi="Arial" w:cs="Arial"/>
                <w:sz w:val="16"/>
                <w:szCs w:val="16"/>
              </w:rPr>
              <w:t>Proportion of individuals with PCR-confirmed infection in an endline survey</w:t>
            </w:r>
          </w:p>
        </w:tc>
      </w:tr>
      <w:tr w:rsidR="0039478B" w:rsidRPr="00CF16AD" w14:paraId="2162400F" w14:textId="77777777" w:rsidTr="000C1939">
        <w:tc>
          <w:tcPr>
            <w:tcW w:w="786" w:type="dxa"/>
            <w:tcBorders>
              <w:top w:val="single" w:sz="4" w:space="0" w:color="auto"/>
              <w:left w:val="nil"/>
              <w:bottom w:val="single" w:sz="4" w:space="0" w:color="auto"/>
            </w:tcBorders>
            <w:shd w:val="clear" w:color="auto" w:fill="auto"/>
          </w:tcPr>
          <w:p w14:paraId="62E916BF" w14:textId="77777777" w:rsidR="0039478B" w:rsidRPr="003F3938" w:rsidRDefault="0039478B" w:rsidP="000C1939">
            <w:pPr>
              <w:jc w:val="center"/>
              <w:rPr>
                <w:rFonts w:ascii="Arial" w:hAnsi="Arial" w:cs="Arial"/>
                <w:sz w:val="16"/>
                <w:szCs w:val="16"/>
              </w:rPr>
            </w:pPr>
            <w:r w:rsidRPr="00954AFD">
              <w:rPr>
                <w:rFonts w:ascii="Arial" w:hAnsi="Arial" w:cs="Arial"/>
                <w:sz w:val="16"/>
                <w:szCs w:val="16"/>
              </w:rPr>
              <w:t>General</w:t>
            </w:r>
          </w:p>
        </w:tc>
        <w:tc>
          <w:tcPr>
            <w:tcW w:w="3303" w:type="dxa"/>
            <w:tcBorders>
              <w:top w:val="single" w:sz="4" w:space="0" w:color="auto"/>
              <w:bottom w:val="single" w:sz="4" w:space="0" w:color="auto"/>
            </w:tcBorders>
            <w:shd w:val="clear" w:color="auto" w:fill="auto"/>
          </w:tcPr>
          <w:p w14:paraId="231A7AE6" w14:textId="083CA39B" w:rsidR="0039478B" w:rsidRPr="003F3938" w:rsidRDefault="0039478B" w:rsidP="000C1939">
            <w:pPr>
              <w:rPr>
                <w:rFonts w:ascii="Arial" w:hAnsi="Arial" w:cs="Arial"/>
                <w:sz w:val="16"/>
                <w:szCs w:val="16"/>
              </w:rPr>
            </w:pPr>
            <w:r w:rsidRPr="006E0F36">
              <w:rPr>
                <w:rFonts w:ascii="Arial" w:hAnsi="Arial" w:cs="Arial"/>
                <w:i/>
                <w:iCs/>
                <w:sz w:val="16"/>
                <w:szCs w:val="16"/>
              </w:rPr>
              <w:t>P</w:t>
            </w:r>
            <w:r>
              <w:rPr>
                <w:rFonts w:ascii="Arial" w:hAnsi="Arial" w:cs="Arial"/>
                <w:i/>
                <w:iCs/>
                <w:sz w:val="16"/>
                <w:szCs w:val="16"/>
              </w:rPr>
              <w:t>. vivax</w:t>
            </w:r>
            <w:r>
              <w:rPr>
                <w:rFonts w:ascii="Arial" w:hAnsi="Arial" w:cs="Arial"/>
                <w:sz w:val="16"/>
                <w:szCs w:val="16"/>
              </w:rPr>
              <w:t xml:space="preserve"> seroprevalence and seroconversion rates*</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49E99768" w14:textId="77777777" w:rsidR="0039478B" w:rsidRPr="00D547F8" w:rsidRDefault="0039478B" w:rsidP="000C1939">
            <w:pPr>
              <w:pStyle w:val="List2"/>
              <w:ind w:left="0" w:firstLine="0"/>
              <w:rPr>
                <w:rFonts w:ascii="Arial" w:hAnsi="Arial" w:cs="Arial"/>
                <w:sz w:val="16"/>
                <w:szCs w:val="16"/>
              </w:rPr>
            </w:pPr>
            <w:r>
              <w:rPr>
                <w:rFonts w:ascii="Arial" w:hAnsi="Arial" w:cs="Arial"/>
                <w:sz w:val="16"/>
                <w:szCs w:val="16"/>
              </w:rPr>
              <w:t>Proportion seropositive; R</w:t>
            </w:r>
            <w:r w:rsidRPr="00395AB9">
              <w:rPr>
                <w:rFonts w:ascii="Arial" w:hAnsi="Arial" w:cs="Arial"/>
                <w:sz w:val="16"/>
                <w:szCs w:val="16"/>
              </w:rPr>
              <w:t xml:space="preserve">ate at which seronegative individuals became seropositive estimated from age-specific seroprevalence from </w:t>
            </w:r>
            <w:r>
              <w:rPr>
                <w:rFonts w:ascii="Arial" w:hAnsi="Arial" w:cs="Arial"/>
                <w:sz w:val="16"/>
                <w:szCs w:val="16"/>
              </w:rPr>
              <w:t>endline survey</w:t>
            </w:r>
            <w:r w:rsidRPr="00395AB9">
              <w:rPr>
                <w:rFonts w:ascii="Arial" w:hAnsi="Arial" w:cs="Arial"/>
                <w:sz w:val="16"/>
                <w:szCs w:val="16"/>
              </w:rPr>
              <w:t>, adjusted by modelling longitudinal individual serological status and/or antibody tite</w:t>
            </w:r>
            <w:r>
              <w:rPr>
                <w:rFonts w:ascii="Arial" w:hAnsi="Arial" w:cs="Arial"/>
                <w:sz w:val="16"/>
                <w:szCs w:val="16"/>
              </w:rPr>
              <w:t>r</w:t>
            </w:r>
            <w:r w:rsidRPr="00395AB9">
              <w:rPr>
                <w:rFonts w:ascii="Arial" w:hAnsi="Arial" w:cs="Arial"/>
                <w:sz w:val="16"/>
                <w:szCs w:val="16"/>
              </w:rPr>
              <w:t>s</w:t>
            </w:r>
          </w:p>
        </w:tc>
      </w:tr>
      <w:tr w:rsidR="0039478B" w:rsidRPr="00CF16AD" w14:paraId="5262947A" w14:textId="77777777" w:rsidTr="000C1939">
        <w:tc>
          <w:tcPr>
            <w:tcW w:w="786" w:type="dxa"/>
            <w:tcBorders>
              <w:top w:val="single" w:sz="4" w:space="0" w:color="auto"/>
              <w:left w:val="nil"/>
              <w:bottom w:val="single" w:sz="4" w:space="0" w:color="auto"/>
            </w:tcBorders>
            <w:shd w:val="clear" w:color="auto" w:fill="auto"/>
          </w:tcPr>
          <w:p w14:paraId="514039AB" w14:textId="77777777" w:rsidR="0039478B" w:rsidRPr="003F3938" w:rsidRDefault="0039478B" w:rsidP="000C1939">
            <w:pPr>
              <w:jc w:val="center"/>
              <w:rPr>
                <w:rFonts w:ascii="Arial" w:hAnsi="Arial" w:cs="Arial"/>
                <w:sz w:val="16"/>
                <w:szCs w:val="16"/>
              </w:rPr>
            </w:pPr>
            <w:r w:rsidRPr="00954AFD">
              <w:rPr>
                <w:rFonts w:ascii="Arial" w:hAnsi="Arial" w:cs="Arial"/>
                <w:sz w:val="16"/>
                <w:szCs w:val="16"/>
              </w:rPr>
              <w:t>General</w:t>
            </w:r>
          </w:p>
        </w:tc>
        <w:tc>
          <w:tcPr>
            <w:tcW w:w="3303" w:type="dxa"/>
            <w:tcBorders>
              <w:top w:val="single" w:sz="4" w:space="0" w:color="auto"/>
              <w:bottom w:val="single" w:sz="4" w:space="0" w:color="auto"/>
            </w:tcBorders>
            <w:shd w:val="clear" w:color="auto" w:fill="auto"/>
          </w:tcPr>
          <w:p w14:paraId="27F13422" w14:textId="2AAFD434" w:rsidR="0039478B" w:rsidRPr="003F3938" w:rsidRDefault="0039478B" w:rsidP="000C1939">
            <w:pPr>
              <w:rPr>
                <w:rFonts w:ascii="Arial" w:hAnsi="Arial" w:cs="Arial"/>
                <w:sz w:val="16"/>
                <w:szCs w:val="16"/>
              </w:rPr>
            </w:pPr>
            <w:r>
              <w:rPr>
                <w:rFonts w:ascii="Arial" w:hAnsi="Arial" w:cs="Arial"/>
                <w:sz w:val="16"/>
                <w:szCs w:val="16"/>
              </w:rPr>
              <w:t xml:space="preserve">Genetic diversity of </w:t>
            </w:r>
            <w:r w:rsidRPr="006E0F36">
              <w:rPr>
                <w:rFonts w:ascii="Arial" w:hAnsi="Arial" w:cs="Arial"/>
                <w:i/>
                <w:iCs/>
                <w:sz w:val="16"/>
                <w:szCs w:val="16"/>
              </w:rPr>
              <w:t>P</w:t>
            </w:r>
            <w:r>
              <w:rPr>
                <w:rFonts w:ascii="Arial" w:hAnsi="Arial" w:cs="Arial"/>
                <w:i/>
                <w:iCs/>
                <w:sz w:val="16"/>
                <w:szCs w:val="16"/>
              </w:rPr>
              <w:t>. vivax</w:t>
            </w:r>
            <w:r>
              <w:rPr>
                <w:rFonts w:ascii="Arial" w:hAnsi="Arial" w:cs="Arial"/>
                <w:sz w:val="16"/>
                <w:szCs w:val="16"/>
              </w:rPr>
              <w:t xml:space="preserve"> </w:t>
            </w:r>
            <w:r>
              <w:rPr>
                <w:rFonts w:ascii="Arial" w:hAnsi="Arial" w:cs="Arial"/>
                <w:sz w:val="16"/>
                <w:szCs w:val="16"/>
              </w:rPr>
              <w:t>*</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6B69BC1D" w14:textId="77777777" w:rsidR="0039478B" w:rsidRPr="003F3938" w:rsidRDefault="0039478B" w:rsidP="000C1939">
            <w:pPr>
              <w:pStyle w:val="List2"/>
              <w:ind w:left="0" w:firstLine="0"/>
              <w:rPr>
                <w:rFonts w:ascii="Arial" w:hAnsi="Arial" w:cs="Arial"/>
                <w:sz w:val="16"/>
                <w:szCs w:val="16"/>
              </w:rPr>
            </w:pPr>
            <w:r>
              <w:rPr>
                <w:rFonts w:ascii="Arial" w:hAnsi="Arial" w:cs="Arial"/>
                <w:sz w:val="16"/>
                <w:szCs w:val="16"/>
              </w:rPr>
              <w:t>Diversity and relatedness of locally acquired infections</w:t>
            </w:r>
          </w:p>
        </w:tc>
      </w:tr>
      <w:tr w:rsidR="0039478B" w:rsidRPr="00CF16AD" w14:paraId="22EE4901" w14:textId="77777777" w:rsidTr="000C1939">
        <w:tc>
          <w:tcPr>
            <w:tcW w:w="786" w:type="dxa"/>
            <w:tcBorders>
              <w:top w:val="single" w:sz="4" w:space="0" w:color="auto"/>
              <w:left w:val="nil"/>
              <w:bottom w:val="single" w:sz="4" w:space="0" w:color="auto"/>
            </w:tcBorders>
            <w:shd w:val="clear" w:color="auto" w:fill="auto"/>
          </w:tcPr>
          <w:p w14:paraId="2AE6F466" w14:textId="77777777" w:rsidR="0039478B" w:rsidRPr="003F3938" w:rsidRDefault="0039478B" w:rsidP="000C1939">
            <w:pPr>
              <w:jc w:val="center"/>
              <w:rPr>
                <w:rFonts w:ascii="Arial" w:hAnsi="Arial" w:cs="Arial"/>
                <w:sz w:val="16"/>
                <w:szCs w:val="16"/>
              </w:rPr>
            </w:pPr>
            <w:r w:rsidRPr="00954AFD">
              <w:rPr>
                <w:rFonts w:ascii="Arial" w:hAnsi="Arial" w:cs="Arial"/>
                <w:sz w:val="16"/>
                <w:szCs w:val="16"/>
              </w:rPr>
              <w:t>General</w:t>
            </w:r>
          </w:p>
        </w:tc>
        <w:tc>
          <w:tcPr>
            <w:tcW w:w="3303" w:type="dxa"/>
            <w:tcBorders>
              <w:top w:val="single" w:sz="4" w:space="0" w:color="auto"/>
              <w:bottom w:val="single" w:sz="4" w:space="0" w:color="auto"/>
            </w:tcBorders>
            <w:shd w:val="clear" w:color="auto" w:fill="auto"/>
          </w:tcPr>
          <w:p w14:paraId="793AABFE" w14:textId="77777777" w:rsidR="0039478B" w:rsidRDefault="0039478B" w:rsidP="000C1939">
            <w:pPr>
              <w:rPr>
                <w:rFonts w:ascii="Arial" w:hAnsi="Arial" w:cs="Arial"/>
                <w:sz w:val="16"/>
                <w:szCs w:val="16"/>
              </w:rPr>
            </w:pPr>
            <w:r>
              <w:rPr>
                <w:rFonts w:ascii="Arial" w:hAnsi="Arial" w:cs="Arial"/>
                <w:sz w:val="16"/>
                <w:szCs w:val="16"/>
              </w:rPr>
              <w:t>Prevalence of seropositivity</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5AE51F4A" w14:textId="77777777" w:rsidR="0039478B" w:rsidRDefault="0039478B" w:rsidP="000C1939">
            <w:pPr>
              <w:pStyle w:val="List2"/>
              <w:ind w:left="0" w:firstLine="0"/>
              <w:rPr>
                <w:rFonts w:ascii="Arial" w:hAnsi="Arial" w:cs="Arial"/>
                <w:sz w:val="16"/>
                <w:szCs w:val="16"/>
              </w:rPr>
            </w:pPr>
            <w:r w:rsidRPr="004D29E9">
              <w:rPr>
                <w:rFonts w:ascii="Arial" w:hAnsi="Arial" w:cs="Arial"/>
                <w:sz w:val="16"/>
                <w:szCs w:val="16"/>
              </w:rPr>
              <w:t>Proportion of individuals that are seropositive in the final endline cross-sectional survey</w:t>
            </w:r>
          </w:p>
        </w:tc>
      </w:tr>
      <w:tr w:rsidR="0039478B" w:rsidRPr="00CF16AD" w14:paraId="01AAE488" w14:textId="77777777" w:rsidTr="000C1939">
        <w:tc>
          <w:tcPr>
            <w:tcW w:w="786" w:type="dxa"/>
            <w:tcBorders>
              <w:top w:val="single" w:sz="4" w:space="0" w:color="auto"/>
              <w:left w:val="nil"/>
              <w:bottom w:val="single" w:sz="4" w:space="0" w:color="auto"/>
            </w:tcBorders>
            <w:shd w:val="clear" w:color="auto" w:fill="auto"/>
          </w:tcPr>
          <w:p w14:paraId="2A736D27" w14:textId="77777777" w:rsidR="0039478B" w:rsidRPr="003F3938" w:rsidRDefault="0039478B" w:rsidP="000C1939">
            <w:pPr>
              <w:jc w:val="center"/>
              <w:rPr>
                <w:rFonts w:ascii="Arial" w:hAnsi="Arial" w:cs="Arial"/>
                <w:sz w:val="16"/>
                <w:szCs w:val="16"/>
              </w:rPr>
            </w:pPr>
            <w:r w:rsidRPr="00954AFD">
              <w:rPr>
                <w:rFonts w:ascii="Arial" w:hAnsi="Arial" w:cs="Arial"/>
                <w:sz w:val="16"/>
                <w:szCs w:val="16"/>
              </w:rPr>
              <w:t>General</w:t>
            </w:r>
          </w:p>
        </w:tc>
        <w:tc>
          <w:tcPr>
            <w:tcW w:w="3303" w:type="dxa"/>
            <w:tcBorders>
              <w:top w:val="single" w:sz="4" w:space="0" w:color="auto"/>
              <w:bottom w:val="single" w:sz="4" w:space="0" w:color="auto"/>
            </w:tcBorders>
            <w:shd w:val="clear" w:color="auto" w:fill="auto"/>
          </w:tcPr>
          <w:p w14:paraId="292F3714" w14:textId="77777777" w:rsidR="0039478B" w:rsidRDefault="0039478B" w:rsidP="000C1939">
            <w:pPr>
              <w:rPr>
                <w:rFonts w:ascii="Arial" w:hAnsi="Arial" w:cs="Arial"/>
                <w:sz w:val="16"/>
                <w:szCs w:val="16"/>
              </w:rPr>
            </w:pPr>
            <w:r>
              <w:rPr>
                <w:rFonts w:ascii="Arial" w:hAnsi="Arial" w:cs="Arial"/>
                <w:sz w:val="16"/>
                <w:szCs w:val="16"/>
              </w:rPr>
              <w:t>Prevalence of seroconversion</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1360BFCD" w14:textId="77777777" w:rsidR="0039478B" w:rsidRDefault="0039478B" w:rsidP="000C1939">
            <w:pPr>
              <w:pStyle w:val="List2"/>
              <w:ind w:left="0" w:firstLine="0"/>
              <w:rPr>
                <w:rFonts w:ascii="Arial" w:hAnsi="Arial" w:cs="Arial"/>
                <w:sz w:val="16"/>
                <w:szCs w:val="16"/>
              </w:rPr>
            </w:pPr>
            <w:r w:rsidRPr="004D29E9">
              <w:rPr>
                <w:rFonts w:ascii="Arial" w:hAnsi="Arial" w:cs="Arial"/>
                <w:sz w:val="16"/>
                <w:szCs w:val="16"/>
              </w:rPr>
              <w:t>Proportion of individuals that seroconverted from baseline in the final endline cross-sectional survey</w:t>
            </w:r>
          </w:p>
        </w:tc>
      </w:tr>
      <w:tr w:rsidR="0039478B" w:rsidRPr="00CF16AD" w14:paraId="4E4FCABA" w14:textId="77777777" w:rsidTr="000C1939">
        <w:tc>
          <w:tcPr>
            <w:tcW w:w="786" w:type="dxa"/>
            <w:tcBorders>
              <w:top w:val="single" w:sz="4" w:space="0" w:color="auto"/>
              <w:left w:val="nil"/>
              <w:bottom w:val="single" w:sz="4" w:space="0" w:color="auto"/>
            </w:tcBorders>
            <w:shd w:val="clear" w:color="auto" w:fill="auto"/>
          </w:tcPr>
          <w:p w14:paraId="140DECB5" w14:textId="77777777" w:rsidR="0039478B" w:rsidRDefault="0039478B" w:rsidP="000C1939">
            <w:pPr>
              <w:jc w:val="center"/>
              <w:rPr>
                <w:rFonts w:ascii="Arial" w:hAnsi="Arial" w:cs="Arial"/>
                <w:sz w:val="16"/>
                <w:szCs w:val="16"/>
              </w:rPr>
            </w:pPr>
            <w:r>
              <w:rPr>
                <w:rFonts w:ascii="Arial" w:hAnsi="Arial" w:cs="Arial"/>
                <w:sz w:val="16"/>
                <w:szCs w:val="16"/>
              </w:rPr>
              <w:t>Specific 1</w:t>
            </w:r>
          </w:p>
        </w:tc>
        <w:tc>
          <w:tcPr>
            <w:tcW w:w="3303" w:type="dxa"/>
            <w:tcBorders>
              <w:top w:val="single" w:sz="4" w:space="0" w:color="auto"/>
              <w:bottom w:val="single" w:sz="4" w:space="0" w:color="auto"/>
            </w:tcBorders>
            <w:shd w:val="clear" w:color="auto" w:fill="auto"/>
          </w:tcPr>
          <w:p w14:paraId="753E912D" w14:textId="77777777" w:rsidR="0039478B" w:rsidRDefault="0039478B" w:rsidP="000C1939">
            <w:pPr>
              <w:rPr>
                <w:rFonts w:ascii="Arial" w:hAnsi="Arial" w:cs="Arial"/>
                <w:sz w:val="16"/>
                <w:szCs w:val="16"/>
              </w:rPr>
            </w:pPr>
            <w:r>
              <w:rPr>
                <w:rFonts w:ascii="Arial" w:hAnsi="Arial" w:cs="Arial"/>
                <w:sz w:val="16"/>
                <w:szCs w:val="16"/>
              </w:rPr>
              <w:t>Incidence of grade 3-4 AE or SAE</w:t>
            </w:r>
          </w:p>
        </w:tc>
        <w:tc>
          <w:tcPr>
            <w:tcW w:w="5443" w:type="dxa"/>
            <w:tcBorders>
              <w:top w:val="single" w:sz="4" w:space="0" w:color="auto"/>
              <w:bottom w:val="single" w:sz="4" w:space="0" w:color="auto"/>
              <w:right w:val="nil"/>
            </w:tcBorders>
            <w:shd w:val="clear" w:color="auto" w:fill="auto"/>
            <w:vAlign w:val="center"/>
          </w:tcPr>
          <w:p w14:paraId="7C546FBE" w14:textId="77777777" w:rsidR="0039478B" w:rsidRPr="00DD0936" w:rsidRDefault="0039478B" w:rsidP="000C1939">
            <w:pPr>
              <w:rPr>
                <w:rFonts w:ascii="Arial" w:hAnsi="Arial" w:cs="Arial"/>
                <w:sz w:val="16"/>
                <w:szCs w:val="16"/>
              </w:rPr>
            </w:pPr>
            <w:r w:rsidRPr="00DD0936">
              <w:rPr>
                <w:rFonts w:ascii="Arial" w:hAnsi="Arial" w:cs="Arial"/>
                <w:sz w:val="16"/>
                <w:szCs w:val="16"/>
              </w:rPr>
              <w:t>Based on a standardized AE grading scale</w:t>
            </w:r>
            <w:r>
              <w:rPr>
                <w:rFonts w:ascii="Arial" w:hAnsi="Arial" w:cs="Arial"/>
                <w:sz w:val="16"/>
                <w:szCs w:val="16"/>
              </w:rPr>
              <w:fldChar w:fldCharType="begin"/>
            </w:r>
            <w:r>
              <w:rPr>
                <w:rFonts w:ascii="Arial" w:hAnsi="Arial" w:cs="Arial"/>
                <w:sz w:val="16"/>
                <w:szCs w:val="16"/>
              </w:rPr>
              <w:instrText xml:space="preserve"> ADDIN ZOTERO_ITEM CSL_CITATION {"citationID":"N7BonL7B","properties":{"formattedCitation":"\\super 91\\nosupersub{}","plainCitation":"91","noteIndex":0},"citationItems":[{"id":15947,"uris":["http://zotero.org/users/3770906/items/T22ZEYR8"],"itemData":{"id":15947,"type":"webpage","title":"DAIDS Regulatory Support Center (RSC)","URL":"https://rsc.niaid.nih.gov/","accessed":{"date-parts":[["2023",3,27]]}}}],"schema":"https://github.com/citation-style-language/schema/raw/master/csl-citation.json"} </w:instrText>
            </w:r>
            <w:r>
              <w:rPr>
                <w:rFonts w:ascii="Arial" w:hAnsi="Arial" w:cs="Arial"/>
                <w:sz w:val="16"/>
                <w:szCs w:val="16"/>
              </w:rPr>
              <w:fldChar w:fldCharType="separate"/>
            </w:r>
            <w:r w:rsidRPr="007F1AAD">
              <w:rPr>
                <w:rFonts w:ascii="Arial" w:hAnsi="Arial" w:cs="Arial"/>
                <w:sz w:val="16"/>
                <w:vertAlign w:val="superscript"/>
              </w:rPr>
              <w:t>91</w:t>
            </w:r>
            <w:r>
              <w:rPr>
                <w:rFonts w:ascii="Arial" w:hAnsi="Arial" w:cs="Arial"/>
                <w:sz w:val="16"/>
                <w:szCs w:val="16"/>
              </w:rPr>
              <w:fldChar w:fldCharType="end"/>
            </w:r>
            <w:r w:rsidRPr="00DD0936">
              <w:rPr>
                <w:rFonts w:ascii="Arial" w:hAnsi="Arial" w:cs="Arial"/>
                <w:sz w:val="16"/>
                <w:szCs w:val="16"/>
              </w:rPr>
              <w:t xml:space="preserve"> (in </w:t>
            </w:r>
            <w:proofErr w:type="spellStart"/>
            <w:r w:rsidRPr="00DD0936">
              <w:rPr>
                <w:rFonts w:ascii="Arial" w:hAnsi="Arial" w:cs="Arial"/>
                <w:sz w:val="16"/>
                <w:szCs w:val="16"/>
              </w:rPr>
              <w:t>fMDA</w:t>
            </w:r>
            <w:proofErr w:type="spellEnd"/>
            <w:r w:rsidRPr="00DD0936">
              <w:rPr>
                <w:rFonts w:ascii="Arial" w:hAnsi="Arial" w:cs="Arial"/>
                <w:sz w:val="16"/>
                <w:szCs w:val="16"/>
              </w:rPr>
              <w:t xml:space="preserve"> arm only)</w:t>
            </w:r>
          </w:p>
        </w:tc>
      </w:tr>
      <w:tr w:rsidR="0039478B" w:rsidRPr="00CF16AD" w14:paraId="3DA0DCDF" w14:textId="77777777" w:rsidTr="000C1939">
        <w:tc>
          <w:tcPr>
            <w:tcW w:w="786" w:type="dxa"/>
            <w:tcBorders>
              <w:top w:val="single" w:sz="4" w:space="0" w:color="auto"/>
              <w:left w:val="nil"/>
              <w:bottom w:val="single" w:sz="4" w:space="0" w:color="auto"/>
            </w:tcBorders>
            <w:shd w:val="clear" w:color="auto" w:fill="auto"/>
          </w:tcPr>
          <w:p w14:paraId="66212167" w14:textId="77777777" w:rsidR="0039478B" w:rsidRDefault="0039478B" w:rsidP="000C1939">
            <w:pPr>
              <w:jc w:val="center"/>
              <w:rPr>
                <w:rFonts w:ascii="Arial" w:hAnsi="Arial" w:cs="Arial"/>
                <w:sz w:val="16"/>
                <w:szCs w:val="16"/>
              </w:rPr>
            </w:pPr>
            <w:r w:rsidRPr="000170DE">
              <w:rPr>
                <w:rFonts w:ascii="Arial" w:hAnsi="Arial" w:cs="Arial"/>
                <w:sz w:val="16"/>
                <w:szCs w:val="16"/>
              </w:rPr>
              <w:t>Specific 1</w:t>
            </w:r>
          </w:p>
        </w:tc>
        <w:tc>
          <w:tcPr>
            <w:tcW w:w="3303" w:type="dxa"/>
            <w:tcBorders>
              <w:top w:val="single" w:sz="4" w:space="0" w:color="auto"/>
              <w:bottom w:val="single" w:sz="4" w:space="0" w:color="auto"/>
            </w:tcBorders>
            <w:shd w:val="clear" w:color="auto" w:fill="auto"/>
          </w:tcPr>
          <w:p w14:paraId="200B5279" w14:textId="77777777" w:rsidR="0039478B" w:rsidRDefault="0039478B" w:rsidP="000C1939">
            <w:pPr>
              <w:rPr>
                <w:rFonts w:ascii="Arial" w:hAnsi="Arial" w:cs="Arial"/>
                <w:sz w:val="16"/>
                <w:szCs w:val="16"/>
              </w:rPr>
            </w:pPr>
            <w:r>
              <w:rPr>
                <w:rFonts w:ascii="Arial" w:hAnsi="Arial" w:cs="Arial"/>
                <w:sz w:val="16"/>
                <w:szCs w:val="16"/>
              </w:rPr>
              <w:t xml:space="preserve">Incidence of any AEs </w:t>
            </w:r>
          </w:p>
        </w:tc>
        <w:tc>
          <w:tcPr>
            <w:tcW w:w="5443" w:type="dxa"/>
            <w:tcBorders>
              <w:top w:val="single" w:sz="4" w:space="0" w:color="auto"/>
              <w:bottom w:val="single" w:sz="4" w:space="0" w:color="auto"/>
              <w:right w:val="nil"/>
            </w:tcBorders>
            <w:shd w:val="clear" w:color="auto" w:fill="auto"/>
          </w:tcPr>
          <w:p w14:paraId="6D67AE91" w14:textId="77777777" w:rsidR="0039478B" w:rsidRPr="00DD0936" w:rsidRDefault="0039478B" w:rsidP="000C1939">
            <w:pPr>
              <w:rPr>
                <w:rFonts w:ascii="Arial" w:hAnsi="Arial" w:cs="Arial"/>
                <w:sz w:val="16"/>
                <w:szCs w:val="16"/>
              </w:rPr>
            </w:pPr>
            <w:r>
              <w:rPr>
                <w:rFonts w:ascii="Arial" w:hAnsi="Arial" w:cs="Arial"/>
                <w:sz w:val="16"/>
                <w:szCs w:val="16"/>
              </w:rPr>
              <w:t>As above</w:t>
            </w:r>
          </w:p>
        </w:tc>
      </w:tr>
      <w:tr w:rsidR="0039478B" w:rsidRPr="00CF16AD" w14:paraId="6C82DDDD" w14:textId="77777777" w:rsidTr="000C1939">
        <w:tc>
          <w:tcPr>
            <w:tcW w:w="786" w:type="dxa"/>
            <w:tcBorders>
              <w:top w:val="single" w:sz="4" w:space="0" w:color="auto"/>
              <w:left w:val="nil"/>
              <w:bottom w:val="single" w:sz="4" w:space="0" w:color="auto"/>
            </w:tcBorders>
            <w:shd w:val="clear" w:color="auto" w:fill="auto"/>
          </w:tcPr>
          <w:p w14:paraId="5F463BF0" w14:textId="77777777" w:rsidR="0039478B" w:rsidRDefault="0039478B" w:rsidP="000C1939">
            <w:pPr>
              <w:jc w:val="center"/>
              <w:rPr>
                <w:rFonts w:ascii="Arial" w:hAnsi="Arial" w:cs="Arial"/>
                <w:sz w:val="16"/>
                <w:szCs w:val="16"/>
              </w:rPr>
            </w:pPr>
            <w:r w:rsidRPr="000170DE">
              <w:rPr>
                <w:rFonts w:ascii="Arial" w:hAnsi="Arial" w:cs="Arial"/>
                <w:sz w:val="16"/>
                <w:szCs w:val="16"/>
              </w:rPr>
              <w:t>Specific 1</w:t>
            </w:r>
          </w:p>
        </w:tc>
        <w:tc>
          <w:tcPr>
            <w:tcW w:w="3303" w:type="dxa"/>
            <w:tcBorders>
              <w:top w:val="single" w:sz="4" w:space="0" w:color="auto"/>
              <w:bottom w:val="single" w:sz="4" w:space="0" w:color="auto"/>
            </w:tcBorders>
            <w:shd w:val="clear" w:color="auto" w:fill="auto"/>
          </w:tcPr>
          <w:p w14:paraId="247659BB" w14:textId="77777777" w:rsidR="0039478B" w:rsidRDefault="0039478B" w:rsidP="000C1939">
            <w:pPr>
              <w:rPr>
                <w:rFonts w:ascii="Arial" w:hAnsi="Arial" w:cs="Arial"/>
                <w:sz w:val="16"/>
                <w:szCs w:val="16"/>
              </w:rPr>
            </w:pPr>
            <w:r>
              <w:rPr>
                <w:rFonts w:ascii="Arial" w:hAnsi="Arial" w:cs="Arial"/>
                <w:sz w:val="16"/>
                <w:szCs w:val="16"/>
              </w:rPr>
              <w:t xml:space="preserve">Incidence </w:t>
            </w:r>
            <w:r w:rsidRPr="00DD0936">
              <w:rPr>
                <w:rFonts w:ascii="Arial" w:hAnsi="Arial" w:cs="Arial"/>
                <w:bCs/>
                <w:color w:val="000000"/>
                <w:sz w:val="16"/>
                <w:szCs w:val="16"/>
                <w:lang w:eastAsia="de-CH"/>
              </w:rPr>
              <w:t>o</w:t>
            </w:r>
            <w:r>
              <w:rPr>
                <w:rFonts w:ascii="Arial" w:hAnsi="Arial" w:cs="Arial"/>
                <w:bCs/>
                <w:color w:val="000000"/>
                <w:sz w:val="16"/>
                <w:szCs w:val="16"/>
                <w:lang w:eastAsia="de-CH"/>
              </w:rPr>
              <w:t>f</w:t>
            </w:r>
            <w:r w:rsidRPr="00DD0936">
              <w:rPr>
                <w:rFonts w:ascii="Arial" w:hAnsi="Arial" w:cs="Arial"/>
                <w:bCs/>
                <w:color w:val="000000"/>
                <w:sz w:val="16"/>
                <w:szCs w:val="16"/>
                <w:lang w:eastAsia="de-CH"/>
              </w:rPr>
              <w:t xml:space="preserve"> </w:t>
            </w:r>
            <w:r>
              <w:rPr>
                <w:rFonts w:ascii="Arial" w:hAnsi="Arial" w:cs="Arial"/>
                <w:bCs/>
                <w:color w:val="000000"/>
                <w:sz w:val="16"/>
                <w:szCs w:val="16"/>
                <w:lang w:eastAsia="de-CH"/>
              </w:rPr>
              <w:t xml:space="preserve">SAE and severe in </w:t>
            </w:r>
            <w:proofErr w:type="spellStart"/>
            <w:r>
              <w:rPr>
                <w:rFonts w:ascii="Arial" w:hAnsi="Arial" w:cs="Arial"/>
                <w:bCs/>
                <w:color w:val="000000"/>
                <w:sz w:val="16"/>
                <w:szCs w:val="16"/>
                <w:lang w:eastAsia="de-CH"/>
              </w:rPr>
              <w:t>fMDA</w:t>
            </w:r>
            <w:proofErr w:type="spellEnd"/>
            <w:r>
              <w:rPr>
                <w:rFonts w:ascii="Arial" w:hAnsi="Arial" w:cs="Arial"/>
                <w:bCs/>
                <w:color w:val="000000"/>
                <w:sz w:val="16"/>
                <w:szCs w:val="16"/>
                <w:lang w:eastAsia="de-CH"/>
              </w:rPr>
              <w:t xml:space="preserve">, and incidence of </w:t>
            </w:r>
            <w:r w:rsidRPr="00DD0936">
              <w:rPr>
                <w:rFonts w:ascii="Arial" w:hAnsi="Arial" w:cs="Arial"/>
                <w:bCs/>
                <w:color w:val="000000"/>
                <w:sz w:val="16"/>
                <w:szCs w:val="16"/>
                <w:lang w:eastAsia="de-CH"/>
              </w:rPr>
              <w:t>severe malaria</w:t>
            </w:r>
            <w:r>
              <w:rPr>
                <w:rFonts w:ascii="Arial" w:hAnsi="Arial" w:cs="Arial"/>
                <w:bCs/>
                <w:color w:val="000000"/>
                <w:sz w:val="16"/>
                <w:szCs w:val="16"/>
                <w:lang w:eastAsia="de-CH"/>
              </w:rPr>
              <w:t xml:space="preserve"> in the control arm</w:t>
            </w:r>
          </w:p>
        </w:tc>
        <w:tc>
          <w:tcPr>
            <w:tcW w:w="5443" w:type="dxa"/>
            <w:tcBorders>
              <w:top w:val="single" w:sz="4" w:space="0" w:color="auto"/>
              <w:bottom w:val="single" w:sz="4" w:space="0" w:color="auto"/>
              <w:right w:val="nil"/>
            </w:tcBorders>
            <w:shd w:val="clear" w:color="auto" w:fill="auto"/>
          </w:tcPr>
          <w:p w14:paraId="6B5D11DB" w14:textId="77777777" w:rsidR="0039478B" w:rsidRPr="00DD0936" w:rsidRDefault="0039478B" w:rsidP="000C1939">
            <w:pPr>
              <w:rPr>
                <w:rFonts w:ascii="Arial" w:hAnsi="Arial" w:cs="Arial"/>
                <w:sz w:val="16"/>
                <w:szCs w:val="16"/>
              </w:rPr>
            </w:pPr>
            <w:r>
              <w:rPr>
                <w:rFonts w:ascii="Arial" w:hAnsi="Arial" w:cs="Arial"/>
                <w:bCs/>
                <w:color w:val="000000"/>
                <w:sz w:val="16"/>
                <w:szCs w:val="16"/>
                <w:lang w:eastAsia="de-CH"/>
              </w:rPr>
              <w:t>As above, severe malaria definition based on WHO criteria</w:t>
            </w:r>
            <w:r>
              <w:rPr>
                <w:rFonts w:ascii="Arial" w:hAnsi="Arial" w:cs="Arial"/>
                <w:bCs/>
                <w:color w:val="000000"/>
                <w:sz w:val="16"/>
                <w:szCs w:val="16"/>
                <w:lang w:eastAsia="de-CH"/>
              </w:rPr>
              <w:fldChar w:fldCharType="begin"/>
            </w:r>
            <w:r>
              <w:rPr>
                <w:rFonts w:ascii="Arial" w:hAnsi="Arial" w:cs="Arial"/>
                <w:bCs/>
                <w:color w:val="000000"/>
                <w:sz w:val="16"/>
                <w:szCs w:val="16"/>
                <w:lang w:eastAsia="de-CH"/>
              </w:rPr>
              <w:instrText xml:space="preserve"> ADDIN ZOTERO_ITEM CSL_CITATION {"citationID":"tbwMa43s","properties":{"formattedCitation":"\\super 62\\nosupersub{}","plainCitation":"62","noteIndex":0},"citationItems":[{"id":16068,"uris":["http://zotero.org/users/3770906/items/F8883T8C"],"itemData":{"id":16068,"type":"book","ISBN":"978-92-4-154912-7","language":"en","number-of-pages":"313","publisher":"World Health Organization","source":"apps.who.int","title":"Guidelines for the treatment of malaria","URL":"https://apps.who.int/iris/handle/10665/162441","author":[{"literal":"World Health Organization"}],"accessed":{"date-parts":[["2023",3,28]]},"issued":{"date-parts":[["2015"]]}}}],"schema":"https://github.com/citation-style-language/schema/raw/master/csl-citation.json"} </w:instrText>
            </w:r>
            <w:r>
              <w:rPr>
                <w:rFonts w:ascii="Arial" w:hAnsi="Arial" w:cs="Arial"/>
                <w:bCs/>
                <w:color w:val="000000"/>
                <w:sz w:val="16"/>
                <w:szCs w:val="16"/>
                <w:lang w:eastAsia="de-CH"/>
              </w:rPr>
              <w:fldChar w:fldCharType="separate"/>
            </w:r>
            <w:r w:rsidRPr="007F1AAD">
              <w:rPr>
                <w:rFonts w:ascii="Arial" w:hAnsi="Arial" w:cs="Arial"/>
                <w:color w:val="000000"/>
                <w:sz w:val="16"/>
                <w:vertAlign w:val="superscript"/>
              </w:rPr>
              <w:t>62</w:t>
            </w:r>
            <w:r>
              <w:rPr>
                <w:rFonts w:ascii="Arial" w:hAnsi="Arial" w:cs="Arial"/>
                <w:bCs/>
                <w:color w:val="000000"/>
                <w:sz w:val="16"/>
                <w:szCs w:val="16"/>
                <w:lang w:eastAsia="de-CH"/>
              </w:rPr>
              <w:fldChar w:fldCharType="end"/>
            </w:r>
            <w:r>
              <w:rPr>
                <w:rFonts w:ascii="Arial" w:hAnsi="Arial" w:cs="Arial"/>
                <w:bCs/>
                <w:color w:val="000000"/>
                <w:sz w:val="16"/>
                <w:szCs w:val="16"/>
                <w:lang w:eastAsia="de-CH"/>
              </w:rPr>
              <w:t xml:space="preserve"> (inclusion of severe malaria will include a comparison across both study arms)</w:t>
            </w:r>
            <w:r>
              <w:rPr>
                <w:rFonts w:ascii="Arial" w:hAnsi="Arial" w:cs="Arial"/>
                <w:bCs/>
                <w:color w:val="000000"/>
                <w:sz w:val="16"/>
                <w:szCs w:val="16"/>
                <w:lang w:eastAsia="de-CH"/>
              </w:rPr>
              <w:fldChar w:fldCharType="begin"/>
            </w:r>
            <w:r>
              <w:rPr>
                <w:rFonts w:ascii="Arial" w:hAnsi="Arial" w:cs="Arial"/>
                <w:bCs/>
                <w:color w:val="000000"/>
                <w:sz w:val="16"/>
                <w:szCs w:val="16"/>
                <w:lang w:eastAsia="de-CH"/>
              </w:rPr>
              <w:instrText xml:space="preserve"> ADDIN ZOTERO_ITEM CSL_CITATION {"citationID":"VXJDPgP8","properties":{"formattedCitation":"\\super 87\\uc0\\u8211{}90\\nosupersub{}","plainCitation":"87–90","noteIndex":0},"citationItems":[{"id":15867,"uris":["http://zotero.org/users/3770906/items/UEMMA3VY"],"itemData":{"id":15867,"type":"article-journal","abstract":"Falciparum malaria is a major cause of death and illness in tropical countries, particularly in childhood. In endemic countries, a signiﬁcant proportion of the community is infected with malaria asymptomatically. One promising way to eliminate malaria in low transmission settings is to give the entire population malaria treatment. This is called mass drug administration (MDA) and it raises a number of ethical issues, as possible longterm beneﬁts are uncertain. The effectiveness of MDA is critically dependent on level of participation, so the promised beneﬁts to the community can be annulled by non-participation of a small number of individuals. These potential beneﬁts range, from the permanent elimination of malaria (success) to a transient reduction in the prevalence of infection and the incidence of illness (failure). The drawbacks of MDA are inconvenience, potential toxicity, loss of conﬁdence in the elimination campaign, possible drug resistance (though unlikely) and the potential for a rebound of malaria illness (if immunity is lost and malaria is reintroduced later). Other ethical issues relate to balancing individual and public health interests, and potentially limiting individual autonomy by making MDA compulsory.","container-title":"International Health","DOI":"10.1093/inthealth/ihw027","ISSN":"1876-3413, 1876-3405","issue":"4","journalAbbreviation":"Int. Health","language":"en","page":"235-238","source":"DOI.org (Crossref)","title":"Antimalarial mass drug administration: ethical considerations","title-short":"Antimalarial mass drug administration","volume":"8","author":[{"family":"Cheah","given":"Phaik Yeong"},{"family":"White","given":"Nicholas J"}],"issued":{"date-parts":[["2016",7]]}}},{"id":15941,"uris":["http://zotero.org/users/3770906/items/H25K3NHP"],"itemData":{"id":15941,"type":"article-journal","abstract":"The benign character formerly attributed to Plasmodium vivax infection has been dismantled by the increasing number of reports of severe disease associated with infection with this parasite, prompting the need for more thorough and comprehensive characterization of the spectrum of resulting clinical complications. Endemic areas exhibit wide variations regarding severe disease frequency. This study, conducted simultaneously in Brazil and India, constitutes, to our knowledge, the first multisite study focused on clinical characterization of P. vivax severe disease.","container-title":"BMC Medicine","DOI":"10.1186/s12916-015-0302-y","ISSN":"1741-7015","issue":"1","journalAbbreviation":"BMC Medicine","page":"57","source":"BioMed Central","title":"Characterization of Plasmodium vivax-associated admissions to reference hospitals in Brazil and India","volume":"13","author":[{"family":"Siqueira","given":"André M."},{"family":"Lacerda","given":"Marcus VG"},{"family":"Magalhães","given":"Belisa M. L."},{"family":"Mourão","given":"Maria PG"},{"family":"Melo","given":"Gisely C."},{"family":"Alexandre","given":"Márcia AA"},{"family":"Alecrim","given":"Maria GC"},{"family":"Kochar","given":"Dhanpat"},{"family":"Kochar","given":"Sanjay"},{"family":"Kochar","given":"Abhishek"},{"family":"Nayak","given":"Kailash"},{"family":"Portillo","given":"Hernando","non-dropping-particle":"del"},{"family":"Guinovart","given":"Caterina"},{"family":"Alonso","given":"Pedro"},{"family":"Bassat","given":"Quique"}],"issued":{"date-parts":[["2015",3,20]]}}},{"id":15944,"uris":["http://zotero.org/users/3770906/items/SE9YAPQW"],"itemData":{"id":15944,"type":"article-journal","abstract":"Severe malaria caused by Plasmodium vivax is no longer considered rare. To describe its clinical features, we performed a retrospective case control study in the subregion of Luciano Castillo Colonna, Piura, Peru, an area with nearly exclusive vivax malaria transmission. Severe cases and the subset of critically ill cases were compared with a random set of uncomplicated malaria cases (1:4). Between 2008 and 2009, 6,502 malaria cases were reported, including 106 hospitalized cases, 81 of which fit the World Health Organization definition for severe malaria. Of these 81 individuals, 28 individuals were critically ill (0.4%, 95% confidence interval = 0.2–0.6%) with severe anemia (57%), shock (25%), lung injury (21%), acute renal failure (14%), or cerebral malaria (11%). Two potentially malaria-related deaths occurred. Compared with uncomplicated cases, individuals critically ill were older (38 versus 26 years old, P &lt; 0.001), but similar in other regards. Severe vivax malaria monoinfection with critical illness is more common than previously thought.","container-title":"The American Journal of Tropical Medicine and Hygiene","DOI":"10.4269/ajtmh.12-0610","ISSN":"0002-9637","issue":"1","journalAbbreviation":"Am J Trop Med Hyg","note":"PMID: 24752683\nPMCID: PMC4080549","page":"11-17","source":"PubMed Central","title":"Plasmodium vivax Hospitalizations in a Monoendemic Malaria Region: Severe Vivax Malaria?","title-short":"Plasmodium vivax Hospitalizations in a Monoendemic Malaria Region","volume":"91","author":[{"family":"Quispe","given":"Antonio M."},{"family":"Pozo","given":"Edwar"},{"family":"Guerrero","given":"Edith"},{"family":"Durand","given":"Salomón"},{"family":"Baldeviano","given":"G. Christian"},{"family":"Edgel","given":"Kimberly A."},{"family":"Graf","given":"Paul C. F."},{"family":"Lescano","given":"Andres G."}],"issued":{"date-parts":[["2014",7,2]]}}},{"id":15873,"uris":["http://zotero.org/users/3770906/items/6MRCZN2G"],"itemData":{"id":15873,"type":"article-journal","abstract":"Severe Plasmodium falciparum malaria is uncommon in South America. Lima, Peru, while not endemic for malaria, is home to specialized centers for infectious diseases that admit and manage patients with severe malaria (SM), all of whom contracted infection during travel. This retrospective study describes severe travel-related malaria in individuals admitted to one tertiary care referral hospital in Lima, Peru; severity was classified based on criteria published by the World Health Organization in 2000. Data were abstracted from medical records of patients with SM admitted to Hospital Nacional Cayetano Heredia from 2006 to 2011. Of 33 SM cases with complete clinical data, the mean age was 39 years and the male/female ratio was 2.8. Most cases were contracted in known endemic regions within Peru: Amazonia (47%), the central jungle (18%), and the northern coast (12%); cases were also found in five (15%) travelers returning from Africa. Plasmodium vivax was most commonly identified (71%) among the severe infections, followed by P. falciparum (18%); mixed infections composed 11% of the group. Among the criteria of severity, jaundice was most common (58%), followed by severe thrombocytopenia (47%), hyperpyrexia (32%), and shock (15%). Plasmodium vivax mono-infection predominated as the etiology of SM in cases acquired in Peru.","container-title":"The American Journal of Tropical Medicine and Hygiene","DOI":"10.4269/ajtmh.14-0652","ISSN":"0002-9637, 1476-1645","issue":"6","language":"en","page":"1249-1253","source":"DOI.org (Crossref)","title":"Characteristics of Travel-Related Severe Plasmodium vivax and Plasmodium falciparum Malaria in Individuals Hospitalized at a Tertiary Referral Center in Lima, Peru","volume":"93","author":[{"family":"Llanos-Chea","given":"Fiorella"},{"family":"Rosas","given":"Angel"},{"family":"Vinetz","given":"Joseph M."},{"family":"Martínez","given":"Dalila"},{"family":"Samalvides","given":"Frine"},{"family":"Llanos-Cuentas","given":"Alejandro"}],"issued":{"date-parts":[["2015",12,9]]}}}],"schema":"https://github.com/citation-style-language/schema/raw/master/csl-citation.json"} </w:instrText>
            </w:r>
            <w:r>
              <w:rPr>
                <w:rFonts w:ascii="Arial" w:hAnsi="Arial" w:cs="Arial"/>
                <w:bCs/>
                <w:color w:val="000000"/>
                <w:sz w:val="16"/>
                <w:szCs w:val="16"/>
                <w:lang w:eastAsia="de-CH"/>
              </w:rPr>
              <w:fldChar w:fldCharType="separate"/>
            </w:r>
            <w:r w:rsidRPr="007F1AAD">
              <w:rPr>
                <w:rFonts w:ascii="Arial" w:hAnsi="Arial" w:cs="Arial"/>
                <w:color w:val="000000"/>
                <w:sz w:val="16"/>
                <w:vertAlign w:val="superscript"/>
              </w:rPr>
              <w:t>87–90</w:t>
            </w:r>
            <w:r>
              <w:rPr>
                <w:rFonts w:ascii="Arial" w:hAnsi="Arial" w:cs="Arial"/>
                <w:bCs/>
                <w:color w:val="000000"/>
                <w:sz w:val="16"/>
                <w:szCs w:val="16"/>
                <w:lang w:eastAsia="de-CH"/>
              </w:rPr>
              <w:fldChar w:fldCharType="end"/>
            </w:r>
            <w:r>
              <w:rPr>
                <w:rFonts w:ascii="Arial" w:hAnsi="Arial" w:cs="Arial"/>
                <w:bCs/>
                <w:color w:val="000000"/>
                <w:sz w:val="16"/>
                <w:szCs w:val="16"/>
                <w:lang w:eastAsia="de-CH"/>
              </w:rPr>
              <w:t xml:space="preserve"> See Appendix B for severe malaria criteria.</w:t>
            </w:r>
          </w:p>
        </w:tc>
      </w:tr>
      <w:tr w:rsidR="0039478B" w:rsidRPr="00CF16AD" w14:paraId="7E1EB7AA" w14:textId="77777777" w:rsidTr="000C1939">
        <w:tc>
          <w:tcPr>
            <w:tcW w:w="786" w:type="dxa"/>
            <w:tcBorders>
              <w:top w:val="single" w:sz="4" w:space="0" w:color="auto"/>
              <w:left w:val="nil"/>
              <w:bottom w:val="single" w:sz="4" w:space="0" w:color="auto"/>
            </w:tcBorders>
            <w:shd w:val="clear" w:color="auto" w:fill="auto"/>
          </w:tcPr>
          <w:p w14:paraId="73866948" w14:textId="77777777" w:rsidR="0039478B" w:rsidRDefault="0039478B" w:rsidP="000C1939">
            <w:pPr>
              <w:jc w:val="center"/>
              <w:rPr>
                <w:rFonts w:ascii="Arial" w:hAnsi="Arial" w:cs="Arial"/>
                <w:sz w:val="16"/>
                <w:szCs w:val="16"/>
              </w:rPr>
            </w:pPr>
            <w:r w:rsidRPr="000170DE">
              <w:rPr>
                <w:rFonts w:ascii="Arial" w:hAnsi="Arial" w:cs="Arial"/>
                <w:sz w:val="16"/>
                <w:szCs w:val="16"/>
              </w:rPr>
              <w:t>Specific 1</w:t>
            </w:r>
          </w:p>
        </w:tc>
        <w:tc>
          <w:tcPr>
            <w:tcW w:w="3303" w:type="dxa"/>
            <w:tcBorders>
              <w:top w:val="single" w:sz="4" w:space="0" w:color="auto"/>
              <w:bottom w:val="single" w:sz="4" w:space="0" w:color="auto"/>
            </w:tcBorders>
            <w:shd w:val="clear" w:color="auto" w:fill="auto"/>
          </w:tcPr>
          <w:p w14:paraId="0681F50F" w14:textId="77777777" w:rsidR="0039478B" w:rsidRDefault="0039478B" w:rsidP="000C1939">
            <w:pPr>
              <w:rPr>
                <w:rFonts w:ascii="Arial" w:hAnsi="Arial" w:cs="Arial"/>
                <w:sz w:val="16"/>
                <w:szCs w:val="16"/>
              </w:rPr>
            </w:pPr>
            <w:r>
              <w:rPr>
                <w:rFonts w:ascii="Arial" w:hAnsi="Arial" w:cs="Arial"/>
                <w:sz w:val="16"/>
                <w:szCs w:val="16"/>
              </w:rPr>
              <w:t>Tolerability of study drugs</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42A2E457" w14:textId="77777777" w:rsidR="0039478B" w:rsidRPr="00DD0936" w:rsidRDefault="0039478B" w:rsidP="000C1939">
            <w:pPr>
              <w:rPr>
                <w:rFonts w:ascii="Arial" w:hAnsi="Arial" w:cs="Arial"/>
                <w:sz w:val="16"/>
                <w:szCs w:val="16"/>
              </w:rPr>
            </w:pPr>
            <w:r w:rsidRPr="00DD0936">
              <w:rPr>
                <w:rFonts w:ascii="Arial" w:hAnsi="Arial" w:cs="Arial"/>
                <w:sz w:val="16"/>
                <w:szCs w:val="16"/>
              </w:rPr>
              <w:t>Vomiting following administration of study drugs and measures of non-adherence</w:t>
            </w:r>
          </w:p>
        </w:tc>
      </w:tr>
      <w:tr w:rsidR="0039478B" w:rsidRPr="00CF16AD" w14:paraId="4CA2C0B6" w14:textId="77777777" w:rsidTr="000C1939">
        <w:tc>
          <w:tcPr>
            <w:tcW w:w="786" w:type="dxa"/>
            <w:tcBorders>
              <w:top w:val="single" w:sz="4" w:space="0" w:color="auto"/>
              <w:left w:val="nil"/>
              <w:bottom w:val="single" w:sz="4" w:space="0" w:color="auto"/>
            </w:tcBorders>
            <w:shd w:val="clear" w:color="auto" w:fill="auto"/>
          </w:tcPr>
          <w:p w14:paraId="7B7901B2" w14:textId="77777777" w:rsidR="0039478B" w:rsidRDefault="0039478B" w:rsidP="000C1939">
            <w:pPr>
              <w:jc w:val="center"/>
              <w:rPr>
                <w:rFonts w:ascii="Arial" w:hAnsi="Arial" w:cs="Arial"/>
                <w:sz w:val="16"/>
                <w:szCs w:val="16"/>
              </w:rPr>
            </w:pPr>
            <w:r>
              <w:rPr>
                <w:rFonts w:ascii="Arial" w:hAnsi="Arial" w:cs="Arial"/>
                <w:sz w:val="16"/>
                <w:szCs w:val="16"/>
              </w:rPr>
              <w:t>Specific 2</w:t>
            </w:r>
          </w:p>
        </w:tc>
        <w:tc>
          <w:tcPr>
            <w:tcW w:w="3303" w:type="dxa"/>
            <w:tcBorders>
              <w:top w:val="single" w:sz="4" w:space="0" w:color="auto"/>
              <w:bottom w:val="single" w:sz="4" w:space="0" w:color="auto"/>
            </w:tcBorders>
            <w:shd w:val="clear" w:color="auto" w:fill="auto"/>
          </w:tcPr>
          <w:p w14:paraId="6C42FD20" w14:textId="77777777" w:rsidR="0039478B" w:rsidRDefault="0039478B" w:rsidP="000C1939">
            <w:pPr>
              <w:rPr>
                <w:rFonts w:ascii="Arial" w:hAnsi="Arial" w:cs="Arial"/>
                <w:sz w:val="16"/>
                <w:szCs w:val="16"/>
              </w:rPr>
            </w:pPr>
            <w:r>
              <w:rPr>
                <w:rFonts w:ascii="Arial" w:hAnsi="Arial" w:cs="Arial"/>
                <w:sz w:val="16"/>
                <w:szCs w:val="16"/>
              </w:rPr>
              <w:t>Refusal rates</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60F5B161" w14:textId="77777777" w:rsidR="0039478B" w:rsidRDefault="0039478B" w:rsidP="000C1939">
            <w:pPr>
              <w:rPr>
                <w:rFonts w:ascii="Arial" w:hAnsi="Arial" w:cs="Arial"/>
                <w:sz w:val="16"/>
                <w:szCs w:val="16"/>
              </w:rPr>
            </w:pPr>
            <w:r>
              <w:rPr>
                <w:rFonts w:ascii="Arial" w:hAnsi="Arial" w:cs="Arial"/>
                <w:sz w:val="16"/>
                <w:szCs w:val="16"/>
              </w:rPr>
              <w:t>Number of refusals divided by number of individuals invited to participate</w:t>
            </w:r>
          </w:p>
        </w:tc>
      </w:tr>
      <w:tr w:rsidR="0039478B" w:rsidRPr="00CF16AD" w14:paraId="51F8DEF2" w14:textId="77777777" w:rsidTr="000C1939">
        <w:tc>
          <w:tcPr>
            <w:tcW w:w="786" w:type="dxa"/>
            <w:tcBorders>
              <w:top w:val="single" w:sz="4" w:space="0" w:color="auto"/>
              <w:left w:val="nil"/>
              <w:bottom w:val="single" w:sz="4" w:space="0" w:color="auto"/>
            </w:tcBorders>
            <w:shd w:val="clear" w:color="auto" w:fill="auto"/>
          </w:tcPr>
          <w:p w14:paraId="1AC7E43B" w14:textId="77777777" w:rsidR="0039478B" w:rsidRDefault="0039478B" w:rsidP="000C1939">
            <w:pPr>
              <w:jc w:val="center"/>
              <w:rPr>
                <w:rFonts w:ascii="Arial" w:hAnsi="Arial" w:cs="Arial"/>
                <w:sz w:val="16"/>
                <w:szCs w:val="16"/>
              </w:rPr>
            </w:pPr>
            <w:r w:rsidRPr="00C26F4B">
              <w:rPr>
                <w:rFonts w:ascii="Arial" w:hAnsi="Arial" w:cs="Arial"/>
                <w:sz w:val="16"/>
                <w:szCs w:val="16"/>
              </w:rPr>
              <w:t>Specific 2</w:t>
            </w:r>
          </w:p>
        </w:tc>
        <w:tc>
          <w:tcPr>
            <w:tcW w:w="3303" w:type="dxa"/>
            <w:tcBorders>
              <w:top w:val="single" w:sz="4" w:space="0" w:color="auto"/>
              <w:bottom w:val="single" w:sz="4" w:space="0" w:color="auto"/>
            </w:tcBorders>
            <w:shd w:val="clear" w:color="auto" w:fill="auto"/>
          </w:tcPr>
          <w:p w14:paraId="018B644F" w14:textId="77777777" w:rsidR="0039478B" w:rsidRDefault="0039478B" w:rsidP="000C1939">
            <w:pPr>
              <w:rPr>
                <w:rFonts w:ascii="Arial" w:hAnsi="Arial" w:cs="Arial"/>
                <w:sz w:val="16"/>
                <w:szCs w:val="16"/>
              </w:rPr>
            </w:pPr>
            <w:r>
              <w:rPr>
                <w:rFonts w:ascii="Arial" w:hAnsi="Arial" w:cs="Arial"/>
                <w:sz w:val="16"/>
                <w:szCs w:val="16"/>
              </w:rPr>
              <w:t>Acceptability</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5B93D901" w14:textId="77777777" w:rsidR="0039478B" w:rsidRPr="0006416A" w:rsidRDefault="0039478B" w:rsidP="000C1939">
            <w:pPr>
              <w:rPr>
                <w:rFonts w:ascii="Arial" w:hAnsi="Arial" w:cs="Arial"/>
                <w:sz w:val="16"/>
                <w:szCs w:val="16"/>
              </w:rPr>
            </w:pPr>
            <w:r w:rsidRPr="0006416A">
              <w:rPr>
                <w:rFonts w:ascii="Arial" w:hAnsi="Arial" w:cs="Arial"/>
                <w:sz w:val="16"/>
                <w:szCs w:val="16"/>
              </w:rPr>
              <w:t>Perceptions of intervention and reasons for participation assessed during the follow-up surveys and endline survey.</w:t>
            </w:r>
          </w:p>
        </w:tc>
      </w:tr>
      <w:tr w:rsidR="0039478B" w:rsidRPr="00CF16AD" w14:paraId="210B9739" w14:textId="77777777" w:rsidTr="000C1939">
        <w:trPr>
          <w:trHeight w:val="50"/>
        </w:trPr>
        <w:tc>
          <w:tcPr>
            <w:tcW w:w="786" w:type="dxa"/>
            <w:tcBorders>
              <w:top w:val="single" w:sz="4" w:space="0" w:color="auto"/>
              <w:left w:val="nil"/>
              <w:bottom w:val="single" w:sz="4" w:space="0" w:color="auto"/>
            </w:tcBorders>
            <w:shd w:val="clear" w:color="auto" w:fill="auto"/>
          </w:tcPr>
          <w:p w14:paraId="538DB837" w14:textId="77777777" w:rsidR="0039478B" w:rsidRDefault="0039478B" w:rsidP="000C1939">
            <w:pPr>
              <w:jc w:val="center"/>
              <w:rPr>
                <w:rFonts w:ascii="Arial" w:hAnsi="Arial" w:cs="Arial"/>
                <w:sz w:val="16"/>
                <w:szCs w:val="16"/>
              </w:rPr>
            </w:pPr>
            <w:r w:rsidRPr="00C26F4B">
              <w:rPr>
                <w:rFonts w:ascii="Arial" w:hAnsi="Arial" w:cs="Arial"/>
                <w:sz w:val="16"/>
                <w:szCs w:val="16"/>
              </w:rPr>
              <w:t>Specific 2</w:t>
            </w:r>
          </w:p>
        </w:tc>
        <w:tc>
          <w:tcPr>
            <w:tcW w:w="3303" w:type="dxa"/>
            <w:tcBorders>
              <w:top w:val="single" w:sz="4" w:space="0" w:color="auto"/>
              <w:bottom w:val="single" w:sz="4" w:space="0" w:color="auto"/>
            </w:tcBorders>
            <w:shd w:val="clear" w:color="auto" w:fill="auto"/>
          </w:tcPr>
          <w:p w14:paraId="7EE0E8B3" w14:textId="77777777" w:rsidR="0039478B" w:rsidRDefault="0039478B" w:rsidP="000C1939">
            <w:pPr>
              <w:rPr>
                <w:rFonts w:ascii="Arial" w:hAnsi="Arial" w:cs="Arial"/>
                <w:sz w:val="16"/>
                <w:szCs w:val="16"/>
              </w:rPr>
            </w:pPr>
            <w:r>
              <w:rPr>
                <w:rFonts w:ascii="Arial" w:hAnsi="Arial" w:cs="Arial"/>
                <w:sz w:val="16"/>
                <w:szCs w:val="16"/>
              </w:rPr>
              <w:t xml:space="preserve">Costs per unit (per </w:t>
            </w:r>
            <w:proofErr w:type="spellStart"/>
            <w:r>
              <w:rPr>
                <w:rFonts w:ascii="Arial" w:hAnsi="Arial" w:cs="Arial"/>
                <w:sz w:val="16"/>
                <w:szCs w:val="16"/>
              </w:rPr>
              <w:t>fMDA</w:t>
            </w:r>
            <w:proofErr w:type="spellEnd"/>
            <w:r>
              <w:rPr>
                <w:rFonts w:ascii="Arial" w:hAnsi="Arial" w:cs="Arial"/>
                <w:sz w:val="16"/>
                <w:szCs w:val="16"/>
              </w:rPr>
              <w:t xml:space="preserve"> round, per individual receiving intervention, per </w:t>
            </w:r>
            <w:proofErr w:type="gramStart"/>
            <w:r>
              <w:rPr>
                <w:rFonts w:ascii="Arial" w:hAnsi="Arial" w:cs="Arial"/>
                <w:sz w:val="16"/>
                <w:szCs w:val="16"/>
              </w:rPr>
              <w:t>capita)</w:t>
            </w:r>
            <w:r w:rsidRPr="006E0F36">
              <w:rPr>
                <w:rFonts w:ascii="Arial" w:hAnsi="Arial" w:cs="Arial"/>
                <w:sz w:val="16"/>
                <w:szCs w:val="16"/>
              </w:rPr>
              <w:t>†</w:t>
            </w:r>
            <w:proofErr w:type="gramEnd"/>
          </w:p>
        </w:tc>
        <w:tc>
          <w:tcPr>
            <w:tcW w:w="5443" w:type="dxa"/>
            <w:tcBorders>
              <w:top w:val="single" w:sz="4" w:space="0" w:color="auto"/>
              <w:bottom w:val="single" w:sz="4" w:space="0" w:color="auto"/>
              <w:right w:val="nil"/>
            </w:tcBorders>
            <w:shd w:val="clear" w:color="auto" w:fill="auto"/>
          </w:tcPr>
          <w:p w14:paraId="154C0940" w14:textId="77777777" w:rsidR="0039478B" w:rsidRDefault="0039478B" w:rsidP="000C1939">
            <w:pPr>
              <w:rPr>
                <w:rFonts w:ascii="Arial" w:hAnsi="Arial" w:cs="Arial"/>
                <w:sz w:val="16"/>
                <w:szCs w:val="16"/>
              </w:rPr>
            </w:pPr>
            <w:r>
              <w:rPr>
                <w:rFonts w:ascii="Arial" w:hAnsi="Arial" w:cs="Arial"/>
                <w:sz w:val="16"/>
                <w:szCs w:val="16"/>
              </w:rPr>
              <w:t>Total costs divided by number of MDA rounds, number of individuals receiving intervention, and population of study area</w:t>
            </w:r>
          </w:p>
        </w:tc>
      </w:tr>
      <w:tr w:rsidR="0039478B" w:rsidRPr="00CF16AD" w14:paraId="1CAC9C74" w14:textId="77777777" w:rsidTr="000C1939">
        <w:tc>
          <w:tcPr>
            <w:tcW w:w="786" w:type="dxa"/>
            <w:tcBorders>
              <w:top w:val="single" w:sz="4" w:space="0" w:color="auto"/>
              <w:left w:val="nil"/>
              <w:bottom w:val="single" w:sz="4" w:space="0" w:color="auto"/>
            </w:tcBorders>
            <w:shd w:val="clear" w:color="auto" w:fill="auto"/>
          </w:tcPr>
          <w:p w14:paraId="54B5174F" w14:textId="77777777" w:rsidR="0039478B" w:rsidRDefault="0039478B" w:rsidP="000C1939">
            <w:pPr>
              <w:jc w:val="center"/>
              <w:rPr>
                <w:rFonts w:ascii="Arial" w:hAnsi="Arial" w:cs="Arial"/>
                <w:sz w:val="16"/>
                <w:szCs w:val="16"/>
              </w:rPr>
            </w:pPr>
            <w:r w:rsidRPr="00C26F4B">
              <w:rPr>
                <w:rFonts w:ascii="Arial" w:hAnsi="Arial" w:cs="Arial"/>
                <w:sz w:val="16"/>
                <w:szCs w:val="16"/>
              </w:rPr>
              <w:t>Specific 2</w:t>
            </w:r>
          </w:p>
        </w:tc>
        <w:tc>
          <w:tcPr>
            <w:tcW w:w="3303" w:type="dxa"/>
            <w:tcBorders>
              <w:top w:val="single" w:sz="4" w:space="0" w:color="auto"/>
              <w:bottom w:val="single" w:sz="4" w:space="0" w:color="auto"/>
            </w:tcBorders>
            <w:shd w:val="clear" w:color="auto" w:fill="auto"/>
          </w:tcPr>
          <w:p w14:paraId="424C14FB" w14:textId="749FD910" w:rsidR="0039478B" w:rsidRDefault="0039478B" w:rsidP="000C1939">
            <w:pPr>
              <w:rPr>
                <w:rFonts w:ascii="Arial" w:hAnsi="Arial" w:cs="Arial"/>
                <w:sz w:val="16"/>
                <w:szCs w:val="16"/>
              </w:rPr>
            </w:pPr>
            <w:r>
              <w:rPr>
                <w:rFonts w:ascii="Arial" w:hAnsi="Arial" w:cs="Arial"/>
                <w:sz w:val="16"/>
                <w:szCs w:val="16"/>
              </w:rPr>
              <w:t>Cost per</w:t>
            </w:r>
            <w:r>
              <w:rPr>
                <w:rFonts w:ascii="Arial" w:hAnsi="Arial" w:cs="Arial"/>
                <w:sz w:val="16"/>
                <w:szCs w:val="16"/>
              </w:rPr>
              <w:t xml:space="preserve"> </w:t>
            </w:r>
            <w:r w:rsidRPr="006E0F36">
              <w:rPr>
                <w:rFonts w:ascii="Arial" w:hAnsi="Arial" w:cs="Arial"/>
                <w:i/>
                <w:iCs/>
                <w:sz w:val="16"/>
                <w:szCs w:val="16"/>
              </w:rPr>
              <w:t>P</w:t>
            </w:r>
            <w:r>
              <w:rPr>
                <w:rFonts w:ascii="Arial" w:hAnsi="Arial" w:cs="Arial"/>
                <w:i/>
                <w:iCs/>
                <w:sz w:val="16"/>
                <w:szCs w:val="16"/>
              </w:rPr>
              <w:t>. vivax</w:t>
            </w:r>
            <w:r>
              <w:rPr>
                <w:rFonts w:ascii="Arial" w:hAnsi="Arial" w:cs="Arial"/>
                <w:sz w:val="16"/>
                <w:szCs w:val="16"/>
              </w:rPr>
              <w:t xml:space="preserve"> case averted, </w:t>
            </w:r>
            <w:r w:rsidRPr="00B77391">
              <w:rPr>
                <w:rFonts w:ascii="Arial" w:hAnsi="Arial" w:cs="Arial"/>
                <w:sz w:val="16"/>
                <w:szCs w:val="16"/>
              </w:rPr>
              <w:t>disability-adjusted life-year</w:t>
            </w:r>
            <w:r>
              <w:rPr>
                <w:rFonts w:ascii="Arial" w:hAnsi="Arial" w:cs="Arial"/>
                <w:sz w:val="16"/>
                <w:szCs w:val="16"/>
              </w:rPr>
              <w:t xml:space="preserve"> (DALY) averted, or economic dollar saved*</w:t>
            </w:r>
            <w:r w:rsidRPr="006E0F36">
              <w:rPr>
                <w:rFonts w:ascii="Arial" w:hAnsi="Arial" w:cs="Arial"/>
                <w:sz w:val="16"/>
                <w:szCs w:val="16"/>
              </w:rPr>
              <w:t>†</w:t>
            </w:r>
          </w:p>
        </w:tc>
        <w:tc>
          <w:tcPr>
            <w:tcW w:w="5443" w:type="dxa"/>
            <w:tcBorders>
              <w:top w:val="single" w:sz="4" w:space="0" w:color="auto"/>
              <w:bottom w:val="single" w:sz="4" w:space="0" w:color="auto"/>
              <w:right w:val="nil"/>
            </w:tcBorders>
            <w:shd w:val="clear" w:color="auto" w:fill="auto"/>
          </w:tcPr>
          <w:p w14:paraId="7BCDAE82" w14:textId="77777777" w:rsidR="0039478B" w:rsidRDefault="0039478B" w:rsidP="000C1939">
            <w:pPr>
              <w:rPr>
                <w:rFonts w:ascii="Arial" w:hAnsi="Arial" w:cs="Arial"/>
                <w:sz w:val="16"/>
                <w:szCs w:val="16"/>
              </w:rPr>
            </w:pPr>
            <w:r>
              <w:rPr>
                <w:rFonts w:ascii="Arial" w:hAnsi="Arial" w:cs="Arial"/>
                <w:sz w:val="16"/>
                <w:szCs w:val="16"/>
              </w:rPr>
              <w:t>D</w:t>
            </w:r>
            <w:r w:rsidRPr="00905356">
              <w:rPr>
                <w:rFonts w:ascii="Arial" w:hAnsi="Arial" w:cs="Arial"/>
                <w:sz w:val="16"/>
                <w:szCs w:val="16"/>
              </w:rPr>
              <w:t>ifference in cost between</w:t>
            </w:r>
            <w:r>
              <w:rPr>
                <w:rFonts w:ascii="Arial" w:hAnsi="Arial" w:cs="Arial"/>
                <w:sz w:val="16"/>
                <w:szCs w:val="16"/>
              </w:rPr>
              <w:t xml:space="preserve"> </w:t>
            </w:r>
            <w:proofErr w:type="spellStart"/>
            <w:r>
              <w:rPr>
                <w:rFonts w:ascii="Arial" w:hAnsi="Arial" w:cs="Arial"/>
                <w:sz w:val="16"/>
                <w:szCs w:val="16"/>
              </w:rPr>
              <w:t>fMDA</w:t>
            </w:r>
            <w:proofErr w:type="spellEnd"/>
            <w:r>
              <w:rPr>
                <w:rFonts w:ascii="Arial" w:hAnsi="Arial" w:cs="Arial"/>
                <w:sz w:val="16"/>
                <w:szCs w:val="16"/>
              </w:rPr>
              <w:t xml:space="preserve"> and control </w:t>
            </w:r>
            <w:r w:rsidRPr="00905356">
              <w:rPr>
                <w:rFonts w:ascii="Arial" w:hAnsi="Arial" w:cs="Arial"/>
                <w:sz w:val="16"/>
                <w:szCs w:val="16"/>
              </w:rPr>
              <w:t xml:space="preserve">divided by the difference in </w:t>
            </w:r>
            <w:r>
              <w:rPr>
                <w:rFonts w:ascii="Arial" w:hAnsi="Arial" w:cs="Arial"/>
                <w:sz w:val="16"/>
                <w:szCs w:val="16"/>
              </w:rPr>
              <w:t>the effect (including incidence, prevalence, DALYs or economic dollar due to malaria)</w:t>
            </w:r>
          </w:p>
        </w:tc>
      </w:tr>
    </w:tbl>
    <w:p w14:paraId="24FABEEC" w14:textId="6B31BFA8" w:rsidR="0039478B" w:rsidRPr="00CD32F6" w:rsidRDefault="0039478B" w:rsidP="0039478B">
      <w:pPr>
        <w:tabs>
          <w:tab w:val="left" w:pos="1440"/>
        </w:tabs>
        <w:rPr>
          <w:rFonts w:ascii="Arial" w:hAnsi="Arial" w:cs="Arial"/>
          <w:bCs/>
          <w:i/>
          <w:iCs/>
          <w:sz w:val="15"/>
          <w:szCs w:val="15"/>
        </w:rPr>
      </w:pPr>
      <w:r w:rsidRPr="00CD32F6">
        <w:rPr>
          <w:rFonts w:ascii="Arial" w:hAnsi="Arial" w:cs="Arial"/>
          <w:bCs/>
          <w:sz w:val="15"/>
          <w:szCs w:val="15"/>
        </w:rPr>
        <w:t xml:space="preserve"> </w:t>
      </w:r>
      <w:r>
        <w:rPr>
          <w:rFonts w:ascii="Arial" w:hAnsi="Arial" w:cs="Arial"/>
          <w:bCs/>
          <w:sz w:val="15"/>
          <w:szCs w:val="15"/>
        </w:rPr>
        <w:t xml:space="preserve"> * </w:t>
      </w:r>
      <w:r w:rsidRPr="00CD32F6">
        <w:rPr>
          <w:rFonts w:ascii="Arial" w:hAnsi="Arial" w:cs="Arial"/>
          <w:bCs/>
          <w:sz w:val="15"/>
          <w:szCs w:val="15"/>
        </w:rPr>
        <w:t>Additional analyses will be conducted for</w:t>
      </w:r>
      <w:r w:rsidRPr="00CD32F6">
        <w:rPr>
          <w:rFonts w:ascii="Arial" w:hAnsi="Arial" w:cs="Arial"/>
          <w:bCs/>
          <w:i/>
          <w:iCs/>
          <w:sz w:val="15"/>
          <w:szCs w:val="15"/>
        </w:rPr>
        <w:t xml:space="preserve"> P</w:t>
      </w:r>
      <w:r>
        <w:rPr>
          <w:rFonts w:ascii="Arial" w:hAnsi="Arial" w:cs="Arial"/>
          <w:bCs/>
          <w:i/>
          <w:iCs/>
          <w:sz w:val="15"/>
          <w:szCs w:val="15"/>
        </w:rPr>
        <w:t>. falciparum</w:t>
      </w:r>
      <w:r w:rsidRPr="00CD32F6">
        <w:rPr>
          <w:rFonts w:ascii="Arial" w:hAnsi="Arial" w:cs="Arial"/>
          <w:bCs/>
          <w:i/>
          <w:iCs/>
          <w:sz w:val="15"/>
          <w:szCs w:val="15"/>
        </w:rPr>
        <w:t xml:space="preserve"> </w:t>
      </w:r>
      <w:r w:rsidRPr="00CD32F6">
        <w:rPr>
          <w:rFonts w:ascii="Arial" w:hAnsi="Arial" w:cs="Arial"/>
          <w:bCs/>
          <w:sz w:val="15"/>
          <w:szCs w:val="15"/>
        </w:rPr>
        <w:t xml:space="preserve">only, and </w:t>
      </w:r>
      <w:r w:rsidRPr="0039478B">
        <w:rPr>
          <w:rFonts w:ascii="Arial" w:hAnsi="Arial" w:cs="Arial"/>
          <w:bCs/>
          <w:i/>
          <w:iCs/>
          <w:sz w:val="15"/>
          <w:szCs w:val="15"/>
        </w:rPr>
        <w:t>P. vivax</w:t>
      </w:r>
      <w:r w:rsidRPr="00CD32F6">
        <w:rPr>
          <w:rFonts w:ascii="Arial" w:hAnsi="Arial" w:cs="Arial"/>
          <w:bCs/>
          <w:i/>
          <w:iCs/>
          <w:sz w:val="15"/>
          <w:szCs w:val="15"/>
        </w:rPr>
        <w:t xml:space="preserve"> and P</w:t>
      </w:r>
      <w:r>
        <w:rPr>
          <w:rFonts w:ascii="Arial" w:hAnsi="Arial" w:cs="Arial"/>
          <w:bCs/>
          <w:i/>
          <w:iCs/>
          <w:sz w:val="15"/>
          <w:szCs w:val="15"/>
        </w:rPr>
        <w:t>. falciparum</w:t>
      </w:r>
      <w:r>
        <w:rPr>
          <w:rFonts w:ascii="Arial" w:hAnsi="Arial" w:cs="Arial"/>
          <w:bCs/>
          <w:i/>
          <w:iCs/>
          <w:sz w:val="15"/>
          <w:szCs w:val="15"/>
        </w:rPr>
        <w:t>, and restricted to cases classified as local based on travel and genetic data</w:t>
      </w:r>
    </w:p>
    <w:p w14:paraId="427B20BA" w14:textId="77777777" w:rsidR="0039478B" w:rsidRPr="006E0F36" w:rsidRDefault="0039478B" w:rsidP="0039478B">
      <w:pPr>
        <w:pStyle w:val="ListParagraph"/>
        <w:ind w:left="90"/>
        <w:rPr>
          <w:rFonts w:ascii="Arial" w:hAnsi="Arial" w:cs="Arial"/>
          <w:sz w:val="15"/>
          <w:szCs w:val="15"/>
        </w:rPr>
      </w:pPr>
      <w:r w:rsidRPr="006E0F36">
        <w:rPr>
          <w:rFonts w:ascii="Arial" w:hAnsi="Arial" w:cs="Arial"/>
          <w:sz w:val="15"/>
          <w:szCs w:val="15"/>
        </w:rPr>
        <w:t>†</w:t>
      </w:r>
      <w:r>
        <w:rPr>
          <w:rFonts w:ascii="Arial" w:hAnsi="Arial" w:cs="Arial"/>
          <w:sz w:val="15"/>
          <w:szCs w:val="15"/>
        </w:rPr>
        <w:t xml:space="preserve"> Additional </w:t>
      </w:r>
      <w:r w:rsidRPr="006E0F36">
        <w:rPr>
          <w:rFonts w:ascii="Arial" w:hAnsi="Arial" w:cs="Arial"/>
          <w:sz w:val="15"/>
          <w:szCs w:val="15"/>
        </w:rPr>
        <w:t>analyses will be conducted</w:t>
      </w:r>
      <w:r>
        <w:rPr>
          <w:rFonts w:ascii="Arial" w:hAnsi="Arial" w:cs="Arial"/>
          <w:sz w:val="15"/>
          <w:szCs w:val="15"/>
        </w:rPr>
        <w:t xml:space="preserve"> by year</w:t>
      </w:r>
    </w:p>
    <w:p w14:paraId="08A353DE" w14:textId="77777777" w:rsidR="0039478B" w:rsidRDefault="0039478B" w:rsidP="0039478B">
      <w:pPr>
        <w:pStyle w:val="ListParagraph"/>
        <w:ind w:left="90"/>
        <w:rPr>
          <w:rFonts w:ascii="Arial" w:hAnsi="Arial" w:cs="Arial"/>
          <w:sz w:val="15"/>
          <w:szCs w:val="15"/>
        </w:rPr>
      </w:pPr>
      <w:r w:rsidRPr="006E0F36">
        <w:rPr>
          <w:rFonts w:ascii="Arial" w:hAnsi="Arial" w:cs="Arial"/>
          <w:sz w:val="15"/>
          <w:szCs w:val="15"/>
        </w:rPr>
        <w:t>‡</w:t>
      </w:r>
      <w:r w:rsidRPr="00165F68">
        <w:rPr>
          <w:rFonts w:ascii="Arial" w:hAnsi="Arial" w:cs="Arial"/>
          <w:sz w:val="15"/>
          <w:szCs w:val="15"/>
        </w:rPr>
        <w:t xml:space="preserve"> </w:t>
      </w:r>
      <w:r>
        <w:rPr>
          <w:rFonts w:ascii="Arial" w:hAnsi="Arial" w:cs="Arial"/>
          <w:sz w:val="15"/>
          <w:szCs w:val="15"/>
        </w:rPr>
        <w:t xml:space="preserve">Additional </w:t>
      </w:r>
      <w:r w:rsidRPr="006E0F36">
        <w:rPr>
          <w:rFonts w:ascii="Arial" w:hAnsi="Arial" w:cs="Arial"/>
          <w:sz w:val="15"/>
          <w:szCs w:val="15"/>
        </w:rPr>
        <w:t xml:space="preserve">analyses will </w:t>
      </w:r>
      <w:r>
        <w:rPr>
          <w:rFonts w:ascii="Arial" w:hAnsi="Arial" w:cs="Arial"/>
          <w:sz w:val="15"/>
          <w:szCs w:val="15"/>
        </w:rPr>
        <w:t xml:space="preserve">measure direct effects and indirect (or “spillover”) effects, </w:t>
      </w:r>
      <w:proofErr w:type="spellStart"/>
      <w:r>
        <w:rPr>
          <w:rFonts w:ascii="Arial" w:hAnsi="Arial" w:cs="Arial"/>
          <w:sz w:val="15"/>
          <w:szCs w:val="15"/>
        </w:rPr>
        <w:t>ie</w:t>
      </w:r>
      <w:proofErr w:type="spellEnd"/>
      <w:r>
        <w:rPr>
          <w:rFonts w:ascii="Arial" w:hAnsi="Arial" w:cs="Arial"/>
          <w:sz w:val="15"/>
          <w:szCs w:val="15"/>
        </w:rPr>
        <w:t xml:space="preserve">. outcomes in people that live near to but did not directly receive </w:t>
      </w:r>
      <w:proofErr w:type="spellStart"/>
      <w:r>
        <w:rPr>
          <w:rFonts w:ascii="Arial" w:hAnsi="Arial" w:cs="Arial"/>
          <w:sz w:val="15"/>
          <w:szCs w:val="15"/>
        </w:rPr>
        <w:t>fMDA</w:t>
      </w:r>
      <w:proofErr w:type="spellEnd"/>
      <w:r>
        <w:rPr>
          <w:rFonts w:ascii="Arial" w:hAnsi="Arial" w:cs="Arial"/>
          <w:sz w:val="15"/>
          <w:szCs w:val="15"/>
        </w:rPr>
        <w:t>.</w:t>
      </w:r>
    </w:p>
    <w:p w14:paraId="7CD52C62" w14:textId="77777777" w:rsidR="0039478B" w:rsidRDefault="0039478B" w:rsidP="0039478B">
      <w:pPr>
        <w:pStyle w:val="ListParagraph"/>
        <w:ind w:left="90"/>
        <w:rPr>
          <w:rFonts w:ascii="Arial" w:hAnsi="Arial" w:cs="Arial"/>
          <w:sz w:val="15"/>
          <w:szCs w:val="15"/>
        </w:rPr>
      </w:pPr>
      <w:r>
        <w:rPr>
          <w:rFonts w:ascii="Arial" w:hAnsi="Arial" w:cs="Arial"/>
          <w:sz w:val="15"/>
          <w:szCs w:val="15"/>
        </w:rPr>
        <w:t>**U</w:t>
      </w:r>
      <w:r w:rsidRPr="007A6856">
        <w:rPr>
          <w:rFonts w:ascii="Arial" w:hAnsi="Arial" w:cs="Arial"/>
          <w:sz w:val="15"/>
          <w:szCs w:val="15"/>
        </w:rPr>
        <w:t>sual resident</w:t>
      </w:r>
      <w:r>
        <w:rPr>
          <w:rFonts w:ascii="Arial" w:hAnsi="Arial" w:cs="Arial"/>
          <w:sz w:val="15"/>
          <w:szCs w:val="15"/>
        </w:rPr>
        <w:t xml:space="preserve">, or the </w:t>
      </w:r>
      <w:r w:rsidRPr="007A6856">
        <w:rPr>
          <w:rFonts w:ascii="Arial" w:hAnsi="Arial" w:cs="Arial"/>
          <w:sz w:val="15"/>
          <w:szCs w:val="15"/>
        </w:rPr>
        <w:t>village</w:t>
      </w:r>
      <w:r>
        <w:rPr>
          <w:rFonts w:ascii="Arial" w:hAnsi="Arial" w:cs="Arial"/>
          <w:sz w:val="15"/>
          <w:szCs w:val="15"/>
        </w:rPr>
        <w:t xml:space="preserve"> is </w:t>
      </w:r>
      <w:r w:rsidRPr="007A6856">
        <w:rPr>
          <w:rFonts w:ascii="Arial" w:hAnsi="Arial" w:cs="Arial"/>
          <w:sz w:val="15"/>
          <w:szCs w:val="15"/>
        </w:rPr>
        <w:t>where they live and sleep most of the time</w:t>
      </w:r>
      <w:r>
        <w:rPr>
          <w:rFonts w:ascii="Arial" w:hAnsi="Arial" w:cs="Arial"/>
          <w:sz w:val="15"/>
          <w:szCs w:val="15"/>
        </w:rPr>
        <w:t xml:space="preserve"> (more than any other village)</w:t>
      </w:r>
      <w:r w:rsidRPr="007A6856">
        <w:rPr>
          <w:rFonts w:ascii="Arial" w:hAnsi="Arial" w:cs="Arial"/>
          <w:sz w:val="15"/>
          <w:szCs w:val="15"/>
        </w:rPr>
        <w:t>.</w:t>
      </w:r>
    </w:p>
    <w:p w14:paraId="1914A969" w14:textId="77777777" w:rsidR="0039478B" w:rsidRDefault="0039478B" w:rsidP="0039478B">
      <w:pPr>
        <w:spacing w:after="100" w:afterAutospacing="1"/>
        <w:rPr>
          <w:rFonts w:ascii="Arial" w:hAnsi="Arial" w:cs="Arial"/>
          <w:sz w:val="16"/>
          <w:szCs w:val="16"/>
        </w:rPr>
      </w:pPr>
    </w:p>
    <w:p w14:paraId="1DFC6A54" w14:textId="77777777" w:rsidR="00927BAD" w:rsidRDefault="00927BAD"/>
    <w:sectPr w:rsidR="00927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8B"/>
    <w:rsid w:val="0039478B"/>
    <w:rsid w:val="007874A8"/>
    <w:rsid w:val="008315B4"/>
    <w:rsid w:val="00927BAD"/>
    <w:rsid w:val="009E407E"/>
    <w:rsid w:val="009E7149"/>
    <w:rsid w:val="00E35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98F8AF"/>
  <w15:chartTrackingRefBased/>
  <w15:docId w15:val="{199C0212-F43D-6244-A8D2-2B0DD274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78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478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478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478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478B"/>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478B"/>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478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478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478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478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7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47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47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47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47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4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78B"/>
    <w:rPr>
      <w:rFonts w:eastAsiaTheme="majorEastAsia" w:cstheme="majorBidi"/>
      <w:color w:val="272727" w:themeColor="text1" w:themeTint="D8"/>
    </w:rPr>
  </w:style>
  <w:style w:type="paragraph" w:styleId="Title">
    <w:name w:val="Title"/>
    <w:basedOn w:val="Normal"/>
    <w:next w:val="Normal"/>
    <w:link w:val="TitleChar"/>
    <w:uiPriority w:val="10"/>
    <w:qFormat/>
    <w:rsid w:val="003947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4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7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4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78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478B"/>
    <w:rPr>
      <w:i/>
      <w:iCs/>
      <w:color w:val="404040" w:themeColor="text1" w:themeTint="BF"/>
    </w:rPr>
  </w:style>
  <w:style w:type="paragraph" w:styleId="ListParagraph">
    <w:name w:val="List Paragraph"/>
    <w:basedOn w:val="Normal"/>
    <w:link w:val="ListParagraphChar"/>
    <w:uiPriority w:val="34"/>
    <w:qFormat/>
    <w:rsid w:val="0039478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478B"/>
    <w:rPr>
      <w:i/>
      <w:iCs/>
      <w:color w:val="2F5496" w:themeColor="accent1" w:themeShade="BF"/>
    </w:rPr>
  </w:style>
  <w:style w:type="paragraph" w:styleId="IntenseQuote">
    <w:name w:val="Intense Quote"/>
    <w:basedOn w:val="Normal"/>
    <w:next w:val="Normal"/>
    <w:link w:val="IntenseQuoteChar"/>
    <w:uiPriority w:val="30"/>
    <w:qFormat/>
    <w:rsid w:val="0039478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9478B"/>
    <w:rPr>
      <w:i/>
      <w:iCs/>
      <w:color w:val="2F5496" w:themeColor="accent1" w:themeShade="BF"/>
    </w:rPr>
  </w:style>
  <w:style w:type="character" w:styleId="IntenseReference">
    <w:name w:val="Intense Reference"/>
    <w:basedOn w:val="DefaultParagraphFont"/>
    <w:uiPriority w:val="32"/>
    <w:qFormat/>
    <w:rsid w:val="0039478B"/>
    <w:rPr>
      <w:b/>
      <w:bCs/>
      <w:smallCaps/>
      <w:color w:val="2F5496" w:themeColor="accent1" w:themeShade="BF"/>
      <w:spacing w:val="5"/>
    </w:rPr>
  </w:style>
  <w:style w:type="paragraph" w:styleId="List2">
    <w:name w:val="List 2"/>
    <w:basedOn w:val="Normal"/>
    <w:rsid w:val="0039478B"/>
    <w:pPr>
      <w:autoSpaceDE w:val="0"/>
      <w:autoSpaceDN w:val="0"/>
      <w:ind w:left="720" w:hanging="360"/>
    </w:pPr>
    <w:rPr>
      <w:rFonts w:ascii="Times" w:hAnsi="Times" w:cs="Times"/>
    </w:rPr>
  </w:style>
  <w:style w:type="character" w:customStyle="1" w:styleId="ListParagraphChar">
    <w:name w:val="List Paragraph Char"/>
    <w:basedOn w:val="DefaultParagraphFont"/>
    <w:link w:val="ListParagraph"/>
    <w:uiPriority w:val="34"/>
    <w:rsid w:val="00394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1808</Words>
  <Characters>10312</Characters>
  <Application>Microsoft Office Word</Application>
  <DocSecurity>0</DocSecurity>
  <Lines>85</Lines>
  <Paragraphs>24</Paragraphs>
  <ScaleCrop>false</ScaleCrop>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 Sydney</dc:creator>
  <cp:keywords/>
  <dc:description/>
  <cp:lastModifiedBy>Fine, Sydney</cp:lastModifiedBy>
  <cp:revision>1</cp:revision>
  <dcterms:created xsi:type="dcterms:W3CDTF">2025-05-12T14:40:00Z</dcterms:created>
  <dcterms:modified xsi:type="dcterms:W3CDTF">2025-05-12T14:44:00Z</dcterms:modified>
</cp:coreProperties>
</file>