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rPr>
      </w:pPr>
      <w:r w:rsidDel="00000000" w:rsidR="00000000" w:rsidRPr="00000000">
        <w:rPr>
          <w:rFonts w:ascii="Calibri" w:cs="Calibri" w:eastAsia="Calibri" w:hAnsi="Calibri"/>
          <w:b w:val="1"/>
          <w:color w:val="000000"/>
          <w:rtl w:val="0"/>
        </w:rPr>
        <w:t xml:space="preserve">SPIRIT 2025 checklist of items to address in a randomized trial protocol</w:t>
      </w:r>
      <w:r w:rsidDel="00000000" w:rsidR="00000000" w:rsidRPr="00000000">
        <w:rPr>
          <w:rFonts w:ascii="Calibri" w:cs="Calibri" w:eastAsia="Calibri" w:hAnsi="Calibri"/>
          <w:color w:val="000000"/>
          <w:rtl w:val="0"/>
        </w:rPr>
        <w:t xml:space="preserve">*</w:t>
      </w:r>
      <w:r w:rsidDel="00000000" w:rsidR="00000000" w:rsidRPr="00000000">
        <w:rPr>
          <w:rtl w:val="0"/>
        </w:rPr>
      </w:r>
    </w:p>
    <w:tbl>
      <w:tblPr>
        <w:tblStyle w:val="Table1"/>
        <w:tblW w:w="129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5"/>
        <w:gridCol w:w="567"/>
        <w:gridCol w:w="8723"/>
        <w:gridCol w:w="1260"/>
        <w:tblGridChange w:id="0">
          <w:tblGrid>
            <w:gridCol w:w="2405"/>
            <w:gridCol w:w="567"/>
            <w:gridCol w:w="8723"/>
            <w:gridCol w:w="1260"/>
          </w:tblGrid>
        </w:tblGridChange>
      </w:tblGrid>
      <w:tr>
        <w:trPr>
          <w:cantSplit w:val="0"/>
          <w:trHeight w:val="276" w:hRule="atLeast"/>
          <w:tblHeader w:val="0"/>
        </w:trPr>
        <w:tc>
          <w:tcPr>
            <w:shd w:fill="bfbfbf" w:val="clear"/>
            <w:vAlign w:val="center"/>
          </w:tcPr>
          <w:p w:rsidR="00000000" w:rsidDel="00000000" w:rsidP="00000000" w:rsidRDefault="00000000" w:rsidRPr="00000000" w14:paraId="00000002">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Section / Topic</w:t>
            </w:r>
          </w:p>
        </w:tc>
        <w:tc>
          <w:tcPr>
            <w:shd w:fill="bfbfbf" w:val="clear"/>
            <w:vAlign w:val="center"/>
          </w:tcPr>
          <w:p w:rsidR="00000000" w:rsidDel="00000000" w:rsidP="00000000" w:rsidRDefault="00000000" w:rsidRPr="00000000" w14:paraId="00000003">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No</w:t>
            </w:r>
          </w:p>
        </w:tc>
        <w:tc>
          <w:tcPr>
            <w:shd w:fill="bfbfbf" w:val="clear"/>
            <w:vAlign w:val="center"/>
          </w:tcPr>
          <w:p w:rsidR="00000000" w:rsidDel="00000000" w:rsidP="00000000" w:rsidRDefault="00000000" w:rsidRPr="00000000" w14:paraId="00000004">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SPIRIT 2025 checklist item description</w:t>
            </w:r>
          </w:p>
        </w:tc>
        <w:tc>
          <w:tcPr>
            <w:shd w:fill="bfbfbf" w:val="clear"/>
            <w:vAlign w:val="center"/>
          </w:tcPr>
          <w:p w:rsidR="00000000" w:rsidDel="00000000" w:rsidP="00000000" w:rsidRDefault="00000000" w:rsidRPr="00000000" w14:paraId="00000005">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Reported on page no.</w:t>
            </w:r>
          </w:p>
        </w:tc>
      </w:tr>
      <w:tr>
        <w:trPr>
          <w:cantSplit w:val="0"/>
          <w:trHeight w:val="268" w:hRule="atLeast"/>
          <w:tblHeader w:val="0"/>
        </w:trPr>
        <w:tc>
          <w:tcPr>
            <w:gridSpan w:val="3"/>
            <w:shd w:fill="b4c6e7" w:val="clear"/>
          </w:tcPr>
          <w:p w:rsidR="00000000" w:rsidDel="00000000" w:rsidP="00000000" w:rsidRDefault="00000000" w:rsidRPr="00000000" w14:paraId="00000006">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Administrative information</w:t>
            </w:r>
          </w:p>
        </w:tc>
        <w:tc>
          <w:tcPr>
            <w:shd w:fill="b4c6e7" w:val="clear"/>
          </w:tcPr>
          <w:p w:rsidR="00000000" w:rsidDel="00000000" w:rsidP="00000000" w:rsidRDefault="00000000" w:rsidRPr="00000000" w14:paraId="00000009">
            <w:pPr>
              <w:rPr>
                <w:rFonts w:ascii="Calibri" w:cs="Calibri" w:eastAsia="Calibri" w:hAnsi="Calibri"/>
                <w:b w:val="1"/>
                <w:sz w:val="20"/>
                <w:szCs w:val="20"/>
              </w:rPr>
            </w:pPr>
            <w:r w:rsidDel="00000000" w:rsidR="00000000" w:rsidRPr="00000000">
              <w:rPr>
                <w:rtl w:val="0"/>
              </w:rPr>
            </w:r>
          </w:p>
        </w:tc>
      </w:tr>
      <w:tr>
        <w:trPr>
          <w:cantSplit w:val="0"/>
          <w:trHeight w:val="276" w:hRule="atLeast"/>
          <w:tblHeader w:val="0"/>
        </w:trPr>
        <w:tc>
          <w:tcPr>
            <w:vMerge w:val="restart"/>
          </w:tcPr>
          <w:p w:rsidR="00000000" w:rsidDel="00000000" w:rsidP="00000000" w:rsidRDefault="00000000" w:rsidRPr="00000000" w14:paraId="0000000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Title and structured summary</w:t>
            </w:r>
          </w:p>
        </w:tc>
        <w:tc>
          <w:tcPr/>
          <w:p w:rsidR="00000000" w:rsidDel="00000000" w:rsidP="00000000" w:rsidRDefault="00000000" w:rsidRPr="00000000" w14:paraId="0000000B">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1a</w:t>
            </w:r>
          </w:p>
        </w:tc>
        <w:tc>
          <w:tcPr/>
          <w:p w:rsidR="00000000" w:rsidDel="00000000" w:rsidP="00000000" w:rsidRDefault="00000000" w:rsidRPr="00000000" w14:paraId="0000000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Title stating the trial design, population, and interventions, with identification as a protocol</w:t>
            </w:r>
          </w:p>
        </w:tc>
        <w:tc>
          <w:tcPr/>
          <w:p w:rsidR="00000000" w:rsidDel="00000000" w:rsidP="00000000" w:rsidRDefault="00000000" w:rsidRPr="00000000" w14:paraId="0000000D">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1</w:t>
            </w:r>
          </w:p>
        </w:tc>
      </w:tr>
      <w:tr>
        <w:trPr>
          <w:cantSplit w:val="0"/>
          <w:trHeight w:val="262" w:hRule="atLeast"/>
          <w:tblHeader w:val="0"/>
        </w:trPr>
        <w:tc>
          <w:tcPr>
            <w:vMerge w:val="continue"/>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sz w:val="20"/>
                <w:szCs w:val="20"/>
              </w:rPr>
            </w:pPr>
            <w:r w:rsidDel="00000000" w:rsidR="00000000" w:rsidRPr="00000000">
              <w:rPr>
                <w:rtl w:val="0"/>
              </w:rPr>
            </w:r>
          </w:p>
        </w:tc>
        <w:tc>
          <w:tcPr>
            <w:vAlign w:val="center"/>
          </w:tcPr>
          <w:p w:rsidR="00000000" w:rsidDel="00000000" w:rsidP="00000000" w:rsidRDefault="00000000" w:rsidRPr="00000000" w14:paraId="0000000F">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1b</w:t>
            </w:r>
          </w:p>
        </w:tc>
        <w:tc>
          <w:tcPr>
            <w:vAlign w:val="center"/>
          </w:tcPr>
          <w:p w:rsidR="00000000" w:rsidDel="00000000" w:rsidP="00000000" w:rsidRDefault="00000000" w:rsidRPr="00000000" w14:paraId="00000010">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Structured summary of trial design and methods, including items from the World Health Organization Trial Registration Data Set</w:t>
            </w:r>
          </w:p>
        </w:tc>
        <w:tc>
          <w:tcPr/>
          <w:p w:rsidR="00000000" w:rsidDel="00000000" w:rsidP="00000000" w:rsidRDefault="00000000" w:rsidRPr="00000000" w14:paraId="00000011">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2-9</w:t>
            </w:r>
          </w:p>
        </w:tc>
      </w:tr>
      <w:tr>
        <w:trPr>
          <w:cantSplit w:val="0"/>
          <w:trHeight w:val="280" w:hRule="atLeast"/>
          <w:tblHeader w:val="0"/>
        </w:trPr>
        <w:tc>
          <w:tcPr/>
          <w:p w:rsidR="00000000" w:rsidDel="00000000" w:rsidP="00000000" w:rsidRDefault="00000000" w:rsidRPr="00000000" w14:paraId="0000001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Protocol version</w:t>
            </w:r>
          </w:p>
        </w:tc>
        <w:tc>
          <w:tcPr/>
          <w:p w:rsidR="00000000" w:rsidDel="00000000" w:rsidP="00000000" w:rsidRDefault="00000000" w:rsidRPr="00000000" w14:paraId="00000013">
            <w:pPr>
              <w:jc w:val="center"/>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2</w:t>
            </w:r>
            <w:r w:rsidDel="00000000" w:rsidR="00000000" w:rsidRPr="00000000">
              <w:rPr>
                <w:rtl w:val="0"/>
              </w:rPr>
            </w:r>
          </w:p>
        </w:tc>
        <w:tc>
          <w:tcPr/>
          <w:p w:rsidR="00000000" w:rsidDel="00000000" w:rsidP="00000000" w:rsidRDefault="00000000" w:rsidRPr="00000000" w14:paraId="0000001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Version </w:t>
            </w:r>
            <w:r w:rsidDel="00000000" w:rsidR="00000000" w:rsidRPr="00000000">
              <w:rPr>
                <w:rFonts w:ascii="Calibri" w:cs="Calibri" w:eastAsia="Calibri" w:hAnsi="Calibri"/>
                <w:color w:val="000000"/>
                <w:sz w:val="20"/>
                <w:szCs w:val="20"/>
                <w:rtl w:val="0"/>
              </w:rPr>
              <w:t xml:space="preserve">date and identifier</w:t>
            </w:r>
            <w:r w:rsidDel="00000000" w:rsidR="00000000" w:rsidRPr="00000000">
              <w:rPr>
                <w:rtl w:val="0"/>
              </w:rPr>
            </w:r>
          </w:p>
        </w:tc>
        <w:tc>
          <w:tcPr/>
          <w:p w:rsidR="00000000" w:rsidDel="00000000" w:rsidP="00000000" w:rsidRDefault="00000000" w:rsidRPr="00000000" w14:paraId="00000015">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9</w:t>
            </w:r>
          </w:p>
        </w:tc>
      </w:tr>
      <w:tr>
        <w:trPr>
          <w:cantSplit w:val="0"/>
          <w:trHeight w:val="124" w:hRule="atLeast"/>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01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Roles and responsibilities</w:t>
            </w:r>
          </w:p>
          <w:p w:rsidR="00000000" w:rsidDel="00000000" w:rsidP="00000000" w:rsidRDefault="00000000" w:rsidRPr="00000000" w14:paraId="00000017">
            <w:pPr>
              <w:rPr>
                <w:rFonts w:ascii="Calibri" w:cs="Calibri" w:eastAsia="Calibri" w:hAnsi="Calibri"/>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3a</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19">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Names, affiliations, and roles of protocol contributors</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1A">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42</w:t>
            </w:r>
          </w:p>
        </w:tc>
      </w:tr>
      <w:tr>
        <w:trPr>
          <w:cantSplit w:val="0"/>
          <w:trHeight w:val="122"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3b</w:t>
            </w:r>
          </w:p>
        </w:tc>
        <w:tc>
          <w:tcPr>
            <w:tcBorders>
              <w:left w:color="000000" w:space="0" w:sz="4" w:val="single"/>
              <w:right w:color="000000" w:space="0" w:sz="4" w:val="single"/>
            </w:tcBorders>
          </w:tcPr>
          <w:p w:rsidR="00000000" w:rsidDel="00000000" w:rsidP="00000000" w:rsidRDefault="00000000" w:rsidRPr="00000000" w14:paraId="0000001D">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Name and contact information for the trial sponsor</w:t>
            </w:r>
          </w:p>
        </w:tc>
        <w:tc>
          <w:tcPr>
            <w:tcBorders>
              <w:left w:color="000000" w:space="0" w:sz="4" w:val="single"/>
              <w:right w:color="000000" w:space="0" w:sz="4" w:val="single"/>
            </w:tcBorders>
          </w:tcPr>
          <w:p w:rsidR="00000000" w:rsidDel="00000000" w:rsidP="00000000" w:rsidRDefault="00000000" w:rsidRPr="00000000" w14:paraId="0000001E">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2</w:t>
            </w:r>
          </w:p>
        </w:tc>
      </w:tr>
      <w:tr>
        <w:trPr>
          <w:cantSplit w:val="0"/>
          <w:trHeight w:val="122"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3c</w:t>
            </w:r>
          </w:p>
        </w:tc>
        <w:tc>
          <w:tcPr>
            <w:tcBorders>
              <w:left w:color="000000" w:space="0" w:sz="4" w:val="single"/>
              <w:right w:color="000000" w:space="0" w:sz="4" w:val="single"/>
            </w:tcBorders>
          </w:tcPr>
          <w:p w:rsidR="00000000" w:rsidDel="00000000" w:rsidP="00000000" w:rsidRDefault="00000000" w:rsidRPr="00000000" w14:paraId="0000002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Role of trial sponsor and funders in design, conduct, analysis, and reporting of trial; including any authority over these activities</w:t>
            </w:r>
          </w:p>
        </w:tc>
        <w:tc>
          <w:tcPr>
            <w:tcBorders>
              <w:left w:color="000000" w:space="0" w:sz="4" w:val="single"/>
              <w:right w:color="000000" w:space="0" w:sz="4" w:val="single"/>
            </w:tcBorders>
          </w:tcPr>
          <w:p w:rsidR="00000000" w:rsidDel="00000000" w:rsidP="00000000" w:rsidRDefault="00000000" w:rsidRPr="00000000" w14:paraId="00000022">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2</w:t>
            </w:r>
          </w:p>
        </w:tc>
      </w:tr>
      <w:tr>
        <w:trPr>
          <w:cantSplit w:val="0"/>
          <w:trHeight w:val="122"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3d</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25">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Composition, roles, and responsibilities of the coordinating site, steering committee, endpoint adjudication committee, data management team, and other individuals or groups overseeing the trial, if applicable</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26">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38</w:t>
            </w:r>
          </w:p>
        </w:tc>
      </w:tr>
      <w:tr>
        <w:trPr>
          <w:cantSplit w:val="0"/>
          <w:trHeight w:val="276" w:hRule="atLeast"/>
          <w:tblHeader w:val="0"/>
        </w:trPr>
        <w:tc>
          <w:tcPr>
            <w:gridSpan w:val="3"/>
            <w:shd w:fill="b4c6e7" w:val="clear"/>
            <w:vAlign w:val="bottom"/>
          </w:tcPr>
          <w:p w:rsidR="00000000" w:rsidDel="00000000" w:rsidP="00000000" w:rsidRDefault="00000000" w:rsidRPr="00000000" w14:paraId="00000027">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Open science</w:t>
            </w:r>
          </w:p>
        </w:tc>
        <w:tc>
          <w:tcPr>
            <w:shd w:fill="b4c6e7" w:val="clear"/>
          </w:tcPr>
          <w:p w:rsidR="00000000" w:rsidDel="00000000" w:rsidP="00000000" w:rsidRDefault="00000000" w:rsidRPr="00000000" w14:paraId="0000002A">
            <w:pPr>
              <w:jc w:val="center"/>
              <w:rPr>
                <w:rFonts w:ascii="Calibri" w:cs="Calibri" w:eastAsia="Calibri" w:hAnsi="Calibri"/>
                <w:b w:val="1"/>
                <w:sz w:val="20"/>
                <w:szCs w:val="20"/>
              </w:rPr>
            </w:pP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02B">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Trial registration</w:t>
            </w:r>
          </w:p>
        </w:tc>
        <w:tc>
          <w:tcPr/>
          <w:p w:rsidR="00000000" w:rsidDel="00000000" w:rsidP="00000000" w:rsidRDefault="00000000" w:rsidRPr="00000000" w14:paraId="0000002C">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w:t>
            </w:r>
          </w:p>
        </w:tc>
        <w:tc>
          <w:tcPr/>
          <w:p w:rsidR="00000000" w:rsidDel="00000000" w:rsidP="00000000" w:rsidRDefault="00000000" w:rsidRPr="00000000" w14:paraId="0000002D">
            <w:pPr>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Name of trial registry, identifying number (with URL), and date of registration. If not yet registered, name of intended registry</w:t>
            </w:r>
            <w:r w:rsidDel="00000000" w:rsidR="00000000" w:rsidRPr="00000000">
              <w:rPr>
                <w:rtl w:val="0"/>
              </w:rPr>
            </w:r>
          </w:p>
        </w:tc>
        <w:tc>
          <w:tcPr/>
          <w:p w:rsidR="00000000" w:rsidDel="00000000" w:rsidP="00000000" w:rsidRDefault="00000000" w:rsidRPr="00000000" w14:paraId="0000002E">
            <w:pPr>
              <w:jc w:val="cente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2</w:t>
            </w:r>
          </w:p>
        </w:tc>
      </w:tr>
      <w:tr>
        <w:trPr>
          <w:cantSplit w:val="0"/>
          <w:trHeight w:val="227" w:hRule="atLeast"/>
          <w:tblHeader w:val="0"/>
        </w:trPr>
        <w:tc>
          <w:tcPr/>
          <w:p w:rsidR="00000000" w:rsidDel="00000000" w:rsidP="00000000" w:rsidRDefault="00000000" w:rsidRPr="00000000" w14:paraId="0000002F">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Protocol and statistical analysis plan</w:t>
            </w:r>
          </w:p>
        </w:tc>
        <w:tc>
          <w:tcPr/>
          <w:p w:rsidR="00000000" w:rsidDel="00000000" w:rsidP="00000000" w:rsidRDefault="00000000" w:rsidRPr="00000000" w14:paraId="00000030">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w:t>
            </w:r>
          </w:p>
        </w:tc>
        <w:tc>
          <w:tcPr/>
          <w:p w:rsidR="00000000" w:rsidDel="00000000" w:rsidP="00000000" w:rsidRDefault="00000000" w:rsidRPr="00000000" w14:paraId="00000031">
            <w:pPr>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Where the trial protocol and statistical analysis plan can be accessed</w:t>
            </w:r>
            <w:r w:rsidDel="00000000" w:rsidR="00000000" w:rsidRPr="00000000">
              <w:rPr>
                <w:rtl w:val="0"/>
              </w:rPr>
            </w:r>
          </w:p>
        </w:tc>
        <w:tc>
          <w:tcPr/>
          <w:p w:rsidR="00000000" w:rsidDel="00000000" w:rsidP="00000000" w:rsidRDefault="00000000" w:rsidRPr="00000000" w14:paraId="00000032">
            <w:pPr>
              <w:jc w:val="center"/>
              <w:rPr>
                <w:rFonts w:ascii="Calibri" w:cs="Calibri" w:eastAsia="Calibri" w:hAnsi="Calibri"/>
                <w:b w:val="1"/>
                <w:color w:val="000000"/>
                <w:sz w:val="20"/>
                <w:szCs w:val="20"/>
              </w:rPr>
            </w:pPr>
            <w:r w:rsidDel="00000000" w:rsidR="00000000" w:rsidRPr="00000000">
              <w:rPr>
                <w:rFonts w:ascii="Calibri" w:cs="Calibri" w:eastAsia="Calibri" w:hAnsi="Calibri"/>
                <w:b w:val="1"/>
                <w:sz w:val="20"/>
                <w:szCs w:val="20"/>
                <w:rtl w:val="0"/>
              </w:rPr>
              <w:t xml:space="preserve">37-38</w:t>
            </w:r>
            <w:r w:rsidDel="00000000" w:rsidR="00000000" w:rsidRPr="00000000">
              <w:rPr>
                <w:rtl w:val="0"/>
              </w:rPr>
            </w:r>
          </w:p>
        </w:tc>
      </w:tr>
      <w:tr>
        <w:trPr>
          <w:cantSplit w:val="0"/>
          <w:trHeight w:val="205" w:hRule="atLeast"/>
          <w:tblHeader w:val="0"/>
        </w:trPr>
        <w:tc>
          <w:tcPr/>
          <w:p w:rsidR="00000000" w:rsidDel="00000000" w:rsidP="00000000" w:rsidRDefault="00000000" w:rsidRPr="00000000" w14:paraId="00000033">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Data sharing</w:t>
            </w:r>
          </w:p>
        </w:tc>
        <w:tc>
          <w:tcPr/>
          <w:p w:rsidR="00000000" w:rsidDel="00000000" w:rsidP="00000000" w:rsidRDefault="00000000" w:rsidRPr="00000000" w14:paraId="00000034">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6</w:t>
            </w:r>
          </w:p>
        </w:tc>
        <w:tc>
          <w:tcPr/>
          <w:p w:rsidR="00000000" w:rsidDel="00000000" w:rsidP="00000000" w:rsidRDefault="00000000" w:rsidRPr="00000000" w14:paraId="00000035">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Where and how the individual de-identified participant data (including data dictionary), statistical code, and any other materials will be accessible</w:t>
            </w:r>
          </w:p>
        </w:tc>
        <w:tc>
          <w:tcPr/>
          <w:p w:rsidR="00000000" w:rsidDel="00000000" w:rsidP="00000000" w:rsidRDefault="00000000" w:rsidRPr="00000000" w14:paraId="00000036">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8</w:t>
            </w:r>
          </w:p>
        </w:tc>
      </w:tr>
      <w:tr>
        <w:trPr>
          <w:cantSplit w:val="0"/>
          <w:trHeight w:val="405" w:hRule="atLeast"/>
          <w:tblHeader w:val="0"/>
        </w:trPr>
        <w:tc>
          <w:tcPr>
            <w:vMerge w:val="restart"/>
          </w:tcPr>
          <w:p w:rsidR="00000000" w:rsidDel="00000000" w:rsidP="00000000" w:rsidRDefault="00000000" w:rsidRPr="00000000" w14:paraId="00000037">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Funding and conflicts of interest</w:t>
            </w:r>
          </w:p>
        </w:tc>
        <w:tc>
          <w:tcPr/>
          <w:p w:rsidR="00000000" w:rsidDel="00000000" w:rsidP="00000000" w:rsidRDefault="00000000" w:rsidRPr="00000000" w14:paraId="00000038">
            <w:pPr>
              <w:jc w:val="center"/>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7a</w:t>
            </w:r>
            <w:r w:rsidDel="00000000" w:rsidR="00000000" w:rsidRPr="00000000">
              <w:rPr>
                <w:rtl w:val="0"/>
              </w:rPr>
            </w:r>
          </w:p>
        </w:tc>
        <w:tc>
          <w:tcPr/>
          <w:p w:rsidR="00000000" w:rsidDel="00000000" w:rsidP="00000000" w:rsidRDefault="00000000" w:rsidRPr="00000000" w14:paraId="00000039">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Sources of funding and other support (e.g., supply of drugs) </w:t>
            </w:r>
          </w:p>
        </w:tc>
        <w:tc>
          <w:tcPr/>
          <w:p w:rsidR="00000000" w:rsidDel="00000000" w:rsidP="00000000" w:rsidRDefault="00000000" w:rsidRPr="00000000" w14:paraId="0000003A">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42</w:t>
            </w:r>
          </w:p>
        </w:tc>
      </w:tr>
      <w:tr>
        <w:trPr>
          <w:cantSplit w:val="0"/>
          <w:trHeight w:val="405" w:hRule="atLeast"/>
          <w:tblHeader w:val="0"/>
        </w:trPr>
        <w:tc>
          <w:tcPr>
            <w:vMerge w:val="continue"/>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sz w:val="20"/>
                <w:szCs w:val="20"/>
              </w:rPr>
            </w:pPr>
            <w:r w:rsidDel="00000000" w:rsidR="00000000" w:rsidRPr="00000000">
              <w:rPr>
                <w:rtl w:val="0"/>
              </w:rPr>
            </w:r>
          </w:p>
        </w:tc>
        <w:tc>
          <w:tcPr/>
          <w:p w:rsidR="00000000" w:rsidDel="00000000" w:rsidP="00000000" w:rsidRDefault="00000000" w:rsidRPr="00000000" w14:paraId="0000003C">
            <w:pPr>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7b</w:t>
            </w:r>
            <w:r w:rsidDel="00000000" w:rsidR="00000000" w:rsidRPr="00000000">
              <w:rPr>
                <w:rtl w:val="0"/>
              </w:rPr>
            </w:r>
          </w:p>
        </w:tc>
        <w:tc>
          <w:tcPr/>
          <w:p w:rsidR="00000000" w:rsidDel="00000000" w:rsidP="00000000" w:rsidRDefault="00000000" w:rsidRPr="00000000" w14:paraId="0000003D">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Financial and other conflicts of interest for principal investigators and steering committee members</w:t>
            </w:r>
          </w:p>
        </w:tc>
        <w:tc>
          <w:tcPr/>
          <w:p w:rsidR="00000000" w:rsidDel="00000000" w:rsidP="00000000" w:rsidRDefault="00000000" w:rsidRPr="00000000" w14:paraId="0000003E">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43</w:t>
            </w:r>
          </w:p>
        </w:tc>
      </w:tr>
      <w:tr>
        <w:trPr>
          <w:cantSplit w:val="0"/>
          <w:trHeight w:val="205" w:hRule="atLeast"/>
          <w:tblHeader w:val="0"/>
        </w:trPr>
        <w:tc>
          <w:tcPr/>
          <w:p w:rsidR="00000000" w:rsidDel="00000000" w:rsidP="00000000" w:rsidRDefault="00000000" w:rsidRPr="00000000" w14:paraId="0000003F">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Dissemination policy</w:t>
            </w:r>
          </w:p>
          <w:p w:rsidR="00000000" w:rsidDel="00000000" w:rsidP="00000000" w:rsidRDefault="00000000" w:rsidRPr="00000000" w14:paraId="00000040">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41">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8</w:t>
            </w:r>
          </w:p>
        </w:tc>
        <w:tc>
          <w:tcPr/>
          <w:p w:rsidR="00000000" w:rsidDel="00000000" w:rsidP="00000000" w:rsidRDefault="00000000" w:rsidRPr="00000000" w14:paraId="00000042">
            <w:pPr>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Plans to communicate trial results to participants, healthcare professionals, the public, and other relevant groups (e.g., reporting in trial registry, plain language summary, publication)</w:t>
            </w:r>
            <w:r w:rsidDel="00000000" w:rsidR="00000000" w:rsidRPr="00000000">
              <w:rPr>
                <w:rtl w:val="0"/>
              </w:rPr>
            </w:r>
          </w:p>
        </w:tc>
        <w:tc>
          <w:tcPr/>
          <w:p w:rsidR="00000000" w:rsidDel="00000000" w:rsidP="00000000" w:rsidRDefault="00000000" w:rsidRPr="00000000" w14:paraId="00000043">
            <w:pPr>
              <w:jc w:val="center"/>
              <w:rPr>
                <w:rFonts w:ascii="Calibri" w:cs="Calibri" w:eastAsia="Calibri" w:hAnsi="Calibri"/>
                <w:b w:val="1"/>
                <w:color w:val="000000"/>
                <w:sz w:val="20"/>
                <w:szCs w:val="20"/>
              </w:rPr>
            </w:pPr>
            <w:r w:rsidDel="00000000" w:rsidR="00000000" w:rsidRPr="00000000">
              <w:rPr>
                <w:rFonts w:ascii="Calibri" w:cs="Calibri" w:eastAsia="Calibri" w:hAnsi="Calibri"/>
                <w:b w:val="1"/>
                <w:sz w:val="20"/>
                <w:szCs w:val="20"/>
                <w:rtl w:val="0"/>
              </w:rPr>
              <w:t xml:space="preserve">39</w:t>
            </w:r>
            <w:r w:rsidDel="00000000" w:rsidR="00000000" w:rsidRPr="00000000">
              <w:rPr>
                <w:rtl w:val="0"/>
              </w:rPr>
            </w:r>
          </w:p>
        </w:tc>
      </w:tr>
      <w:tr>
        <w:trPr>
          <w:cantSplit w:val="0"/>
          <w:trHeight w:val="276" w:hRule="atLeast"/>
          <w:tblHeader w:val="0"/>
        </w:trPr>
        <w:tc>
          <w:tcPr>
            <w:gridSpan w:val="3"/>
            <w:shd w:fill="b4c6e7" w:val="clear"/>
          </w:tcPr>
          <w:p w:rsidR="00000000" w:rsidDel="00000000" w:rsidP="00000000" w:rsidRDefault="00000000" w:rsidRPr="00000000" w14:paraId="00000044">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Introduction</w:t>
            </w:r>
          </w:p>
        </w:tc>
        <w:tc>
          <w:tcPr>
            <w:shd w:fill="b4c6e7" w:val="clear"/>
          </w:tcPr>
          <w:p w:rsidR="00000000" w:rsidDel="00000000" w:rsidP="00000000" w:rsidRDefault="00000000" w:rsidRPr="00000000" w14:paraId="00000047">
            <w:pPr>
              <w:jc w:val="center"/>
              <w:rPr>
                <w:rFonts w:ascii="Calibri" w:cs="Calibri" w:eastAsia="Calibri" w:hAnsi="Calibri"/>
                <w:b w:val="1"/>
                <w:sz w:val="20"/>
                <w:szCs w:val="20"/>
              </w:rPr>
            </w:pPr>
            <w:r w:rsidDel="00000000" w:rsidR="00000000" w:rsidRPr="00000000">
              <w:rPr>
                <w:rtl w:val="0"/>
              </w:rPr>
            </w:r>
          </w:p>
        </w:tc>
      </w:tr>
      <w:tr>
        <w:trPr>
          <w:cantSplit w:val="0"/>
          <w:trHeight w:val="594" w:hRule="atLeast"/>
          <w:tblHeader w:val="0"/>
        </w:trPr>
        <w:tc>
          <w:tcPr>
            <w:vMerge w:val="restart"/>
          </w:tcPr>
          <w:p w:rsidR="00000000" w:rsidDel="00000000" w:rsidP="00000000" w:rsidRDefault="00000000" w:rsidRPr="00000000" w14:paraId="0000004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Background and rationale</w:t>
            </w:r>
          </w:p>
        </w:tc>
        <w:tc>
          <w:tcPr/>
          <w:p w:rsidR="00000000" w:rsidDel="00000000" w:rsidP="00000000" w:rsidRDefault="00000000" w:rsidRPr="00000000" w14:paraId="00000049">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9a</w:t>
            </w:r>
          </w:p>
        </w:tc>
        <w:tc>
          <w:tcPr/>
          <w:p w:rsidR="00000000" w:rsidDel="00000000" w:rsidP="00000000" w:rsidRDefault="00000000" w:rsidRPr="00000000" w14:paraId="0000004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Scientific background and rationale, including summary of relevant studies (published and unpublished) examining benefits and harms for each intervention</w:t>
            </w:r>
          </w:p>
        </w:tc>
        <w:tc>
          <w:tcPr/>
          <w:p w:rsidR="00000000" w:rsidDel="00000000" w:rsidP="00000000" w:rsidRDefault="00000000" w:rsidRPr="00000000" w14:paraId="0000004B">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9-11</w:t>
            </w:r>
          </w:p>
        </w:tc>
      </w:tr>
      <w:tr>
        <w:trPr>
          <w:cantSplit w:val="0"/>
          <w:trHeight w:val="276" w:hRule="atLeast"/>
          <w:tblHeader w:val="0"/>
        </w:trPr>
        <w:tc>
          <w:tcPr>
            <w:vMerge w:val="continue"/>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sz w:val="20"/>
                <w:szCs w:val="20"/>
              </w:rPr>
            </w:pPr>
            <w:r w:rsidDel="00000000" w:rsidR="00000000" w:rsidRPr="00000000">
              <w:rPr>
                <w:rtl w:val="0"/>
              </w:rPr>
            </w:r>
          </w:p>
        </w:tc>
        <w:tc>
          <w:tcPr/>
          <w:p w:rsidR="00000000" w:rsidDel="00000000" w:rsidP="00000000" w:rsidRDefault="00000000" w:rsidRPr="00000000" w14:paraId="0000004D">
            <w:pP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9b</w:t>
            </w:r>
          </w:p>
        </w:tc>
        <w:tc>
          <w:tcPr/>
          <w:p w:rsidR="00000000" w:rsidDel="00000000" w:rsidP="00000000" w:rsidRDefault="00000000" w:rsidRPr="00000000" w14:paraId="0000004E">
            <w:pP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Explanation for choice of comparator</w:t>
            </w:r>
          </w:p>
        </w:tc>
        <w:tc>
          <w:tcPr/>
          <w:p w:rsidR="00000000" w:rsidDel="00000000" w:rsidP="00000000" w:rsidRDefault="00000000" w:rsidRPr="00000000" w14:paraId="0000004F">
            <w:pPr>
              <w:jc w:val="center"/>
              <w:rPr>
                <w:rFonts w:ascii="Calibri" w:cs="Calibri" w:eastAsia="Calibri" w:hAnsi="Calibri"/>
                <w:b w:val="1"/>
                <w:color w:val="000000"/>
                <w:sz w:val="20"/>
                <w:szCs w:val="20"/>
              </w:rPr>
            </w:pPr>
            <w:r w:rsidDel="00000000" w:rsidR="00000000" w:rsidRPr="00000000">
              <w:rPr>
                <w:rFonts w:ascii="Calibri" w:cs="Calibri" w:eastAsia="Calibri" w:hAnsi="Calibri"/>
                <w:b w:val="1"/>
                <w:sz w:val="20"/>
                <w:szCs w:val="20"/>
                <w:rtl w:val="0"/>
              </w:rPr>
              <w:t xml:space="preserve">11</w:t>
            </w:r>
            <w:r w:rsidDel="00000000" w:rsidR="00000000" w:rsidRPr="00000000">
              <w:rPr>
                <w:rtl w:val="0"/>
              </w:rPr>
            </w:r>
          </w:p>
        </w:tc>
      </w:tr>
      <w:tr>
        <w:trPr>
          <w:cantSplit w:val="0"/>
          <w:trHeight w:val="276" w:hRule="atLeast"/>
          <w:tblHeader w:val="0"/>
        </w:trPr>
        <w:tc>
          <w:tcPr/>
          <w:p w:rsidR="00000000" w:rsidDel="00000000" w:rsidP="00000000" w:rsidRDefault="00000000" w:rsidRPr="00000000" w14:paraId="00000050">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Objectives</w:t>
            </w:r>
          </w:p>
        </w:tc>
        <w:tc>
          <w:tcPr/>
          <w:p w:rsidR="00000000" w:rsidDel="00000000" w:rsidP="00000000" w:rsidRDefault="00000000" w:rsidRPr="00000000" w14:paraId="00000051">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w:t>
            </w:r>
          </w:p>
        </w:tc>
        <w:tc>
          <w:tcPr/>
          <w:p w:rsidR="00000000" w:rsidDel="00000000" w:rsidP="00000000" w:rsidRDefault="00000000" w:rsidRPr="00000000" w14:paraId="0000005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Specific objectives related to benefits and harms</w:t>
            </w:r>
          </w:p>
        </w:tc>
        <w:tc>
          <w:tcPr/>
          <w:p w:rsidR="00000000" w:rsidDel="00000000" w:rsidP="00000000" w:rsidRDefault="00000000" w:rsidRPr="00000000" w14:paraId="00000053">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12</w:t>
            </w:r>
          </w:p>
        </w:tc>
      </w:tr>
      <w:tr>
        <w:trPr>
          <w:cantSplit w:val="0"/>
          <w:trHeight w:val="276" w:hRule="atLeast"/>
          <w:tblHeader w:val="0"/>
        </w:trPr>
        <w:tc>
          <w:tcPr>
            <w:gridSpan w:val="3"/>
            <w:shd w:fill="b4c6e7" w:val="clear"/>
          </w:tcPr>
          <w:p w:rsidR="00000000" w:rsidDel="00000000" w:rsidP="00000000" w:rsidRDefault="00000000" w:rsidRPr="00000000" w14:paraId="00000054">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Methods: Patient and public involvement, trial design</w:t>
            </w:r>
            <w:r w:rsidDel="00000000" w:rsidR="00000000" w:rsidRPr="00000000">
              <w:rPr>
                <w:rtl w:val="0"/>
              </w:rPr>
            </w:r>
          </w:p>
        </w:tc>
        <w:tc>
          <w:tcPr>
            <w:shd w:fill="b4c6e7" w:val="clear"/>
          </w:tcPr>
          <w:p w:rsidR="00000000" w:rsidDel="00000000" w:rsidP="00000000" w:rsidRDefault="00000000" w:rsidRPr="00000000" w14:paraId="00000057">
            <w:pPr>
              <w:jc w:val="center"/>
              <w:rPr>
                <w:rFonts w:ascii="Calibri" w:cs="Calibri" w:eastAsia="Calibri" w:hAnsi="Calibri"/>
                <w:b w:val="1"/>
                <w:sz w:val="20"/>
                <w:szCs w:val="20"/>
              </w:rPr>
            </w:pPr>
            <w:r w:rsidDel="00000000" w:rsidR="00000000" w:rsidRPr="00000000">
              <w:rPr>
                <w:rtl w:val="0"/>
              </w:rPr>
            </w:r>
          </w:p>
        </w:tc>
      </w:tr>
      <w:tr>
        <w:trPr>
          <w:cantSplit w:val="0"/>
          <w:trHeight w:val="699" w:hRule="atLeast"/>
          <w:tblHeader w:val="0"/>
        </w:trPr>
        <w:tc>
          <w:tcPr/>
          <w:p w:rsidR="00000000" w:rsidDel="00000000" w:rsidP="00000000" w:rsidRDefault="00000000" w:rsidRPr="00000000" w14:paraId="0000005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Patient and public involvement</w:t>
            </w:r>
          </w:p>
        </w:tc>
        <w:tc>
          <w:tcPr/>
          <w:p w:rsidR="00000000" w:rsidDel="00000000" w:rsidP="00000000" w:rsidRDefault="00000000" w:rsidRPr="00000000" w14:paraId="00000059">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11</w:t>
            </w:r>
          </w:p>
        </w:tc>
        <w:tc>
          <w:tcPr/>
          <w:p w:rsidR="00000000" w:rsidDel="00000000" w:rsidP="00000000" w:rsidRDefault="00000000" w:rsidRPr="00000000" w14:paraId="0000005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Details of, or plans for, patient or public involvement in the design, conduct, and reporting of the trial</w:t>
            </w:r>
          </w:p>
        </w:tc>
        <w:tc>
          <w:tcPr/>
          <w:p w:rsidR="00000000" w:rsidDel="00000000" w:rsidP="00000000" w:rsidRDefault="00000000" w:rsidRPr="00000000" w14:paraId="0000005B">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12-13</w:t>
            </w:r>
          </w:p>
        </w:tc>
      </w:tr>
      <w:tr>
        <w:trPr>
          <w:cantSplit w:val="0"/>
          <w:trHeight w:val="547" w:hRule="atLeast"/>
          <w:tblHeader w:val="0"/>
        </w:trPr>
        <w:tc>
          <w:tcPr/>
          <w:p w:rsidR="00000000" w:rsidDel="00000000" w:rsidP="00000000" w:rsidRDefault="00000000" w:rsidRPr="00000000" w14:paraId="0000005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Trial design</w:t>
            </w:r>
          </w:p>
        </w:tc>
        <w:tc>
          <w:tcPr/>
          <w:p w:rsidR="00000000" w:rsidDel="00000000" w:rsidP="00000000" w:rsidRDefault="00000000" w:rsidRPr="00000000" w14:paraId="0000005D">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12</w:t>
            </w:r>
          </w:p>
        </w:tc>
        <w:tc>
          <w:tcPr/>
          <w:p w:rsidR="00000000" w:rsidDel="00000000" w:rsidP="00000000" w:rsidRDefault="00000000" w:rsidRPr="00000000" w14:paraId="0000005E">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Description of trial design including type of trial (</w:t>
            </w:r>
            <w:r w:rsidDel="00000000" w:rsidR="00000000" w:rsidRPr="00000000">
              <w:rPr>
                <w:rFonts w:ascii="Calibri" w:cs="Calibri" w:eastAsia="Calibri" w:hAnsi="Calibri"/>
                <w:color w:val="000000"/>
                <w:sz w:val="20"/>
                <w:szCs w:val="20"/>
                <w:rtl w:val="0"/>
              </w:rPr>
              <w:t xml:space="preserve">e.g.,</w:t>
            </w:r>
            <w:r w:rsidDel="00000000" w:rsidR="00000000" w:rsidRPr="00000000">
              <w:rPr>
                <w:rFonts w:ascii="Calibri" w:cs="Calibri" w:eastAsia="Calibri" w:hAnsi="Calibri"/>
                <w:sz w:val="20"/>
                <w:szCs w:val="20"/>
                <w:rtl w:val="0"/>
              </w:rPr>
              <w:t xml:space="preserve"> parallel group, crossover), allocation ratio, and framework (</w:t>
            </w:r>
            <w:r w:rsidDel="00000000" w:rsidR="00000000" w:rsidRPr="00000000">
              <w:rPr>
                <w:rFonts w:ascii="Calibri" w:cs="Calibri" w:eastAsia="Calibri" w:hAnsi="Calibri"/>
                <w:color w:val="000000"/>
                <w:sz w:val="20"/>
                <w:szCs w:val="20"/>
                <w:rtl w:val="0"/>
              </w:rPr>
              <w:t xml:space="preserve">e.g.,</w:t>
            </w:r>
            <w:r w:rsidDel="00000000" w:rsidR="00000000" w:rsidRPr="00000000">
              <w:rPr>
                <w:rFonts w:ascii="Calibri" w:cs="Calibri" w:eastAsia="Calibri" w:hAnsi="Calibri"/>
                <w:sz w:val="20"/>
                <w:szCs w:val="20"/>
                <w:rtl w:val="0"/>
              </w:rPr>
              <w:t xml:space="preserve"> superiority, equivalence, </w:t>
            </w:r>
            <w:r w:rsidDel="00000000" w:rsidR="00000000" w:rsidRPr="00000000">
              <w:rPr>
                <w:rFonts w:ascii="Calibri" w:cs="Calibri" w:eastAsia="Calibri" w:hAnsi="Calibri"/>
                <w:color w:val="000000"/>
                <w:sz w:val="20"/>
                <w:szCs w:val="20"/>
                <w:rtl w:val="0"/>
              </w:rPr>
              <w:t xml:space="preserve">non-inferiority</w:t>
            </w:r>
            <w:r w:rsidDel="00000000" w:rsidR="00000000" w:rsidRPr="00000000">
              <w:rPr>
                <w:rFonts w:ascii="Calibri" w:cs="Calibri" w:eastAsia="Calibri" w:hAnsi="Calibri"/>
                <w:sz w:val="20"/>
                <w:szCs w:val="20"/>
                <w:rtl w:val="0"/>
              </w:rPr>
              <w:t xml:space="preserve">, exploratory)</w:t>
            </w:r>
          </w:p>
        </w:tc>
        <w:tc>
          <w:tcPr/>
          <w:p w:rsidR="00000000" w:rsidDel="00000000" w:rsidP="00000000" w:rsidRDefault="00000000" w:rsidRPr="00000000" w14:paraId="0000005F">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13</w:t>
            </w:r>
          </w:p>
        </w:tc>
      </w:tr>
      <w:tr>
        <w:trPr>
          <w:cantSplit w:val="0"/>
          <w:trHeight w:val="276" w:hRule="atLeast"/>
          <w:tblHeader w:val="0"/>
        </w:trPr>
        <w:tc>
          <w:tcPr>
            <w:gridSpan w:val="3"/>
            <w:shd w:fill="b4c6e7" w:val="clear"/>
          </w:tcPr>
          <w:p w:rsidR="00000000" w:rsidDel="00000000" w:rsidP="00000000" w:rsidRDefault="00000000" w:rsidRPr="00000000" w14:paraId="00000060">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Methods: Participants, interventions, and outcomes</w:t>
            </w:r>
          </w:p>
        </w:tc>
        <w:tc>
          <w:tcPr>
            <w:shd w:fill="b4c6e7" w:val="clear"/>
          </w:tcPr>
          <w:p w:rsidR="00000000" w:rsidDel="00000000" w:rsidP="00000000" w:rsidRDefault="00000000" w:rsidRPr="00000000" w14:paraId="00000063">
            <w:pPr>
              <w:jc w:val="center"/>
              <w:rPr>
                <w:rFonts w:ascii="Calibri" w:cs="Calibri" w:eastAsia="Calibri" w:hAnsi="Calibri"/>
                <w:b w:val="1"/>
                <w:sz w:val="20"/>
                <w:szCs w:val="20"/>
              </w:rPr>
            </w:pPr>
            <w:r w:rsidDel="00000000" w:rsidR="00000000" w:rsidRPr="00000000">
              <w:rPr>
                <w:rtl w:val="0"/>
              </w:rPr>
            </w:r>
          </w:p>
        </w:tc>
      </w:tr>
      <w:tr>
        <w:trPr>
          <w:cantSplit w:val="0"/>
          <w:trHeight w:val="516" w:hRule="atLeast"/>
          <w:tblHeader w:val="0"/>
        </w:trPr>
        <w:tc>
          <w:tcPr/>
          <w:p w:rsidR="00000000" w:rsidDel="00000000" w:rsidP="00000000" w:rsidRDefault="00000000" w:rsidRPr="00000000" w14:paraId="0000006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Trial setting</w:t>
            </w:r>
          </w:p>
        </w:tc>
        <w:tc>
          <w:tcPr/>
          <w:p w:rsidR="00000000" w:rsidDel="00000000" w:rsidP="00000000" w:rsidRDefault="00000000" w:rsidRPr="00000000" w14:paraId="00000065">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13</w:t>
            </w:r>
          </w:p>
        </w:tc>
        <w:tc>
          <w:tcPr/>
          <w:p w:rsidR="00000000" w:rsidDel="00000000" w:rsidP="00000000" w:rsidRDefault="00000000" w:rsidRPr="00000000" w14:paraId="0000006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Settings (e.g., community, hospital) and locations (e.g., countries, sites) where the trial will be conducted </w:t>
            </w:r>
          </w:p>
        </w:tc>
        <w:tc>
          <w:tcPr/>
          <w:p w:rsidR="00000000" w:rsidDel="00000000" w:rsidP="00000000" w:rsidRDefault="00000000" w:rsidRPr="00000000" w14:paraId="00000067">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13</w:t>
            </w:r>
          </w:p>
        </w:tc>
      </w:tr>
      <w:tr>
        <w:trPr>
          <w:cantSplit w:val="0"/>
          <w:trHeight w:val="267" w:hRule="atLeast"/>
          <w:tblHeader w:val="0"/>
        </w:trPr>
        <w:tc>
          <w:tcPr>
            <w:vMerge w:val="restart"/>
          </w:tcPr>
          <w:p w:rsidR="00000000" w:rsidDel="00000000" w:rsidP="00000000" w:rsidRDefault="00000000" w:rsidRPr="00000000" w14:paraId="0000006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Eligibility criteria</w:t>
            </w:r>
          </w:p>
        </w:tc>
        <w:tc>
          <w:tcPr/>
          <w:p w:rsidR="00000000" w:rsidDel="00000000" w:rsidP="00000000" w:rsidRDefault="00000000" w:rsidRPr="00000000" w14:paraId="00000069">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14a</w:t>
            </w:r>
          </w:p>
        </w:tc>
        <w:tc>
          <w:tcPr/>
          <w:p w:rsidR="00000000" w:rsidDel="00000000" w:rsidP="00000000" w:rsidRDefault="00000000" w:rsidRPr="00000000" w14:paraId="0000006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Eligibility criteria for participants </w:t>
            </w:r>
          </w:p>
        </w:tc>
        <w:tc>
          <w:tcPr/>
          <w:p w:rsidR="00000000" w:rsidDel="00000000" w:rsidP="00000000" w:rsidRDefault="00000000" w:rsidRPr="00000000" w14:paraId="0000006B">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16-17</w:t>
            </w:r>
          </w:p>
        </w:tc>
      </w:tr>
      <w:tr>
        <w:trPr>
          <w:cantSplit w:val="0"/>
          <w:trHeight w:val="276" w:hRule="atLeast"/>
          <w:tblHeader w:val="0"/>
        </w:trPr>
        <w:tc>
          <w:tcPr>
            <w:vMerge w:val="continue"/>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sz w:val="20"/>
                <w:szCs w:val="20"/>
              </w:rPr>
            </w:pPr>
            <w:r w:rsidDel="00000000" w:rsidR="00000000" w:rsidRPr="00000000">
              <w:rPr>
                <w:rtl w:val="0"/>
              </w:rPr>
            </w:r>
          </w:p>
        </w:tc>
        <w:tc>
          <w:tcPr/>
          <w:p w:rsidR="00000000" w:rsidDel="00000000" w:rsidP="00000000" w:rsidRDefault="00000000" w:rsidRPr="00000000" w14:paraId="0000006D">
            <w:pPr>
              <w:jc w:val="center"/>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14b</w:t>
            </w:r>
            <w:r w:rsidDel="00000000" w:rsidR="00000000" w:rsidRPr="00000000">
              <w:rPr>
                <w:rtl w:val="0"/>
              </w:rPr>
            </w:r>
          </w:p>
        </w:tc>
        <w:tc>
          <w:tcPr/>
          <w:p w:rsidR="00000000" w:rsidDel="00000000" w:rsidP="00000000" w:rsidRDefault="00000000" w:rsidRPr="00000000" w14:paraId="0000006E">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applicable, eligibility criteria for sites and for individuals who will deliver the interventions (e.g., surgeons, physiotherapists)</w:t>
            </w:r>
          </w:p>
        </w:tc>
        <w:tc>
          <w:tcPr/>
          <w:p w:rsidR="00000000" w:rsidDel="00000000" w:rsidP="00000000" w:rsidRDefault="00000000" w:rsidRPr="00000000" w14:paraId="0000006F">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16-18</w:t>
            </w:r>
          </w:p>
        </w:tc>
      </w:tr>
      <w:tr>
        <w:trPr>
          <w:cantSplit w:val="0"/>
          <w:trHeight w:val="207" w:hRule="atLeast"/>
          <w:tblHeader w:val="0"/>
        </w:trPr>
        <w:tc>
          <w:tcPr>
            <w:vMerge w:val="restart"/>
          </w:tcPr>
          <w:p w:rsidR="00000000" w:rsidDel="00000000" w:rsidP="00000000" w:rsidRDefault="00000000" w:rsidRPr="00000000" w14:paraId="00000070">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Intervention and comparator</w:t>
            </w:r>
          </w:p>
        </w:tc>
        <w:tc>
          <w:tcPr/>
          <w:p w:rsidR="00000000" w:rsidDel="00000000" w:rsidP="00000000" w:rsidRDefault="00000000" w:rsidRPr="00000000" w14:paraId="00000071">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15a</w:t>
            </w:r>
          </w:p>
        </w:tc>
        <w:tc>
          <w:tcPr/>
          <w:p w:rsidR="00000000" w:rsidDel="00000000" w:rsidP="00000000" w:rsidRDefault="00000000" w:rsidRPr="00000000" w14:paraId="0000007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Intervention and comparator with sufficient details to allow replication including how, when, and by whom they will be administered. If relevant, where additional materials describing the intervention and comparator (e.g., intervention manual) can be accessed</w:t>
            </w:r>
          </w:p>
        </w:tc>
        <w:tc>
          <w:tcPr/>
          <w:p w:rsidR="00000000" w:rsidDel="00000000" w:rsidP="00000000" w:rsidRDefault="00000000" w:rsidRPr="00000000" w14:paraId="00000073">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18-21</w:t>
            </w:r>
          </w:p>
        </w:tc>
      </w:tr>
      <w:tr>
        <w:trPr>
          <w:cantSplit w:val="0"/>
          <w:trHeight w:val="523" w:hRule="atLeast"/>
          <w:tblHeader w:val="0"/>
        </w:trPr>
        <w:tc>
          <w:tcPr>
            <w:vMerge w:val="continue"/>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sz w:val="20"/>
                <w:szCs w:val="20"/>
              </w:rPr>
            </w:pPr>
            <w:r w:rsidDel="00000000" w:rsidR="00000000" w:rsidRPr="00000000">
              <w:rPr>
                <w:rtl w:val="0"/>
              </w:rPr>
            </w:r>
          </w:p>
        </w:tc>
        <w:tc>
          <w:tcPr/>
          <w:p w:rsidR="00000000" w:rsidDel="00000000" w:rsidP="00000000" w:rsidRDefault="00000000" w:rsidRPr="00000000" w14:paraId="00000075">
            <w:pPr>
              <w:jc w:val="center"/>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15b</w:t>
            </w:r>
            <w:r w:rsidDel="00000000" w:rsidR="00000000" w:rsidRPr="00000000">
              <w:rPr>
                <w:rtl w:val="0"/>
              </w:rPr>
            </w:r>
          </w:p>
        </w:tc>
        <w:tc>
          <w:tcPr/>
          <w:p w:rsidR="00000000" w:rsidDel="00000000" w:rsidP="00000000" w:rsidRDefault="00000000" w:rsidRPr="00000000" w14:paraId="0000007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Criteria for discontinuing or modifying allocated intervention/comparator for a trial participant (e.g., drug dose change in response to harms, participant request, or improving/worsening disease) </w:t>
            </w:r>
          </w:p>
        </w:tc>
        <w:tc>
          <w:tcPr/>
          <w:p w:rsidR="00000000" w:rsidDel="00000000" w:rsidP="00000000" w:rsidRDefault="00000000" w:rsidRPr="00000000" w14:paraId="00000077">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22-23</w:t>
            </w:r>
          </w:p>
        </w:tc>
      </w:tr>
      <w:tr>
        <w:trPr>
          <w:cantSplit w:val="0"/>
          <w:trHeight w:val="416" w:hRule="atLeast"/>
          <w:tblHeader w:val="0"/>
        </w:trPr>
        <w:tc>
          <w:tcPr>
            <w:vMerge w:val="continue"/>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sz w:val="20"/>
                <w:szCs w:val="20"/>
              </w:rPr>
            </w:pPr>
            <w:r w:rsidDel="00000000" w:rsidR="00000000" w:rsidRPr="00000000">
              <w:rPr>
                <w:rtl w:val="0"/>
              </w:rPr>
            </w:r>
          </w:p>
        </w:tc>
        <w:tc>
          <w:tcPr/>
          <w:p w:rsidR="00000000" w:rsidDel="00000000" w:rsidP="00000000" w:rsidRDefault="00000000" w:rsidRPr="00000000" w14:paraId="00000079">
            <w:pPr>
              <w:jc w:val="center"/>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15c</w:t>
            </w:r>
            <w:r w:rsidDel="00000000" w:rsidR="00000000" w:rsidRPr="00000000">
              <w:rPr>
                <w:rtl w:val="0"/>
              </w:rPr>
            </w:r>
          </w:p>
        </w:tc>
        <w:tc>
          <w:tcPr/>
          <w:p w:rsidR="00000000" w:rsidDel="00000000" w:rsidP="00000000" w:rsidRDefault="00000000" w:rsidRPr="00000000" w14:paraId="0000007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Strategies to improve adherence to intervention/comparator protocols, if applicable, and any procedures for monitoring adherence (e.g., drug tablet return, sessions attended)</w:t>
            </w:r>
          </w:p>
        </w:tc>
        <w:tc>
          <w:tcPr/>
          <w:p w:rsidR="00000000" w:rsidDel="00000000" w:rsidP="00000000" w:rsidRDefault="00000000" w:rsidRPr="00000000" w14:paraId="0000007B">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23-24</w:t>
            </w:r>
          </w:p>
        </w:tc>
      </w:tr>
      <w:tr>
        <w:trPr>
          <w:cantSplit w:val="0"/>
          <w:trHeight w:val="211" w:hRule="atLeast"/>
          <w:tblHeader w:val="0"/>
        </w:trPr>
        <w:tc>
          <w:tcPr>
            <w:vMerge w:val="continue"/>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sz w:val="20"/>
                <w:szCs w:val="20"/>
              </w:rPr>
            </w:pPr>
            <w:r w:rsidDel="00000000" w:rsidR="00000000" w:rsidRPr="00000000">
              <w:rPr>
                <w:rtl w:val="0"/>
              </w:rPr>
            </w:r>
          </w:p>
        </w:tc>
        <w:tc>
          <w:tcPr/>
          <w:p w:rsidR="00000000" w:rsidDel="00000000" w:rsidP="00000000" w:rsidRDefault="00000000" w:rsidRPr="00000000" w14:paraId="0000007D">
            <w:pPr>
              <w:jc w:val="center"/>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15d</w:t>
            </w:r>
            <w:r w:rsidDel="00000000" w:rsidR="00000000" w:rsidRPr="00000000">
              <w:rPr>
                <w:rtl w:val="0"/>
              </w:rPr>
            </w:r>
          </w:p>
        </w:tc>
        <w:tc>
          <w:tcPr/>
          <w:p w:rsidR="00000000" w:rsidDel="00000000" w:rsidP="00000000" w:rsidRDefault="00000000" w:rsidRPr="00000000" w14:paraId="0000007E">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Concomitant care that is permitted or prohibited during the trial</w:t>
            </w:r>
          </w:p>
        </w:tc>
        <w:tc>
          <w:tcPr/>
          <w:p w:rsidR="00000000" w:rsidDel="00000000" w:rsidP="00000000" w:rsidRDefault="00000000" w:rsidRPr="00000000" w14:paraId="0000007F">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24</w:t>
            </w:r>
          </w:p>
        </w:tc>
      </w:tr>
      <w:tr>
        <w:trPr>
          <w:cantSplit w:val="0"/>
          <w:trHeight w:val="531" w:hRule="atLeast"/>
          <w:tblHeader w:val="0"/>
        </w:trPr>
        <w:tc>
          <w:tcPr/>
          <w:p w:rsidR="00000000" w:rsidDel="00000000" w:rsidP="00000000" w:rsidRDefault="00000000" w:rsidRPr="00000000" w14:paraId="00000080">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Outcomes</w:t>
            </w:r>
          </w:p>
        </w:tc>
        <w:tc>
          <w:tcPr/>
          <w:p w:rsidR="00000000" w:rsidDel="00000000" w:rsidP="00000000" w:rsidRDefault="00000000" w:rsidRPr="00000000" w14:paraId="00000081">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16</w:t>
            </w:r>
          </w:p>
        </w:tc>
        <w:tc>
          <w:tcPr/>
          <w:p w:rsidR="00000000" w:rsidDel="00000000" w:rsidP="00000000" w:rsidRDefault="00000000" w:rsidRPr="00000000" w14:paraId="0000008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w:t>
            </w:r>
            <w:r w:rsidDel="00000000" w:rsidR="00000000" w:rsidRPr="00000000">
              <w:rPr>
                <w:rFonts w:ascii="Calibri" w:cs="Calibri" w:eastAsia="Calibri" w:hAnsi="Calibri"/>
                <w:color w:val="000000"/>
                <w:sz w:val="20"/>
                <w:szCs w:val="20"/>
                <w:rtl w:val="0"/>
              </w:rPr>
              <w:t xml:space="preserve">rimary and secondary outcomes, including the specific measurement variable (e</w:t>
            </w:r>
            <w:r w:rsidDel="00000000" w:rsidR="00000000" w:rsidRPr="00000000">
              <w:rPr>
                <w:rFonts w:ascii="Calibri" w:cs="Calibri" w:eastAsia="Calibri" w:hAnsi="Calibri"/>
                <w:sz w:val="20"/>
                <w:szCs w:val="20"/>
                <w:rtl w:val="0"/>
              </w:rPr>
              <w:t xml:space="preserve">.g., systolic blood pressure), analysis metric (e.g., change from baseline, final value, time to event), method of aggregation (e.g., median, proportion), and time point for each outcome </w:t>
            </w:r>
          </w:p>
        </w:tc>
        <w:tc>
          <w:tcPr/>
          <w:p w:rsidR="00000000" w:rsidDel="00000000" w:rsidP="00000000" w:rsidRDefault="00000000" w:rsidRPr="00000000" w14:paraId="00000083">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25</w:t>
            </w:r>
          </w:p>
        </w:tc>
      </w:tr>
      <w:tr>
        <w:trPr>
          <w:cantSplit w:val="0"/>
          <w:trHeight w:val="531" w:hRule="atLeast"/>
          <w:tblHeader w:val="0"/>
        </w:trPr>
        <w:tc>
          <w:tcPr/>
          <w:p w:rsidR="00000000" w:rsidDel="00000000" w:rsidP="00000000" w:rsidRDefault="00000000" w:rsidRPr="00000000" w14:paraId="0000008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Harms</w:t>
            </w:r>
          </w:p>
        </w:tc>
        <w:tc>
          <w:tcPr/>
          <w:p w:rsidR="00000000" w:rsidDel="00000000" w:rsidP="00000000" w:rsidRDefault="00000000" w:rsidRPr="00000000" w14:paraId="00000085">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17</w:t>
            </w:r>
          </w:p>
        </w:tc>
        <w:tc>
          <w:tcPr/>
          <w:p w:rsidR="00000000" w:rsidDel="00000000" w:rsidP="00000000" w:rsidRDefault="00000000" w:rsidRPr="00000000" w14:paraId="0000008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How harms are defined and will be assessed (e.g., systematically, non-systematically)</w:t>
            </w:r>
          </w:p>
        </w:tc>
        <w:tc>
          <w:tcPr/>
          <w:p w:rsidR="00000000" w:rsidDel="00000000" w:rsidP="00000000" w:rsidRDefault="00000000" w:rsidRPr="00000000" w14:paraId="00000087">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25-27</w:t>
            </w:r>
          </w:p>
        </w:tc>
      </w:tr>
      <w:tr>
        <w:trPr>
          <w:cantSplit w:val="0"/>
          <w:trHeight w:val="531" w:hRule="atLeast"/>
          <w:tblHeader w:val="0"/>
        </w:trPr>
        <w:tc>
          <w:tcPr/>
          <w:p w:rsidR="00000000" w:rsidDel="00000000" w:rsidP="00000000" w:rsidRDefault="00000000" w:rsidRPr="00000000" w14:paraId="0000008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Participant timeline</w:t>
            </w:r>
          </w:p>
        </w:tc>
        <w:tc>
          <w:tcPr/>
          <w:p w:rsidR="00000000" w:rsidDel="00000000" w:rsidP="00000000" w:rsidRDefault="00000000" w:rsidRPr="00000000" w14:paraId="00000089">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18</w:t>
            </w:r>
          </w:p>
        </w:tc>
        <w:tc>
          <w:tcPr/>
          <w:p w:rsidR="00000000" w:rsidDel="00000000" w:rsidP="00000000" w:rsidRDefault="00000000" w:rsidRPr="00000000" w14:paraId="0000008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Time schedule of enrollment, interventions (including any run-ins and washouts), assessments, and visits for participants. A schematic diagram is highly recommended (see Figure)</w:t>
            </w:r>
          </w:p>
        </w:tc>
        <w:tc>
          <w:tcPr/>
          <w:p w:rsidR="00000000" w:rsidDel="00000000" w:rsidP="00000000" w:rsidRDefault="00000000" w:rsidRPr="00000000" w14:paraId="0000008B">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39-31</w:t>
            </w:r>
          </w:p>
        </w:tc>
      </w:tr>
      <w:tr>
        <w:trPr>
          <w:cantSplit w:val="0"/>
          <w:trHeight w:val="548" w:hRule="atLeast"/>
          <w:tblHeader w:val="0"/>
        </w:trPr>
        <w:tc>
          <w:tcPr/>
          <w:p w:rsidR="00000000" w:rsidDel="00000000" w:rsidP="00000000" w:rsidRDefault="00000000" w:rsidRPr="00000000" w14:paraId="0000008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Sample size</w:t>
            </w:r>
          </w:p>
        </w:tc>
        <w:tc>
          <w:tcPr/>
          <w:p w:rsidR="00000000" w:rsidDel="00000000" w:rsidP="00000000" w:rsidRDefault="00000000" w:rsidRPr="00000000" w14:paraId="0000008D">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19</w:t>
            </w:r>
          </w:p>
        </w:tc>
        <w:tc>
          <w:tcPr/>
          <w:p w:rsidR="00000000" w:rsidDel="00000000" w:rsidP="00000000" w:rsidRDefault="00000000" w:rsidRPr="00000000" w14:paraId="0000008E">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How sample size was determined, including all assumptions supporting the sample size </w:t>
            </w:r>
            <w:r w:rsidDel="00000000" w:rsidR="00000000" w:rsidRPr="00000000">
              <w:rPr>
                <w:rFonts w:ascii="Calibri" w:cs="Calibri" w:eastAsia="Calibri" w:hAnsi="Calibri"/>
                <w:color w:val="000000"/>
                <w:sz w:val="20"/>
                <w:szCs w:val="20"/>
                <w:rtl w:val="0"/>
              </w:rPr>
              <w:t xml:space="preserve">calculation</w:t>
            </w:r>
            <w:r w:rsidDel="00000000" w:rsidR="00000000" w:rsidRPr="00000000">
              <w:rPr>
                <w:rtl w:val="0"/>
              </w:rPr>
            </w:r>
          </w:p>
        </w:tc>
        <w:tc>
          <w:tcPr/>
          <w:p w:rsidR="00000000" w:rsidDel="00000000" w:rsidP="00000000" w:rsidRDefault="00000000" w:rsidRPr="00000000" w14:paraId="0000008F">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31</w:t>
            </w:r>
          </w:p>
        </w:tc>
      </w:tr>
      <w:tr>
        <w:trPr>
          <w:cantSplit w:val="0"/>
          <w:trHeight w:val="272" w:hRule="atLeast"/>
          <w:tblHeader w:val="0"/>
        </w:trPr>
        <w:tc>
          <w:tcPr/>
          <w:p w:rsidR="00000000" w:rsidDel="00000000" w:rsidP="00000000" w:rsidRDefault="00000000" w:rsidRPr="00000000" w14:paraId="00000090">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Recruitment</w:t>
            </w:r>
          </w:p>
        </w:tc>
        <w:tc>
          <w:tcPr/>
          <w:p w:rsidR="00000000" w:rsidDel="00000000" w:rsidP="00000000" w:rsidRDefault="00000000" w:rsidRPr="00000000" w14:paraId="00000091">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w:t>
            </w:r>
          </w:p>
        </w:tc>
        <w:tc>
          <w:tcPr/>
          <w:p w:rsidR="00000000" w:rsidDel="00000000" w:rsidP="00000000" w:rsidRDefault="00000000" w:rsidRPr="00000000" w14:paraId="0000009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Strategies for achieving adequate participant enrollment to reach target sample size</w:t>
            </w:r>
          </w:p>
        </w:tc>
        <w:tc>
          <w:tcPr/>
          <w:p w:rsidR="00000000" w:rsidDel="00000000" w:rsidP="00000000" w:rsidRDefault="00000000" w:rsidRPr="00000000" w14:paraId="00000093">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31-32</w:t>
            </w:r>
          </w:p>
        </w:tc>
      </w:tr>
      <w:tr>
        <w:trPr>
          <w:cantSplit w:val="0"/>
          <w:trHeight w:val="276" w:hRule="atLeast"/>
          <w:tblHeader w:val="0"/>
        </w:trPr>
        <w:tc>
          <w:tcPr>
            <w:gridSpan w:val="3"/>
            <w:shd w:fill="b4c6e7" w:val="clear"/>
          </w:tcPr>
          <w:p w:rsidR="00000000" w:rsidDel="00000000" w:rsidP="00000000" w:rsidRDefault="00000000" w:rsidRPr="00000000" w14:paraId="00000094">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Methods: Assignment of interventions </w:t>
            </w:r>
          </w:p>
        </w:tc>
        <w:tc>
          <w:tcPr>
            <w:shd w:fill="b4c6e7" w:val="clear"/>
          </w:tcPr>
          <w:p w:rsidR="00000000" w:rsidDel="00000000" w:rsidP="00000000" w:rsidRDefault="00000000" w:rsidRPr="00000000" w14:paraId="00000097">
            <w:pPr>
              <w:jc w:val="center"/>
              <w:rPr>
                <w:rFonts w:ascii="Calibri" w:cs="Calibri" w:eastAsia="Calibri" w:hAnsi="Calibri"/>
                <w:b w:val="1"/>
                <w:sz w:val="20"/>
                <w:szCs w:val="20"/>
              </w:rPr>
            </w:pPr>
            <w:r w:rsidDel="00000000" w:rsidR="00000000" w:rsidRPr="00000000">
              <w:rPr>
                <w:rtl w:val="0"/>
              </w:rPr>
            </w:r>
          </w:p>
        </w:tc>
      </w:tr>
      <w:tr>
        <w:trPr>
          <w:cantSplit w:val="0"/>
          <w:trHeight w:val="276" w:hRule="atLeast"/>
          <w:tblHeader w:val="0"/>
        </w:trPr>
        <w:tc>
          <w:tcPr/>
          <w:p w:rsidR="00000000" w:rsidDel="00000000" w:rsidP="00000000" w:rsidRDefault="00000000" w:rsidRPr="00000000" w14:paraId="0000009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Randomization:</w:t>
            </w:r>
          </w:p>
        </w:tc>
        <w:tc>
          <w:tcPr/>
          <w:p w:rsidR="00000000" w:rsidDel="00000000" w:rsidP="00000000" w:rsidRDefault="00000000" w:rsidRPr="00000000" w14:paraId="00000099">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tc>
        <w:tc>
          <w:tcPr/>
          <w:p w:rsidR="00000000" w:rsidDel="00000000" w:rsidP="00000000" w:rsidRDefault="00000000" w:rsidRPr="00000000" w14:paraId="0000009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tc>
        <w:tc>
          <w:tcPr/>
          <w:p w:rsidR="00000000" w:rsidDel="00000000" w:rsidP="00000000" w:rsidRDefault="00000000" w:rsidRPr="00000000" w14:paraId="0000009B">
            <w:pPr>
              <w:jc w:val="center"/>
              <w:rPr>
                <w:rFonts w:ascii="Calibri" w:cs="Calibri" w:eastAsia="Calibri" w:hAnsi="Calibri"/>
                <w:b w:val="1"/>
                <w:sz w:val="20"/>
                <w:szCs w:val="20"/>
              </w:rPr>
            </w:pPr>
            <w:r w:rsidDel="00000000" w:rsidR="00000000" w:rsidRPr="00000000">
              <w:rPr>
                <w:rtl w:val="0"/>
              </w:rPr>
            </w:r>
          </w:p>
        </w:tc>
      </w:tr>
      <w:tr>
        <w:trPr>
          <w:cantSplit w:val="0"/>
          <w:trHeight w:val="274" w:hRule="atLeast"/>
          <w:tblHeader w:val="0"/>
        </w:trPr>
        <w:tc>
          <w:tcPr>
            <w:vMerge w:val="restart"/>
          </w:tcPr>
          <w:p w:rsidR="00000000" w:rsidDel="00000000" w:rsidP="00000000" w:rsidRDefault="00000000" w:rsidRPr="00000000" w14:paraId="0000009C">
            <w:pPr>
              <w:ind w:left="64" w:firstLine="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Sequence generation</w:t>
            </w:r>
          </w:p>
          <w:p w:rsidR="00000000" w:rsidDel="00000000" w:rsidP="00000000" w:rsidRDefault="00000000" w:rsidRPr="00000000" w14:paraId="0000009D">
            <w:pPr>
              <w:ind w:left="64"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tc>
        <w:tc>
          <w:tcPr>
            <w:tcBorders>
              <w:bottom w:color="000000" w:space="0" w:sz="4" w:val="single"/>
            </w:tcBorders>
          </w:tcPr>
          <w:p w:rsidR="00000000" w:rsidDel="00000000" w:rsidP="00000000" w:rsidRDefault="00000000" w:rsidRPr="00000000" w14:paraId="0000009E">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21a</w:t>
            </w:r>
          </w:p>
        </w:tc>
        <w:tc>
          <w:tcPr>
            <w:tcBorders>
              <w:bottom w:color="000000" w:space="0" w:sz="4" w:val="single"/>
            </w:tcBorders>
          </w:tcPr>
          <w:p w:rsidR="00000000" w:rsidDel="00000000" w:rsidP="00000000" w:rsidRDefault="00000000" w:rsidRPr="00000000" w14:paraId="0000009F">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Who will generate the random allocation sequence and the method used </w:t>
            </w:r>
          </w:p>
        </w:tc>
        <w:tc>
          <w:tcPr>
            <w:tcBorders>
              <w:bottom w:color="000000" w:space="0" w:sz="4" w:val="single"/>
            </w:tcBorders>
          </w:tcPr>
          <w:p w:rsidR="00000000" w:rsidDel="00000000" w:rsidP="00000000" w:rsidRDefault="00000000" w:rsidRPr="00000000" w14:paraId="000000A0">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32</w:t>
            </w:r>
          </w:p>
        </w:tc>
      </w:tr>
      <w:tr>
        <w:trPr>
          <w:cantSplit w:val="0"/>
          <w:trHeight w:val="274" w:hRule="atLeast"/>
          <w:tblHeader w:val="0"/>
        </w:trPr>
        <w:tc>
          <w:tcPr>
            <w:vMerge w:val="continue"/>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sz w:val="20"/>
                <w:szCs w:val="20"/>
              </w:rPr>
            </w:pPr>
            <w:r w:rsidDel="00000000" w:rsidR="00000000" w:rsidRPr="00000000">
              <w:rPr>
                <w:rtl w:val="0"/>
              </w:rPr>
            </w:r>
          </w:p>
        </w:tc>
        <w:tc>
          <w:tcPr/>
          <w:p w:rsidR="00000000" w:rsidDel="00000000" w:rsidP="00000000" w:rsidRDefault="00000000" w:rsidRPr="00000000" w14:paraId="000000A2">
            <w:pPr>
              <w:jc w:val="center"/>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21b</w:t>
            </w:r>
            <w:r w:rsidDel="00000000" w:rsidR="00000000" w:rsidRPr="00000000">
              <w:rPr>
                <w:rtl w:val="0"/>
              </w:rPr>
            </w:r>
          </w:p>
        </w:tc>
        <w:tc>
          <w:tcPr/>
          <w:p w:rsidR="00000000" w:rsidDel="00000000" w:rsidP="00000000" w:rsidRDefault="00000000" w:rsidRPr="00000000" w14:paraId="000000A3">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Type of randomization (simple or restricted) and details of any </w:t>
            </w:r>
            <w:r w:rsidDel="00000000" w:rsidR="00000000" w:rsidRPr="00000000">
              <w:rPr>
                <w:rFonts w:ascii="Calibri" w:cs="Calibri" w:eastAsia="Calibri" w:hAnsi="Calibri"/>
                <w:color w:val="000000"/>
                <w:sz w:val="20"/>
                <w:szCs w:val="20"/>
                <w:rtl w:val="0"/>
              </w:rPr>
              <w:t xml:space="preserve">factors for stratification. </w:t>
            </w:r>
            <w:r w:rsidDel="00000000" w:rsidR="00000000" w:rsidRPr="00000000">
              <w:rPr>
                <w:rFonts w:ascii="Calibri" w:cs="Calibri" w:eastAsia="Calibri" w:hAnsi="Calibri"/>
                <w:sz w:val="20"/>
                <w:szCs w:val="20"/>
                <w:rtl w:val="0"/>
              </w:rPr>
              <w:t xml:space="preserve">To reduce predictability of a random sequence, other details of any planned restriction (e.g., blocking) should be provided in a separate document that is unavailable to those who enroll participants or assign interventions</w:t>
            </w:r>
          </w:p>
        </w:tc>
        <w:tc>
          <w:tcPr/>
          <w:p w:rsidR="00000000" w:rsidDel="00000000" w:rsidP="00000000" w:rsidRDefault="00000000" w:rsidRPr="00000000" w14:paraId="000000A4">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32</w:t>
            </w:r>
          </w:p>
        </w:tc>
      </w:tr>
      <w:tr>
        <w:trPr>
          <w:cantSplit w:val="0"/>
          <w:trHeight w:val="274" w:hRule="atLeast"/>
          <w:tblHeader w:val="0"/>
        </w:trPr>
        <w:tc>
          <w:tcPr/>
          <w:p w:rsidR="00000000" w:rsidDel="00000000" w:rsidP="00000000" w:rsidRDefault="00000000" w:rsidRPr="00000000" w14:paraId="000000A5">
            <w:pPr>
              <w:ind w:left="64"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Allocation concealment </w:t>
            </w:r>
          </w:p>
          <w:p w:rsidR="00000000" w:rsidDel="00000000" w:rsidP="00000000" w:rsidRDefault="00000000" w:rsidRPr="00000000" w14:paraId="000000A6">
            <w:pPr>
              <w:ind w:left="64"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mechanism</w:t>
            </w:r>
          </w:p>
        </w:tc>
        <w:tc>
          <w:tcPr/>
          <w:p w:rsidR="00000000" w:rsidDel="00000000" w:rsidP="00000000" w:rsidRDefault="00000000" w:rsidRPr="00000000" w14:paraId="000000A7">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22</w:t>
            </w:r>
          </w:p>
        </w:tc>
        <w:tc>
          <w:tcPr/>
          <w:p w:rsidR="00000000" w:rsidDel="00000000" w:rsidP="00000000" w:rsidRDefault="00000000" w:rsidRPr="00000000" w14:paraId="000000A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Mechanism used to implement the random allocation sequence (e.g., central computer/telephone; sequentially numbered, </w:t>
            </w:r>
            <w:r w:rsidDel="00000000" w:rsidR="00000000" w:rsidRPr="00000000">
              <w:rPr>
                <w:rFonts w:ascii="Calibri" w:cs="Calibri" w:eastAsia="Calibri" w:hAnsi="Calibri"/>
                <w:color w:val="000000"/>
                <w:sz w:val="20"/>
                <w:szCs w:val="20"/>
                <w:rtl w:val="0"/>
              </w:rPr>
              <w:t xml:space="preserve">opaque, </w:t>
            </w:r>
            <w:r w:rsidDel="00000000" w:rsidR="00000000" w:rsidRPr="00000000">
              <w:rPr>
                <w:rFonts w:ascii="Calibri" w:cs="Calibri" w:eastAsia="Calibri" w:hAnsi="Calibri"/>
                <w:sz w:val="20"/>
                <w:szCs w:val="20"/>
                <w:rtl w:val="0"/>
              </w:rPr>
              <w:t xml:space="preserve">sealed containers), describing any steps to conceal the sequence </w:t>
            </w:r>
            <w:r w:rsidDel="00000000" w:rsidR="00000000" w:rsidRPr="00000000">
              <w:rPr>
                <w:rFonts w:ascii="Calibri" w:cs="Calibri" w:eastAsia="Calibri" w:hAnsi="Calibri"/>
                <w:color w:val="000000"/>
                <w:sz w:val="20"/>
                <w:szCs w:val="20"/>
                <w:rtl w:val="0"/>
              </w:rPr>
              <w:t xml:space="preserve">until</w:t>
            </w:r>
            <w:r w:rsidDel="00000000" w:rsidR="00000000" w:rsidRPr="00000000">
              <w:rPr>
                <w:rFonts w:ascii="Calibri" w:cs="Calibri" w:eastAsia="Calibri" w:hAnsi="Calibri"/>
                <w:sz w:val="20"/>
                <w:szCs w:val="20"/>
                <w:rtl w:val="0"/>
              </w:rPr>
              <w:t xml:space="preserve"> interventions</w:t>
            </w:r>
            <w:r w:rsidDel="00000000" w:rsidR="00000000" w:rsidRPr="00000000">
              <w:rPr>
                <w:rFonts w:ascii="Calibri" w:cs="Calibri" w:eastAsia="Calibri" w:hAnsi="Calibri"/>
                <w:color w:val="000000"/>
                <w:sz w:val="20"/>
                <w:szCs w:val="20"/>
                <w:rtl w:val="0"/>
              </w:rPr>
              <w:t xml:space="preserve"> are assigned</w:t>
            </w:r>
            <w:r w:rsidDel="00000000" w:rsidR="00000000" w:rsidRPr="00000000">
              <w:rPr>
                <w:rtl w:val="0"/>
              </w:rPr>
            </w:r>
          </w:p>
        </w:tc>
        <w:tc>
          <w:tcPr/>
          <w:p w:rsidR="00000000" w:rsidDel="00000000" w:rsidP="00000000" w:rsidRDefault="00000000" w:rsidRPr="00000000" w14:paraId="000000A9">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32</w:t>
            </w:r>
          </w:p>
        </w:tc>
      </w:tr>
      <w:tr>
        <w:trPr>
          <w:cantSplit w:val="0"/>
          <w:trHeight w:val="148" w:hRule="atLeast"/>
          <w:tblHeader w:val="0"/>
        </w:trPr>
        <w:tc>
          <w:tcPr/>
          <w:p w:rsidR="00000000" w:rsidDel="00000000" w:rsidP="00000000" w:rsidRDefault="00000000" w:rsidRPr="00000000" w14:paraId="000000AA">
            <w:pPr>
              <w:ind w:left="64"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Implementation</w:t>
            </w:r>
          </w:p>
          <w:p w:rsidR="00000000" w:rsidDel="00000000" w:rsidP="00000000" w:rsidRDefault="00000000" w:rsidRPr="00000000" w14:paraId="000000AB">
            <w:pPr>
              <w:ind w:left="64" w:firstLine="0"/>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AC">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23</w:t>
            </w:r>
          </w:p>
        </w:tc>
        <w:tc>
          <w:tcPr/>
          <w:p w:rsidR="00000000" w:rsidDel="00000000" w:rsidP="00000000" w:rsidRDefault="00000000" w:rsidRPr="00000000" w14:paraId="000000AD">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Whether the personnel who will enroll and those who will assign participants to the interventions will have access to the random allocation sequence</w:t>
            </w:r>
          </w:p>
        </w:tc>
        <w:tc>
          <w:tcPr/>
          <w:p w:rsidR="00000000" w:rsidDel="00000000" w:rsidP="00000000" w:rsidRDefault="00000000" w:rsidRPr="00000000" w14:paraId="000000AE">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32-3</w:t>
            </w:r>
          </w:p>
        </w:tc>
      </w:tr>
      <w:tr>
        <w:trPr>
          <w:cantSplit w:val="0"/>
          <w:trHeight w:val="300" w:hRule="atLeast"/>
          <w:tblHeader w:val="0"/>
        </w:trPr>
        <w:tc>
          <w:tcPr>
            <w:vMerge w:val="restart"/>
          </w:tcPr>
          <w:p w:rsidR="00000000" w:rsidDel="00000000" w:rsidP="00000000" w:rsidRDefault="00000000" w:rsidRPr="00000000" w14:paraId="000000AF">
            <w:pPr>
              <w:rPr>
                <w:rFonts w:ascii="Calibri" w:cs="Calibri" w:eastAsia="Calibri" w:hAnsi="Calibri"/>
                <w:b w:val="1"/>
                <w:sz w:val="20"/>
                <w:szCs w:val="20"/>
              </w:rPr>
            </w:pPr>
            <w:r w:rsidDel="00000000" w:rsidR="00000000" w:rsidRPr="00000000">
              <w:rPr>
                <w:rFonts w:ascii="Calibri" w:cs="Calibri" w:eastAsia="Calibri" w:hAnsi="Calibri"/>
                <w:sz w:val="20"/>
                <w:szCs w:val="20"/>
                <w:rtl w:val="0"/>
              </w:rPr>
              <w:t xml:space="preserve">Blinding </w:t>
            </w:r>
            <w:r w:rsidDel="00000000" w:rsidR="00000000" w:rsidRPr="00000000">
              <w:rPr>
                <w:rtl w:val="0"/>
              </w:rPr>
            </w:r>
          </w:p>
          <w:p w:rsidR="00000000" w:rsidDel="00000000" w:rsidP="00000000" w:rsidRDefault="00000000" w:rsidRPr="00000000" w14:paraId="000000B0">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B1">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24a</w:t>
            </w:r>
          </w:p>
        </w:tc>
        <w:tc>
          <w:tcPr/>
          <w:p w:rsidR="00000000" w:rsidDel="00000000" w:rsidP="00000000" w:rsidRDefault="00000000" w:rsidRPr="00000000" w14:paraId="000000B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Who will be blinded after assignment to interventions (e.g., participants, care providers, outcome assessors, data analysts)</w:t>
            </w:r>
          </w:p>
        </w:tc>
        <w:tc>
          <w:tcPr/>
          <w:p w:rsidR="00000000" w:rsidDel="00000000" w:rsidP="00000000" w:rsidRDefault="00000000" w:rsidRPr="00000000" w14:paraId="000000B3">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33</w:t>
            </w:r>
          </w:p>
        </w:tc>
      </w:tr>
      <w:tr>
        <w:trPr>
          <w:cantSplit w:val="0"/>
          <w:trHeight w:val="300" w:hRule="atLeast"/>
          <w:tblHeader w:val="0"/>
        </w:trPr>
        <w:tc>
          <w:tcPr>
            <w:vMerge w:val="continue"/>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sz w:val="20"/>
                <w:szCs w:val="20"/>
              </w:rPr>
            </w:pPr>
            <w:r w:rsidDel="00000000" w:rsidR="00000000" w:rsidRPr="00000000">
              <w:rPr>
                <w:rtl w:val="0"/>
              </w:rPr>
            </w:r>
          </w:p>
        </w:tc>
        <w:tc>
          <w:tcPr/>
          <w:p w:rsidR="00000000" w:rsidDel="00000000" w:rsidP="00000000" w:rsidRDefault="00000000" w:rsidRPr="00000000" w14:paraId="000000B5">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24b</w:t>
            </w:r>
          </w:p>
        </w:tc>
        <w:tc>
          <w:tcPr/>
          <w:p w:rsidR="00000000" w:rsidDel="00000000" w:rsidP="00000000" w:rsidRDefault="00000000" w:rsidRPr="00000000" w14:paraId="000000B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blinded, how blinding will be achieved and description of the similarity of interventions</w:t>
            </w:r>
          </w:p>
        </w:tc>
        <w:tc>
          <w:tcPr/>
          <w:p w:rsidR="00000000" w:rsidDel="00000000" w:rsidP="00000000" w:rsidRDefault="00000000" w:rsidRPr="00000000" w14:paraId="000000B7">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33-34</w:t>
            </w:r>
          </w:p>
        </w:tc>
      </w:tr>
      <w:tr>
        <w:trPr>
          <w:cantSplit w:val="0"/>
          <w:trHeight w:val="463" w:hRule="atLeast"/>
          <w:tblHeader w:val="0"/>
        </w:trPr>
        <w:tc>
          <w:tcPr>
            <w:vMerge w:val="continue"/>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sz w:val="20"/>
                <w:szCs w:val="20"/>
              </w:rPr>
            </w:pPr>
            <w:r w:rsidDel="00000000" w:rsidR="00000000" w:rsidRPr="00000000">
              <w:rPr>
                <w:rtl w:val="0"/>
              </w:rPr>
            </w:r>
          </w:p>
        </w:tc>
        <w:tc>
          <w:tcPr/>
          <w:p w:rsidR="00000000" w:rsidDel="00000000" w:rsidP="00000000" w:rsidRDefault="00000000" w:rsidRPr="00000000" w14:paraId="000000B9">
            <w:pPr>
              <w:jc w:val="center"/>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24c</w:t>
            </w:r>
            <w:r w:rsidDel="00000000" w:rsidR="00000000" w:rsidRPr="00000000">
              <w:rPr>
                <w:rtl w:val="0"/>
              </w:rPr>
            </w:r>
          </w:p>
        </w:tc>
        <w:tc>
          <w:tcPr/>
          <w:p w:rsidR="00000000" w:rsidDel="00000000" w:rsidP="00000000" w:rsidRDefault="00000000" w:rsidRPr="00000000" w14:paraId="000000B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blinded, circumstances under which unblinding is permissible, and procedure for revealing a participant’s allocated intervention during the trial</w:t>
            </w:r>
          </w:p>
        </w:tc>
        <w:tc>
          <w:tcPr/>
          <w:p w:rsidR="00000000" w:rsidDel="00000000" w:rsidP="00000000" w:rsidRDefault="00000000" w:rsidRPr="00000000" w14:paraId="000000BB">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34</w:t>
            </w:r>
          </w:p>
        </w:tc>
      </w:tr>
      <w:tr>
        <w:trPr>
          <w:cantSplit w:val="0"/>
          <w:trHeight w:val="276" w:hRule="atLeast"/>
          <w:tblHeader w:val="0"/>
        </w:trPr>
        <w:tc>
          <w:tcPr>
            <w:gridSpan w:val="3"/>
            <w:shd w:fill="b4c6e7" w:val="clear"/>
          </w:tcPr>
          <w:p w:rsidR="00000000" w:rsidDel="00000000" w:rsidP="00000000" w:rsidRDefault="00000000" w:rsidRPr="00000000" w14:paraId="000000BC">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Methods: Data collection, management, and analysis</w:t>
            </w:r>
          </w:p>
        </w:tc>
        <w:tc>
          <w:tcPr>
            <w:shd w:fill="b4c6e7" w:val="clear"/>
          </w:tcPr>
          <w:p w:rsidR="00000000" w:rsidDel="00000000" w:rsidP="00000000" w:rsidRDefault="00000000" w:rsidRPr="00000000" w14:paraId="000000BF">
            <w:pPr>
              <w:jc w:val="center"/>
              <w:rPr>
                <w:rFonts w:ascii="Calibri" w:cs="Calibri" w:eastAsia="Calibri" w:hAnsi="Calibri"/>
                <w:b w:val="1"/>
                <w:sz w:val="20"/>
                <w:szCs w:val="20"/>
              </w:rPr>
            </w:pPr>
            <w:r w:rsidDel="00000000" w:rsidR="00000000" w:rsidRPr="00000000">
              <w:rPr>
                <w:rtl w:val="0"/>
              </w:rPr>
            </w:r>
          </w:p>
        </w:tc>
      </w:tr>
      <w:tr>
        <w:trPr>
          <w:cantSplit w:val="0"/>
          <w:trHeight w:val="762" w:hRule="atLeast"/>
          <w:tblHeader w:val="0"/>
        </w:trPr>
        <w:tc>
          <w:tcPr>
            <w:vMerge w:val="restart"/>
          </w:tcPr>
          <w:p w:rsidR="00000000" w:rsidDel="00000000" w:rsidP="00000000" w:rsidRDefault="00000000" w:rsidRPr="00000000" w14:paraId="000000C0">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Data collection methods</w:t>
            </w:r>
          </w:p>
        </w:tc>
        <w:tc>
          <w:tcPr/>
          <w:p w:rsidR="00000000" w:rsidDel="00000000" w:rsidP="00000000" w:rsidRDefault="00000000" w:rsidRPr="00000000" w14:paraId="000000C1">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25a</w:t>
            </w:r>
          </w:p>
        </w:tc>
        <w:tc>
          <w:tcPr/>
          <w:p w:rsidR="00000000" w:rsidDel="00000000" w:rsidP="00000000" w:rsidRDefault="00000000" w:rsidRPr="00000000" w14:paraId="000000C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p w:rsidR="00000000" w:rsidDel="00000000" w:rsidP="00000000" w:rsidRDefault="00000000" w:rsidRPr="00000000" w14:paraId="000000C3">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37</w:t>
            </w:r>
          </w:p>
        </w:tc>
      </w:tr>
      <w:tr>
        <w:trPr>
          <w:cantSplit w:val="0"/>
          <w:trHeight w:val="416" w:hRule="atLeast"/>
          <w:tblHeader w:val="0"/>
        </w:trPr>
        <w:tc>
          <w:tcPr>
            <w:vMerge w:val="continue"/>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sz w:val="20"/>
                <w:szCs w:val="20"/>
              </w:rPr>
            </w:pPr>
            <w:r w:rsidDel="00000000" w:rsidR="00000000" w:rsidRPr="00000000">
              <w:rPr>
                <w:rtl w:val="0"/>
              </w:rPr>
            </w:r>
          </w:p>
        </w:tc>
        <w:tc>
          <w:tcPr/>
          <w:p w:rsidR="00000000" w:rsidDel="00000000" w:rsidP="00000000" w:rsidRDefault="00000000" w:rsidRPr="00000000" w14:paraId="000000C5">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25b</w:t>
            </w:r>
          </w:p>
        </w:tc>
        <w:tc>
          <w:tcPr/>
          <w:p w:rsidR="00000000" w:rsidDel="00000000" w:rsidP="00000000" w:rsidRDefault="00000000" w:rsidRPr="00000000" w14:paraId="000000C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Plans to promote participant retention and complete follow-up, including list of any outcome data to be collected for participants who discontinue or deviate from intervention protocols</w:t>
            </w:r>
          </w:p>
        </w:tc>
        <w:tc>
          <w:tcPr/>
          <w:p w:rsidR="00000000" w:rsidDel="00000000" w:rsidP="00000000" w:rsidRDefault="00000000" w:rsidRPr="00000000" w14:paraId="000000C7">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37-38</w:t>
            </w:r>
          </w:p>
        </w:tc>
      </w:tr>
      <w:tr>
        <w:trPr>
          <w:cantSplit w:val="0"/>
          <w:trHeight w:val="447" w:hRule="atLeast"/>
          <w:tblHeader w:val="0"/>
        </w:trPr>
        <w:tc>
          <w:tcPr/>
          <w:p w:rsidR="00000000" w:rsidDel="00000000" w:rsidP="00000000" w:rsidRDefault="00000000" w:rsidRPr="00000000" w14:paraId="000000C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Data management</w:t>
            </w:r>
          </w:p>
        </w:tc>
        <w:tc>
          <w:tcPr/>
          <w:p w:rsidR="00000000" w:rsidDel="00000000" w:rsidP="00000000" w:rsidRDefault="00000000" w:rsidRPr="00000000" w14:paraId="000000C9">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26</w:t>
            </w:r>
          </w:p>
        </w:tc>
        <w:tc>
          <w:tcPr/>
          <w:p w:rsidR="00000000" w:rsidDel="00000000" w:rsidP="00000000" w:rsidRDefault="00000000" w:rsidRPr="00000000" w14:paraId="000000C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Plans for data entry, coding, security, and storage, including any related processes to promote data quality (e.g., double data entry; range checks for data values). Reference to where details of data management procedures can be accessed, if not in the protocol</w:t>
            </w:r>
          </w:p>
        </w:tc>
        <w:tc>
          <w:tcPr/>
          <w:p w:rsidR="00000000" w:rsidDel="00000000" w:rsidP="00000000" w:rsidRDefault="00000000" w:rsidRPr="00000000" w14:paraId="000000CB">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38</w:t>
            </w:r>
          </w:p>
        </w:tc>
      </w:tr>
      <w:tr>
        <w:trPr>
          <w:cantSplit w:val="0"/>
          <w:trHeight w:val="347" w:hRule="atLeast"/>
          <w:tblHeader w:val="0"/>
        </w:trPr>
        <w:tc>
          <w:tcPr>
            <w:vMerge w:val="restart"/>
          </w:tcPr>
          <w:p w:rsidR="00000000" w:rsidDel="00000000" w:rsidP="00000000" w:rsidRDefault="00000000" w:rsidRPr="00000000" w14:paraId="000000C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Statistical methods</w:t>
            </w:r>
          </w:p>
        </w:tc>
        <w:tc>
          <w:tcPr/>
          <w:p w:rsidR="00000000" w:rsidDel="00000000" w:rsidP="00000000" w:rsidRDefault="00000000" w:rsidRPr="00000000" w14:paraId="000000CD">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27a</w:t>
            </w:r>
          </w:p>
        </w:tc>
        <w:tc>
          <w:tcPr/>
          <w:p w:rsidR="00000000" w:rsidDel="00000000" w:rsidP="00000000" w:rsidRDefault="00000000" w:rsidRPr="00000000" w14:paraId="000000CE">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Statistical methods used to compare groups for primary and secondary outcomes, including harms </w:t>
            </w:r>
          </w:p>
        </w:tc>
        <w:tc>
          <w:tcPr/>
          <w:p w:rsidR="00000000" w:rsidDel="00000000" w:rsidP="00000000" w:rsidRDefault="00000000" w:rsidRPr="00000000" w14:paraId="000000CF">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39</w:t>
            </w:r>
          </w:p>
        </w:tc>
      </w:tr>
      <w:tr>
        <w:trPr>
          <w:cantSplit w:val="0"/>
          <w:trHeight w:val="424" w:hRule="atLeast"/>
          <w:tblHeader w:val="0"/>
        </w:trPr>
        <w:tc>
          <w:tcPr>
            <w:vMerge w:val="continue"/>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sz w:val="20"/>
                <w:szCs w:val="20"/>
              </w:rPr>
            </w:pPr>
            <w:r w:rsidDel="00000000" w:rsidR="00000000" w:rsidRPr="00000000">
              <w:rPr>
                <w:rtl w:val="0"/>
              </w:rPr>
            </w:r>
          </w:p>
        </w:tc>
        <w:tc>
          <w:tcPr/>
          <w:p w:rsidR="00000000" w:rsidDel="00000000" w:rsidP="00000000" w:rsidRDefault="00000000" w:rsidRPr="00000000" w14:paraId="000000D1">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27b</w:t>
            </w:r>
          </w:p>
        </w:tc>
        <w:tc>
          <w:tcPr/>
          <w:p w:rsidR="00000000" w:rsidDel="00000000" w:rsidP="00000000" w:rsidRDefault="00000000" w:rsidRPr="00000000" w14:paraId="000000D2">
            <w:pPr>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Definition of who will be included in each analysis (e.g., all randomized participants), and in which group</w:t>
            </w:r>
            <w:r w:rsidDel="00000000" w:rsidR="00000000" w:rsidRPr="00000000">
              <w:rPr>
                <w:rtl w:val="0"/>
              </w:rPr>
            </w:r>
          </w:p>
        </w:tc>
        <w:tc>
          <w:tcPr/>
          <w:p w:rsidR="00000000" w:rsidDel="00000000" w:rsidP="00000000" w:rsidRDefault="00000000" w:rsidRPr="00000000" w14:paraId="000000D3">
            <w:pPr>
              <w:jc w:val="cente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39</w:t>
            </w:r>
          </w:p>
        </w:tc>
      </w:tr>
      <w:tr>
        <w:trPr>
          <w:cantSplit w:val="0"/>
          <w:trHeight w:val="306" w:hRule="atLeast"/>
          <w:tblHeader w:val="0"/>
        </w:trPr>
        <w:tc>
          <w:tcPr>
            <w:vMerge w:val="continue"/>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color w:val="000000"/>
                <w:sz w:val="20"/>
                <w:szCs w:val="20"/>
              </w:rPr>
            </w:pPr>
            <w:r w:rsidDel="00000000" w:rsidR="00000000" w:rsidRPr="00000000">
              <w:rPr>
                <w:rtl w:val="0"/>
              </w:rPr>
            </w:r>
          </w:p>
        </w:tc>
        <w:tc>
          <w:tcPr/>
          <w:p w:rsidR="00000000" w:rsidDel="00000000" w:rsidP="00000000" w:rsidRDefault="00000000" w:rsidRPr="00000000" w14:paraId="000000D5">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27c</w:t>
            </w:r>
          </w:p>
        </w:tc>
        <w:tc>
          <w:tcPr/>
          <w:p w:rsidR="00000000" w:rsidDel="00000000" w:rsidP="00000000" w:rsidRDefault="00000000" w:rsidRPr="00000000" w14:paraId="000000D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How missing data</w:t>
            </w:r>
            <w:r w:rsidDel="00000000" w:rsidR="00000000" w:rsidRPr="00000000">
              <w:rPr>
                <w:rFonts w:ascii="Helvetica Neue" w:cs="Helvetica Neue" w:eastAsia="Helvetica Neue" w:hAnsi="Helvetica Neue"/>
                <w:color w:val="3f3f3f"/>
                <w:sz w:val="26"/>
                <w:szCs w:val="26"/>
                <w:rtl w:val="0"/>
              </w:rPr>
              <w:t xml:space="preserve"> </w:t>
            </w:r>
            <w:r w:rsidDel="00000000" w:rsidR="00000000" w:rsidRPr="00000000">
              <w:rPr>
                <w:rFonts w:ascii="Calibri" w:cs="Calibri" w:eastAsia="Calibri" w:hAnsi="Calibri"/>
                <w:sz w:val="20"/>
                <w:szCs w:val="20"/>
                <w:rtl w:val="0"/>
              </w:rPr>
              <w:t xml:space="preserve">will be handled in the analysis</w:t>
            </w:r>
          </w:p>
        </w:tc>
        <w:tc>
          <w:tcPr/>
          <w:p w:rsidR="00000000" w:rsidDel="00000000" w:rsidP="00000000" w:rsidRDefault="00000000" w:rsidRPr="00000000" w14:paraId="000000D7">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39-40</w:t>
            </w:r>
          </w:p>
        </w:tc>
      </w:tr>
      <w:tr>
        <w:trPr>
          <w:cantSplit w:val="0"/>
          <w:trHeight w:val="306" w:hRule="atLeast"/>
          <w:tblHeader w:val="0"/>
        </w:trPr>
        <w:tc>
          <w:tcPr>
            <w:vMerge w:val="continue"/>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sz w:val="20"/>
                <w:szCs w:val="20"/>
              </w:rPr>
            </w:pPr>
            <w:r w:rsidDel="00000000" w:rsidR="00000000" w:rsidRPr="00000000">
              <w:rPr>
                <w:rtl w:val="0"/>
              </w:rPr>
            </w:r>
          </w:p>
        </w:tc>
        <w:tc>
          <w:tcPr/>
          <w:p w:rsidR="00000000" w:rsidDel="00000000" w:rsidP="00000000" w:rsidRDefault="00000000" w:rsidRPr="00000000" w14:paraId="000000D9">
            <w:pPr>
              <w:jc w:val="center"/>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27d</w:t>
            </w:r>
            <w:r w:rsidDel="00000000" w:rsidR="00000000" w:rsidRPr="00000000">
              <w:rPr>
                <w:rtl w:val="0"/>
              </w:rPr>
            </w:r>
          </w:p>
        </w:tc>
        <w:tc>
          <w:tcPr/>
          <w:p w:rsidR="00000000" w:rsidDel="00000000" w:rsidP="00000000" w:rsidRDefault="00000000" w:rsidRPr="00000000" w14:paraId="000000D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Methods for any additional analyses (e.g., subgroup and sensitivity analyses)</w:t>
            </w:r>
          </w:p>
        </w:tc>
        <w:tc>
          <w:tcPr/>
          <w:p w:rsidR="00000000" w:rsidDel="00000000" w:rsidP="00000000" w:rsidRDefault="00000000" w:rsidRPr="00000000" w14:paraId="000000DB">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40</w:t>
            </w:r>
          </w:p>
        </w:tc>
      </w:tr>
      <w:tr>
        <w:trPr>
          <w:cantSplit w:val="0"/>
          <w:trHeight w:val="276" w:hRule="atLeast"/>
          <w:tblHeader w:val="0"/>
        </w:trPr>
        <w:tc>
          <w:tcPr>
            <w:gridSpan w:val="3"/>
            <w:shd w:fill="b4c6e7" w:val="clear"/>
          </w:tcPr>
          <w:p w:rsidR="00000000" w:rsidDel="00000000" w:rsidP="00000000" w:rsidRDefault="00000000" w:rsidRPr="00000000" w14:paraId="000000DC">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Methods: Monitoring</w:t>
            </w:r>
          </w:p>
        </w:tc>
        <w:tc>
          <w:tcPr>
            <w:shd w:fill="b4c6e7" w:val="clear"/>
          </w:tcPr>
          <w:p w:rsidR="00000000" w:rsidDel="00000000" w:rsidP="00000000" w:rsidRDefault="00000000" w:rsidRPr="00000000" w14:paraId="000000DF">
            <w:pPr>
              <w:jc w:val="center"/>
              <w:rPr>
                <w:rFonts w:ascii="Calibri" w:cs="Calibri" w:eastAsia="Calibri" w:hAnsi="Calibri"/>
                <w:b w:val="1"/>
                <w:sz w:val="20"/>
                <w:szCs w:val="20"/>
              </w:rPr>
            </w:pPr>
            <w:r w:rsidDel="00000000" w:rsidR="00000000" w:rsidRPr="00000000">
              <w:rPr>
                <w:rtl w:val="0"/>
              </w:rPr>
            </w:r>
          </w:p>
        </w:tc>
      </w:tr>
      <w:tr>
        <w:trPr>
          <w:cantSplit w:val="0"/>
          <w:trHeight w:val="722" w:hRule="atLeast"/>
          <w:tblHeader w:val="0"/>
        </w:trPr>
        <w:tc>
          <w:tcPr>
            <w:vMerge w:val="restart"/>
          </w:tcPr>
          <w:p w:rsidR="00000000" w:rsidDel="00000000" w:rsidP="00000000" w:rsidRDefault="00000000" w:rsidRPr="00000000" w14:paraId="000000E0">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Data monitoring committee</w:t>
            </w:r>
          </w:p>
        </w:tc>
        <w:tc>
          <w:tcPr/>
          <w:p w:rsidR="00000000" w:rsidDel="00000000" w:rsidP="00000000" w:rsidRDefault="00000000" w:rsidRPr="00000000" w14:paraId="000000E1">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28a</w:t>
            </w:r>
          </w:p>
        </w:tc>
        <w:tc>
          <w:tcPr/>
          <w:p w:rsidR="00000000" w:rsidDel="00000000" w:rsidP="00000000" w:rsidRDefault="00000000" w:rsidRPr="00000000" w14:paraId="000000E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Composition of data monitoring committee (DMC); summary of its role and reporting structure; statement of whether it is independent from the sponsor and funder; </w:t>
            </w:r>
            <w:r w:rsidDel="00000000" w:rsidR="00000000" w:rsidRPr="00000000">
              <w:rPr>
                <w:rFonts w:ascii="Calibri" w:cs="Calibri" w:eastAsia="Calibri" w:hAnsi="Calibri"/>
                <w:color w:val="000000"/>
                <w:sz w:val="20"/>
                <w:szCs w:val="20"/>
                <w:rtl w:val="0"/>
              </w:rPr>
              <w:t xml:space="preserve">conflicts of interest</w:t>
            </w:r>
            <w:r w:rsidDel="00000000" w:rsidR="00000000" w:rsidRPr="00000000">
              <w:rPr>
                <w:rFonts w:ascii="Calibri" w:cs="Calibri" w:eastAsia="Calibri" w:hAnsi="Calibri"/>
                <w:sz w:val="20"/>
                <w:szCs w:val="20"/>
                <w:rtl w:val="0"/>
              </w:rPr>
              <w:t xml:space="preserve"> and reference to where further details about its charter can be found, if not in the protocol. Alternatively, an explanation of why a DMC is not needed</w:t>
            </w:r>
          </w:p>
        </w:tc>
        <w:tc>
          <w:tcPr/>
          <w:p w:rsidR="00000000" w:rsidDel="00000000" w:rsidP="00000000" w:rsidRDefault="00000000" w:rsidRPr="00000000" w14:paraId="000000E3">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38</w:t>
            </w:r>
          </w:p>
        </w:tc>
      </w:tr>
      <w:tr>
        <w:trPr>
          <w:cantSplit w:val="0"/>
          <w:trHeight w:val="463" w:hRule="atLeast"/>
          <w:tblHeader w:val="0"/>
        </w:trPr>
        <w:tc>
          <w:tcPr>
            <w:vMerge w:val="continue"/>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sz w:val="20"/>
                <w:szCs w:val="20"/>
              </w:rPr>
            </w:pPr>
            <w:r w:rsidDel="00000000" w:rsidR="00000000" w:rsidRPr="00000000">
              <w:rPr>
                <w:rtl w:val="0"/>
              </w:rPr>
            </w:r>
          </w:p>
        </w:tc>
        <w:tc>
          <w:tcPr/>
          <w:p w:rsidR="00000000" w:rsidDel="00000000" w:rsidP="00000000" w:rsidRDefault="00000000" w:rsidRPr="00000000" w14:paraId="000000E5">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28b</w:t>
            </w:r>
          </w:p>
        </w:tc>
        <w:tc>
          <w:tcPr/>
          <w:p w:rsidR="00000000" w:rsidDel="00000000" w:rsidP="00000000" w:rsidRDefault="00000000" w:rsidRPr="00000000" w14:paraId="000000E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Explanation of any interim analyses and stopping guidelines, including who will have access to these interim results and make the final decision to terminate the trial</w:t>
            </w:r>
          </w:p>
        </w:tc>
        <w:tc>
          <w:tcPr/>
          <w:p w:rsidR="00000000" w:rsidDel="00000000" w:rsidP="00000000" w:rsidRDefault="00000000" w:rsidRPr="00000000" w14:paraId="000000E7">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37</w:t>
            </w:r>
          </w:p>
        </w:tc>
      </w:tr>
      <w:tr>
        <w:trPr>
          <w:cantSplit w:val="0"/>
          <w:trHeight w:val="233" w:hRule="atLeast"/>
          <w:tblHeader w:val="0"/>
        </w:trPr>
        <w:tc>
          <w:tcPr/>
          <w:p w:rsidR="00000000" w:rsidDel="00000000" w:rsidP="00000000" w:rsidRDefault="00000000" w:rsidRPr="00000000" w14:paraId="000000E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Trial monitoring</w:t>
            </w:r>
          </w:p>
        </w:tc>
        <w:tc>
          <w:tcPr/>
          <w:p w:rsidR="00000000" w:rsidDel="00000000" w:rsidP="00000000" w:rsidRDefault="00000000" w:rsidRPr="00000000" w14:paraId="000000E9">
            <w:pPr>
              <w:jc w:val="center"/>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29</w:t>
            </w:r>
            <w:r w:rsidDel="00000000" w:rsidR="00000000" w:rsidRPr="00000000">
              <w:rPr>
                <w:rtl w:val="0"/>
              </w:rPr>
            </w:r>
          </w:p>
        </w:tc>
        <w:tc>
          <w:tcPr/>
          <w:p w:rsidR="00000000" w:rsidDel="00000000" w:rsidP="00000000" w:rsidRDefault="00000000" w:rsidRPr="00000000" w14:paraId="000000E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Frequency and procedures for monitoring trial conduct. If there is no monitoring, give explanation</w:t>
            </w:r>
          </w:p>
        </w:tc>
        <w:tc>
          <w:tcPr/>
          <w:p w:rsidR="00000000" w:rsidDel="00000000" w:rsidP="00000000" w:rsidRDefault="00000000" w:rsidRPr="00000000" w14:paraId="000000EB">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38</w:t>
            </w:r>
          </w:p>
        </w:tc>
      </w:tr>
      <w:tr>
        <w:trPr>
          <w:cantSplit w:val="0"/>
          <w:trHeight w:val="276" w:hRule="atLeast"/>
          <w:tblHeader w:val="0"/>
        </w:trPr>
        <w:tc>
          <w:tcPr>
            <w:gridSpan w:val="3"/>
            <w:shd w:fill="b4c6e7" w:val="clear"/>
          </w:tcPr>
          <w:p w:rsidR="00000000" w:rsidDel="00000000" w:rsidP="00000000" w:rsidRDefault="00000000" w:rsidRPr="00000000" w14:paraId="000000EC">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Ethics</w:t>
            </w:r>
          </w:p>
        </w:tc>
        <w:tc>
          <w:tcPr>
            <w:shd w:fill="b4c6e7" w:val="clear"/>
          </w:tcPr>
          <w:p w:rsidR="00000000" w:rsidDel="00000000" w:rsidP="00000000" w:rsidRDefault="00000000" w:rsidRPr="00000000" w14:paraId="000000EF">
            <w:pPr>
              <w:jc w:val="center"/>
              <w:rPr>
                <w:rFonts w:ascii="Calibri" w:cs="Calibri" w:eastAsia="Calibri" w:hAnsi="Calibri"/>
                <w:b w:val="1"/>
                <w:sz w:val="20"/>
                <w:szCs w:val="20"/>
              </w:rPr>
            </w:pPr>
            <w:r w:rsidDel="00000000" w:rsidR="00000000" w:rsidRPr="00000000">
              <w:rPr>
                <w:rtl w:val="0"/>
              </w:rPr>
            </w:r>
          </w:p>
        </w:tc>
      </w:tr>
      <w:tr>
        <w:trPr>
          <w:cantSplit w:val="0"/>
          <w:trHeight w:val="274" w:hRule="atLeast"/>
          <w:tblHeader w:val="0"/>
        </w:trPr>
        <w:tc>
          <w:tcPr/>
          <w:p w:rsidR="00000000" w:rsidDel="00000000" w:rsidP="00000000" w:rsidRDefault="00000000" w:rsidRPr="00000000" w14:paraId="000000F0">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Research ethics approval</w:t>
            </w:r>
          </w:p>
        </w:tc>
        <w:tc>
          <w:tcPr/>
          <w:p w:rsidR="00000000" w:rsidDel="00000000" w:rsidP="00000000" w:rsidRDefault="00000000" w:rsidRPr="00000000" w14:paraId="000000F1">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30</w:t>
            </w:r>
          </w:p>
        </w:tc>
        <w:tc>
          <w:tcPr/>
          <w:p w:rsidR="00000000" w:rsidDel="00000000" w:rsidP="00000000" w:rsidRDefault="00000000" w:rsidRPr="00000000" w14:paraId="000000F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Plans for seeking research ethics committee/institutional review board approval</w:t>
            </w:r>
          </w:p>
        </w:tc>
        <w:tc>
          <w:tcPr/>
          <w:p w:rsidR="00000000" w:rsidDel="00000000" w:rsidP="00000000" w:rsidRDefault="00000000" w:rsidRPr="00000000" w14:paraId="000000F3">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42-43</w:t>
            </w:r>
          </w:p>
        </w:tc>
      </w:tr>
      <w:tr>
        <w:trPr>
          <w:cantSplit w:val="0"/>
          <w:trHeight w:val="427" w:hRule="atLeast"/>
          <w:tblHeader w:val="0"/>
        </w:trPr>
        <w:tc>
          <w:tcPr/>
          <w:p w:rsidR="00000000" w:rsidDel="00000000" w:rsidP="00000000" w:rsidRDefault="00000000" w:rsidRPr="00000000" w14:paraId="000000F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Protocol amendments</w:t>
            </w:r>
          </w:p>
        </w:tc>
        <w:tc>
          <w:tcPr/>
          <w:p w:rsidR="00000000" w:rsidDel="00000000" w:rsidP="00000000" w:rsidRDefault="00000000" w:rsidRPr="00000000" w14:paraId="000000F5">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31</w:t>
            </w:r>
          </w:p>
        </w:tc>
        <w:tc>
          <w:tcPr/>
          <w:p w:rsidR="00000000" w:rsidDel="00000000" w:rsidP="00000000" w:rsidRDefault="00000000" w:rsidRPr="00000000" w14:paraId="000000F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Plans for communicating important protocol modifications to relevant parties </w:t>
            </w:r>
          </w:p>
        </w:tc>
        <w:tc>
          <w:tcPr/>
          <w:p w:rsidR="00000000" w:rsidDel="00000000" w:rsidP="00000000" w:rsidRDefault="00000000" w:rsidRPr="00000000" w14:paraId="000000F7">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38-39</w:t>
            </w:r>
          </w:p>
        </w:tc>
      </w:tr>
      <w:tr>
        <w:trPr>
          <w:cantSplit w:val="0"/>
          <w:trHeight w:val="301" w:hRule="atLeast"/>
          <w:tblHeader w:val="0"/>
        </w:trPr>
        <w:tc>
          <w:tcPr>
            <w:vMerge w:val="restart"/>
          </w:tcPr>
          <w:p w:rsidR="00000000" w:rsidDel="00000000" w:rsidP="00000000" w:rsidRDefault="00000000" w:rsidRPr="00000000" w14:paraId="000000F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Consent or assent</w:t>
            </w:r>
          </w:p>
        </w:tc>
        <w:tc>
          <w:tcPr/>
          <w:p w:rsidR="00000000" w:rsidDel="00000000" w:rsidP="00000000" w:rsidRDefault="00000000" w:rsidRPr="00000000" w14:paraId="000000F9">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32a</w:t>
            </w:r>
          </w:p>
        </w:tc>
        <w:tc>
          <w:tcPr/>
          <w:p w:rsidR="00000000" w:rsidDel="00000000" w:rsidP="00000000" w:rsidRDefault="00000000" w:rsidRPr="00000000" w14:paraId="000000F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Who will obtain informed consent or assent from potential trial participants or authorized proxies, and how </w:t>
            </w:r>
          </w:p>
        </w:tc>
        <w:tc>
          <w:tcPr/>
          <w:p w:rsidR="00000000" w:rsidDel="00000000" w:rsidP="00000000" w:rsidRDefault="00000000" w:rsidRPr="00000000" w14:paraId="000000FB">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18</w:t>
            </w:r>
          </w:p>
        </w:tc>
      </w:tr>
      <w:tr>
        <w:trPr>
          <w:cantSplit w:val="0"/>
          <w:trHeight w:val="185" w:hRule="atLeast"/>
          <w:tblHeader w:val="0"/>
        </w:trPr>
        <w:tc>
          <w:tcPr>
            <w:vMerge w:val="continue"/>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sz w:val="20"/>
                <w:szCs w:val="20"/>
              </w:rPr>
            </w:pPr>
            <w:r w:rsidDel="00000000" w:rsidR="00000000" w:rsidRPr="00000000">
              <w:rPr>
                <w:rtl w:val="0"/>
              </w:rPr>
            </w:r>
          </w:p>
        </w:tc>
        <w:tc>
          <w:tcPr/>
          <w:p w:rsidR="00000000" w:rsidDel="00000000" w:rsidP="00000000" w:rsidRDefault="00000000" w:rsidRPr="00000000" w14:paraId="000000FD">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32b</w:t>
            </w:r>
          </w:p>
        </w:tc>
        <w:tc>
          <w:tcPr/>
          <w:p w:rsidR="00000000" w:rsidDel="00000000" w:rsidP="00000000" w:rsidRDefault="00000000" w:rsidRPr="00000000" w14:paraId="000000FE">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Additional consent provisions for collection and use of participant data and biological specimens in ancillary studies, if applicable</w:t>
            </w:r>
          </w:p>
        </w:tc>
        <w:tc>
          <w:tcPr/>
          <w:p w:rsidR="00000000" w:rsidDel="00000000" w:rsidP="00000000" w:rsidRDefault="00000000" w:rsidRPr="00000000" w14:paraId="000000FF">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18</w:t>
            </w:r>
          </w:p>
        </w:tc>
      </w:tr>
      <w:tr>
        <w:trPr>
          <w:cantSplit w:val="0"/>
          <w:trHeight w:val="480" w:hRule="atLeast"/>
          <w:tblHeader w:val="0"/>
        </w:trPr>
        <w:tc>
          <w:tcPr/>
          <w:p w:rsidR="00000000" w:rsidDel="00000000" w:rsidP="00000000" w:rsidRDefault="00000000" w:rsidRPr="00000000" w14:paraId="00000100">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Confidentiality</w:t>
            </w:r>
          </w:p>
        </w:tc>
        <w:tc>
          <w:tcPr/>
          <w:p w:rsidR="00000000" w:rsidDel="00000000" w:rsidP="00000000" w:rsidRDefault="00000000" w:rsidRPr="00000000" w14:paraId="00000101">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33</w:t>
            </w:r>
          </w:p>
        </w:tc>
        <w:tc>
          <w:tcPr/>
          <w:p w:rsidR="00000000" w:rsidDel="00000000" w:rsidP="00000000" w:rsidRDefault="00000000" w:rsidRPr="00000000" w14:paraId="0000010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How personal information about potential and enrolled participants will be collected, shared, and maintained in order to protect confidentiality before, during, and after the trial</w:t>
            </w:r>
          </w:p>
        </w:tc>
        <w:tc>
          <w:tcPr/>
          <w:p w:rsidR="00000000" w:rsidDel="00000000" w:rsidP="00000000" w:rsidRDefault="00000000" w:rsidRPr="00000000" w14:paraId="00000103">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36</w:t>
            </w:r>
          </w:p>
        </w:tc>
      </w:tr>
      <w:tr>
        <w:trPr>
          <w:cantSplit w:val="0"/>
          <w:trHeight w:val="361" w:hRule="atLeast"/>
          <w:tblHeader w:val="0"/>
        </w:trPr>
        <w:tc>
          <w:tcPr/>
          <w:p w:rsidR="00000000" w:rsidDel="00000000" w:rsidP="00000000" w:rsidRDefault="00000000" w:rsidRPr="00000000" w14:paraId="0000010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Ancillary and post-trial care</w:t>
            </w:r>
          </w:p>
        </w:tc>
        <w:tc>
          <w:tcPr/>
          <w:p w:rsidR="00000000" w:rsidDel="00000000" w:rsidP="00000000" w:rsidRDefault="00000000" w:rsidRPr="00000000" w14:paraId="00000105">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34</w:t>
            </w:r>
          </w:p>
        </w:tc>
        <w:tc>
          <w:tcPr/>
          <w:p w:rsidR="00000000" w:rsidDel="00000000" w:rsidP="00000000" w:rsidRDefault="00000000" w:rsidRPr="00000000" w14:paraId="0000010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Provisions, if any, for ancillary and post-trial care, and for compensation to those who suffer harm from trial participation</w:t>
            </w:r>
          </w:p>
        </w:tc>
        <w:tc>
          <w:tcPr/>
          <w:p w:rsidR="00000000" w:rsidDel="00000000" w:rsidP="00000000" w:rsidRDefault="00000000" w:rsidRPr="00000000" w14:paraId="00000107">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24</w:t>
            </w:r>
          </w:p>
        </w:tc>
      </w:tr>
    </w:tbl>
    <w:p w:rsidR="00000000" w:rsidDel="00000000" w:rsidP="00000000" w:rsidRDefault="00000000" w:rsidRPr="00000000" w14:paraId="00000108">
      <w:pPr>
        <w:rPr>
          <w:rFonts w:ascii="Calibri" w:cs="Calibri" w:eastAsia="Calibri" w:hAnsi="Calibri"/>
        </w:rPr>
      </w:pP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30"/>
        </w:tabs>
        <w:spacing w:after="0" w:before="8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*We strongly recommend reading this checklist in conjunction with the SPIRIT 2025 Explanation and Elaboration and the SPIRIT 2025 Expanded Checklist for important clarifications on all the items. We also recommend reading relevant SPIRIT extensions. See </w:t>
      </w:r>
      <w:hyperlink r:id="rId7">
        <w:r w:rsidDel="00000000" w:rsidR="00000000" w:rsidRPr="00000000">
          <w:rPr>
            <w:rFonts w:ascii="Calibri" w:cs="Calibri" w:eastAsia="Calibri" w:hAnsi="Calibri"/>
            <w:b w:val="0"/>
            <w:i w:val="0"/>
            <w:smallCaps w:val="0"/>
            <w:strike w:val="0"/>
            <w:color w:val="0000ff"/>
            <w:sz w:val="20"/>
            <w:szCs w:val="20"/>
            <w:u w:val="single"/>
            <w:shd w:fill="auto" w:val="clear"/>
            <w:vertAlign w:val="baseline"/>
            <w:rtl w:val="0"/>
          </w:rPr>
          <w:t xml:space="preserve">www.consort-spirit.org</w:t>
        </w:r>
      </w:hyperlink>
      <w:r w:rsidDel="00000000" w:rsidR="00000000" w:rsidRPr="00000000">
        <w:rPr>
          <w:rtl w:val="0"/>
        </w:rPr>
      </w:r>
    </w:p>
    <w:p w:rsidR="00000000" w:rsidDel="00000000" w:rsidP="00000000" w:rsidRDefault="00000000" w:rsidRPr="00000000" w14:paraId="0000010A">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30"/>
        </w:tabs>
        <w:spacing w:after="0" w:before="8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Citation: Chan A-W, Boutron I, Hopewell S, Moher D, Schulz KF, et al. SPIRIT 2025 statement: updated guideline for protocols of randomised trials. BMJ 2025;389:e081477.</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hyperlink r:id="rId8">
        <w:r w:rsidDel="00000000" w:rsidR="00000000" w:rsidRPr="00000000">
          <w:rPr>
            <w:rFonts w:ascii="Calibri" w:cs="Calibri" w:eastAsia="Calibri" w:hAnsi="Calibri"/>
            <w:b w:val="0"/>
            <w:i w:val="0"/>
            <w:smallCaps w:val="0"/>
            <w:strike w:val="0"/>
            <w:color w:val="0000ff"/>
            <w:sz w:val="20"/>
            <w:szCs w:val="20"/>
            <w:u w:val="single"/>
            <w:shd w:fill="auto" w:val="clear"/>
            <w:vertAlign w:val="baseline"/>
            <w:rtl w:val="0"/>
          </w:rPr>
          <w:t xml:space="preserve">https://dx.doi.org/10.1136/bmj-2024-081477</w:t>
        </w:r>
      </w:hyperlink>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30"/>
        </w:tabs>
        <w:spacing w:after="0" w:before="8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30"/>
        </w:tabs>
        <w:spacing w:after="0" w:before="8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2025 Chan A-W et al. This is an Open Access article distributed under the terms of the Creative Commons Attribution License (</w:t>
      </w:r>
      <w:hyperlink r:id="rId9">
        <w:r w:rsidDel="00000000" w:rsidR="00000000" w:rsidRPr="00000000">
          <w:rPr>
            <w:rFonts w:ascii="Calibri" w:cs="Calibri" w:eastAsia="Calibri" w:hAnsi="Calibri"/>
            <w:b w:val="0"/>
            <w:i w:val="0"/>
            <w:smallCaps w:val="0"/>
            <w:strike w:val="0"/>
            <w:color w:val="0000ff"/>
            <w:sz w:val="20"/>
            <w:szCs w:val="20"/>
            <w:u w:val="single"/>
            <w:shd w:fill="auto" w:val="clear"/>
            <w:vertAlign w:val="baseline"/>
            <w:rtl w:val="0"/>
          </w:rPr>
          <w:t xml:space="preserve">https://creativecommons.org/licenses/by/4.0/</w:t>
        </w:r>
      </w:hyperlink>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which permits unrestricted use, distribution, and reproduction in any medium, provided the original work is properly cited.</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rFonts w:ascii="Calibri" w:cs="Calibri" w:eastAsia="Calibri" w:hAnsi="Calibri"/>
        </w:rPr>
      </w:pPr>
      <w:r w:rsidDel="00000000" w:rsidR="00000000" w:rsidRPr="00000000">
        <w:rPr>
          <w:rtl w:val="0"/>
        </w:rPr>
      </w:r>
    </w:p>
    <w:sectPr>
      <w:headerReference r:id="rId10" w:type="default"/>
      <w:footerReference r:id="rId11" w:type="default"/>
      <w:pgSz w:h="12240" w:w="15840" w:orient="landscape"/>
      <w:pgMar w:bottom="1021" w:top="1134" w:left="1440" w:right="1168" w:header="720" w:footer="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ahoma">
    <w:embedRegular w:fontKey="{00000000-0000-0000-0000-000000000000}" r:id="rId1" w:subsetted="0"/>
    <w:embedBold w:fontKey="{00000000-0000-0000-0000-000000000000}" r:id="rId2" w:subsetted="0"/>
  </w:font>
  <w:font w:name="Helvetica Neue">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1">
    <w:pPr>
      <w:pBdr>
        <w:top w:space="0" w:sz="0" w:val="nil"/>
        <w:left w:space="0" w:sz="0" w:val="nil"/>
        <w:bottom w:space="0" w:sz="0" w:val="nil"/>
        <w:right w:space="0" w:sz="0" w:val="nil"/>
        <w:between w:space="0" w:sz="0" w:val="nil"/>
      </w:pBdr>
      <w:tabs>
        <w:tab w:val="center" w:leader="none" w:pos="4320"/>
        <w:tab w:val="right" w:leader="none" w:pos="8640"/>
      </w:tabs>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Page </w:t>
    </w:r>
    <w:r w:rsidDel="00000000" w:rsidR="00000000" w:rsidRPr="00000000">
      <w:rPr>
        <w:rFonts w:ascii="Calibri" w:cs="Calibri" w:eastAsia="Calibri" w:hAnsi="Calibri"/>
        <w:color w:val="000000"/>
      </w:rPr>
      <w:fldChar w:fldCharType="begin"/>
      <w:instrText xml:space="preserve">PAGE</w:instrText>
      <w:fldChar w:fldCharType="separate"/>
      <w:fldChar w:fldCharType="end"/>
    </w:r>
    <w:r w:rsidDel="00000000" w:rsidR="00000000" w:rsidRPr="00000000">
      <w:rPr>
        <w:rFonts w:ascii="Calibri" w:cs="Calibri" w:eastAsia="Calibri" w:hAnsi="Calibri"/>
        <w:color w:val="000000"/>
        <w:rtl w:val="0"/>
      </w:rPr>
      <w:t xml:space="preserve"> of </w:t>
    </w:r>
    <w:r w:rsidDel="00000000" w:rsidR="00000000" w:rsidRPr="00000000">
      <w:rPr>
        <w:rFonts w:ascii="Calibri" w:cs="Calibri" w:eastAsia="Calibri" w:hAnsi="Calibri"/>
        <w:color w:val="00000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12">
    <w:pPr>
      <w:pBdr>
        <w:top w:space="0" w:sz="0" w:val="nil"/>
        <w:left w:space="0" w:sz="0" w:val="nil"/>
        <w:bottom w:space="0" w:sz="0" w:val="nil"/>
        <w:right w:space="0" w:sz="0" w:val="nil"/>
        <w:between w:space="0" w:sz="0" w:val="nil"/>
      </w:pBdr>
      <w:tabs>
        <w:tab w:val="center" w:leader="none" w:pos="4320"/>
        <w:tab w:val="right" w:leader="none" w:pos="8640"/>
        <w:tab w:val="right" w:leader="none" w:pos="9356"/>
      </w:tabs>
      <w:ind w:right="-710"/>
      <w:rPr>
        <w:color w:val="000000"/>
        <w:sz w:val="20"/>
        <w:szCs w:val="20"/>
      </w:rPr>
    </w:pPr>
    <w:r w:rsidDel="00000000" w:rsidR="00000000" w:rsidRPr="00000000">
      <w:rPr>
        <w:color w:val="000000"/>
        <w:sz w:val="20"/>
        <w:szCs w:val="20"/>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0">
    <w:pPr>
      <w:pBdr>
        <w:top w:space="0" w:sz="0" w:val="nil"/>
        <w:left w:space="0" w:sz="0" w:val="nil"/>
        <w:bottom w:space="0" w:sz="0" w:val="nil"/>
        <w:right w:space="0" w:sz="0" w:val="nil"/>
        <w:between w:space="0" w:sz="0" w:val="nil"/>
      </w:pBdr>
      <w:tabs>
        <w:tab w:val="center" w:leader="none" w:pos="4320"/>
        <w:tab w:val="right" w:leader="none" w:pos="8640"/>
      </w:tabs>
      <w:rPr>
        <w:color w:val="000000"/>
        <w:sz w:val="16"/>
        <w:szCs w:val="1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CA"/>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sz w:val="32"/>
      <w:szCs w:val="32"/>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jc w:val="center"/>
    </w:pPr>
    <w:rPr>
      <w:rFonts w:ascii="Tahoma" w:cs="Tahoma" w:eastAsia="Tahoma" w:hAnsi="Tahoma"/>
      <w:b w:val="1"/>
      <w:smallCaps w:val="1"/>
      <w:color w:val="ffffff"/>
      <w:sz w:val="18"/>
      <w:szCs w:val="18"/>
    </w:rPr>
  </w:style>
  <w:style w:type="paragraph" w:styleId="Heading4">
    <w:name w:val="heading 4"/>
    <w:basedOn w:val="Normal"/>
    <w:next w:val="Normal"/>
    <w:pPr>
      <w:keepNext w:val="1"/>
      <w:keepLines w:val="1"/>
      <w:spacing w:after="40" w:before="240" w:lineRule="auto"/>
    </w:pPr>
    <w:rPr>
      <w:rFonts w:ascii="Arial" w:cs="Arial" w:eastAsia="Arial" w:hAnsi="Arial"/>
      <w:b w:val="1"/>
    </w:rPr>
  </w:style>
  <w:style w:type="paragraph" w:styleId="Heading5">
    <w:name w:val="heading 5"/>
    <w:basedOn w:val="Normal"/>
    <w:next w:val="Normal"/>
    <w:pPr>
      <w:keepNext w:val="1"/>
      <w:keepLines w:val="1"/>
      <w:spacing w:after="40" w:before="220" w:lineRule="auto"/>
    </w:pPr>
    <w:rPr>
      <w:rFonts w:ascii="Arial" w:cs="Arial" w:eastAsia="Arial" w:hAnsi="Arial"/>
      <w:b w:val="1"/>
      <w:sz w:val="22"/>
      <w:szCs w:val="22"/>
    </w:rPr>
  </w:style>
  <w:style w:type="paragraph" w:styleId="Heading6">
    <w:name w:val="heading 6"/>
    <w:basedOn w:val="Normal"/>
    <w:next w:val="Normal"/>
    <w:pPr>
      <w:keepNext w:val="1"/>
      <w:keepLines w:val="1"/>
      <w:spacing w:after="40" w:before="200" w:lineRule="auto"/>
    </w:pPr>
    <w:rPr>
      <w:rFonts w:ascii="Arial" w:cs="Arial" w:eastAsia="Arial" w:hAnsi="Arial"/>
      <w:b w:val="1"/>
      <w:sz w:val="20"/>
      <w:szCs w:val="20"/>
    </w:rPr>
  </w:style>
  <w:style w:type="paragraph" w:styleId="Title">
    <w:name w:val="Title"/>
    <w:basedOn w:val="Normal"/>
    <w:next w:val="Normal"/>
    <w:pPr>
      <w:jc w:val="center"/>
    </w:pPr>
    <w:rPr>
      <w:rFonts w:ascii="Arial" w:cs="Arial" w:eastAsia="Arial" w:hAnsi="Arial"/>
      <w:b w:val="1"/>
      <w:sz w:val="28"/>
      <w:szCs w:val="28"/>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a" w:customStyle="1">
    <w:basedOn w:val="Tabelanormal"/>
    <w:tblPr>
      <w:tblStyleRowBandSize w:val="1"/>
      <w:tblStyleColBandSize w:val="1"/>
      <w:tblCellMar>
        <w:top w:w="15.0" w:type="dxa"/>
        <w:left w:w="15.0" w:type="dxa"/>
        <w:bottom w:w="15.0" w:type="dxa"/>
        <w:right w:w="15.0" w:type="dxa"/>
      </w:tblCellMar>
    </w:tblPr>
  </w:style>
  <w:style w:type="table" w:styleId="a0" w:customStyle="1">
    <w:basedOn w:val="Tabelanormal"/>
    <w:tblPr>
      <w:tblStyleRowBandSize w:val="1"/>
      <w:tblStyleColBandSize w:val="1"/>
      <w:tblCellMar>
        <w:left w:w="115.0" w:type="dxa"/>
        <w:right w:w="115.0" w:type="dxa"/>
      </w:tblCellMar>
    </w:tblPr>
  </w:style>
  <w:style w:type="paragraph" w:styleId="Textodecomentrio">
    <w:name w:val="annotation text"/>
    <w:basedOn w:val="Normal"/>
    <w:link w:val="TextodecomentrioChar"/>
    <w:uiPriority w:val="99"/>
    <w:unhideWhenUsed w:val="1"/>
    <w:rPr>
      <w:sz w:val="20"/>
      <w:szCs w:val="20"/>
    </w:rPr>
  </w:style>
  <w:style w:type="character" w:styleId="TextodecomentrioChar" w:customStyle="1">
    <w:name w:val="Texto de comentário Char"/>
    <w:basedOn w:val="Fontepargpadro"/>
    <w:link w:val="Textodecomentrio"/>
    <w:uiPriority w:val="99"/>
    <w:rPr>
      <w:sz w:val="20"/>
      <w:szCs w:val="20"/>
    </w:rPr>
  </w:style>
  <w:style w:type="character" w:styleId="Refdecomentrio">
    <w:name w:val="annotation reference"/>
    <w:basedOn w:val="Fontepargpadro"/>
    <w:uiPriority w:val="99"/>
    <w:semiHidden w:val="1"/>
    <w:unhideWhenUsed w:val="1"/>
    <w:rPr>
      <w:sz w:val="16"/>
      <w:szCs w:val="16"/>
    </w:rPr>
  </w:style>
  <w:style w:type="character" w:styleId="Nmerodelinha">
    <w:name w:val="line number"/>
    <w:basedOn w:val="Fontepargpadro"/>
    <w:uiPriority w:val="99"/>
    <w:semiHidden w:val="1"/>
    <w:unhideWhenUsed w:val="1"/>
    <w:rsid w:val="007C5D5E"/>
  </w:style>
  <w:style w:type="paragraph" w:styleId="EndNoteBibliographyTitle" w:customStyle="1">
    <w:name w:val="EndNote Bibliography Title"/>
    <w:basedOn w:val="Normal"/>
    <w:link w:val="EndNoteBibliographyTitleTegn"/>
    <w:rsid w:val="001C3D72"/>
    <w:pPr>
      <w:jc w:val="center"/>
    </w:pPr>
    <w:rPr>
      <w:noProof w:val="1"/>
      <w:lang w:val="en-US"/>
    </w:rPr>
  </w:style>
  <w:style w:type="character" w:styleId="EndNoteBibliographyTitleTegn" w:customStyle="1">
    <w:name w:val="EndNote Bibliography Title Tegn"/>
    <w:basedOn w:val="Fontepargpadro"/>
    <w:link w:val="EndNoteBibliographyTitle"/>
    <w:rsid w:val="001C3D72"/>
    <w:rPr>
      <w:noProof w:val="1"/>
      <w:lang w:val="en-US"/>
    </w:rPr>
  </w:style>
  <w:style w:type="paragraph" w:styleId="EndNoteBibliography" w:customStyle="1">
    <w:name w:val="EndNote Bibliography"/>
    <w:basedOn w:val="Normal"/>
    <w:link w:val="EndNoteBibliographyTegn"/>
    <w:rsid w:val="001C3D72"/>
    <w:rPr>
      <w:noProof w:val="1"/>
      <w:lang w:val="en-US"/>
    </w:rPr>
  </w:style>
  <w:style w:type="character" w:styleId="EndNoteBibliographyTegn" w:customStyle="1">
    <w:name w:val="EndNote Bibliography Tegn"/>
    <w:basedOn w:val="Fontepargpadro"/>
    <w:link w:val="EndNoteBibliography"/>
    <w:rsid w:val="001C3D72"/>
    <w:rPr>
      <w:noProof w:val="1"/>
      <w:lang w:val="en-US"/>
    </w:rPr>
  </w:style>
  <w:style w:type="character" w:styleId="Hyperlink">
    <w:name w:val="Hyperlink"/>
    <w:basedOn w:val="Fontepargpadro"/>
    <w:uiPriority w:val="99"/>
    <w:unhideWhenUsed w:val="1"/>
    <w:rsid w:val="001C3D72"/>
    <w:rPr>
      <w:color w:val="0000ff" w:themeColor="hyperlink"/>
      <w:u w:val="single"/>
    </w:rPr>
  </w:style>
  <w:style w:type="character" w:styleId="MenoPendente">
    <w:name w:val="Unresolved Mention"/>
    <w:basedOn w:val="Fontepargpadro"/>
    <w:uiPriority w:val="99"/>
    <w:semiHidden w:val="1"/>
    <w:unhideWhenUsed w:val="1"/>
    <w:rsid w:val="001C3D72"/>
    <w:rPr>
      <w:color w:val="605e5c"/>
      <w:shd w:color="auto" w:fill="e1dfdd" w:val="clear"/>
    </w:rPr>
  </w:style>
  <w:style w:type="paragraph" w:styleId="Assuntodocomentrio">
    <w:name w:val="annotation subject"/>
    <w:basedOn w:val="Textodecomentrio"/>
    <w:next w:val="Textodecomentrio"/>
    <w:link w:val="AssuntodocomentrioChar"/>
    <w:uiPriority w:val="99"/>
    <w:semiHidden w:val="1"/>
    <w:unhideWhenUsed w:val="1"/>
    <w:rsid w:val="00165F77"/>
    <w:rPr>
      <w:b w:val="1"/>
      <w:bCs w:val="1"/>
    </w:rPr>
  </w:style>
  <w:style w:type="character" w:styleId="AssuntodocomentrioChar" w:customStyle="1">
    <w:name w:val="Assunto do comentário Char"/>
    <w:basedOn w:val="TextodecomentrioChar"/>
    <w:link w:val="Assuntodocomentrio"/>
    <w:uiPriority w:val="99"/>
    <w:semiHidden w:val="1"/>
    <w:rsid w:val="00165F77"/>
    <w:rPr>
      <w:b w:val="1"/>
      <w:bCs w:val="1"/>
      <w:sz w:val="20"/>
      <w:szCs w:val="20"/>
    </w:rPr>
  </w:style>
  <w:style w:type="character" w:styleId="HiperlinkVisitado">
    <w:name w:val="FollowedHyperlink"/>
    <w:basedOn w:val="Fontepargpadro"/>
    <w:uiPriority w:val="99"/>
    <w:semiHidden w:val="1"/>
    <w:unhideWhenUsed w:val="1"/>
    <w:rsid w:val="001B6CEE"/>
    <w:rPr>
      <w:color w:val="800080" w:themeColor="followedHyperlink"/>
      <w:u w:val="single"/>
    </w:rPr>
  </w:style>
  <w:style w:type="paragraph" w:styleId="Reviso">
    <w:name w:val="Revision"/>
    <w:hidden w:val="1"/>
    <w:uiPriority w:val="99"/>
    <w:semiHidden w:val="1"/>
    <w:rsid w:val="001046FD"/>
  </w:style>
  <w:style w:type="paragraph" w:styleId="Cabealho">
    <w:name w:val="header"/>
    <w:basedOn w:val="Normal"/>
    <w:link w:val="CabealhoChar"/>
    <w:uiPriority w:val="99"/>
    <w:unhideWhenUsed w:val="1"/>
    <w:rsid w:val="00995F28"/>
    <w:pPr>
      <w:tabs>
        <w:tab w:val="center" w:pos="4680"/>
        <w:tab w:val="right" w:pos="9360"/>
      </w:tabs>
    </w:pPr>
  </w:style>
  <w:style w:type="character" w:styleId="CabealhoChar" w:customStyle="1">
    <w:name w:val="Cabeçalho Char"/>
    <w:basedOn w:val="Fontepargpadro"/>
    <w:link w:val="Cabealho"/>
    <w:uiPriority w:val="99"/>
    <w:rsid w:val="00995F28"/>
  </w:style>
  <w:style w:type="paragraph" w:styleId="Rodap">
    <w:name w:val="footer"/>
    <w:basedOn w:val="Normal"/>
    <w:link w:val="RodapChar"/>
    <w:uiPriority w:val="99"/>
    <w:unhideWhenUsed w:val="1"/>
    <w:rsid w:val="00995F28"/>
    <w:pPr>
      <w:tabs>
        <w:tab w:val="center" w:pos="4680"/>
        <w:tab w:val="right" w:pos="9360"/>
      </w:tabs>
    </w:pPr>
  </w:style>
  <w:style w:type="character" w:styleId="RodapChar" w:customStyle="1">
    <w:name w:val="Rodapé Char"/>
    <w:basedOn w:val="Fontepargpadro"/>
    <w:link w:val="Rodap"/>
    <w:uiPriority w:val="99"/>
    <w:rsid w:val="00995F28"/>
  </w:style>
  <w:style w:type="paragraph" w:styleId="TableNote" w:customStyle="1">
    <w:name w:val="TableNote"/>
    <w:basedOn w:val="Normal"/>
    <w:rsid w:val="00AA7974"/>
    <w:pPr>
      <w:spacing w:line="300" w:lineRule="exact"/>
    </w:pPr>
    <w:rPr>
      <w:szCs w:val="20"/>
      <w:lang w:val="en-GB"/>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creativecommons.org/licenses/by/4.0/"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consort-spirit.org" TargetMode="External"/><Relationship Id="rId8" Type="http://schemas.openxmlformats.org/officeDocument/2006/relationships/hyperlink" Target="https://dx.doi.org/10.1136/bmj-2024-081477"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HelveticaNeue-regular.ttf"/><Relationship Id="rId4" Type="http://schemas.openxmlformats.org/officeDocument/2006/relationships/font" Target="fonts/HelveticaNeue-bold.ttf"/><Relationship Id="rId5" Type="http://schemas.openxmlformats.org/officeDocument/2006/relationships/font" Target="fonts/HelveticaNeue-italic.ttf"/><Relationship Id="rId6"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C86kYCLCZQBCFeOGcjSfXgpew==">CgMxLjA4AHIhMTBrVGZFQ2QtbzF4R1FnVjJpSkkwckNjTWJ4c3E2dmlj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2025-11-02T20:09:00Z</dcterms:created>
  <dc:creator>Stafa, Marsida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