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56B83" w14:textId="77777777" w:rsidR="0015696F" w:rsidRPr="0015696F" w:rsidRDefault="0015696F" w:rsidP="0015696F">
      <w:pPr>
        <w:spacing w:after="200" w:line="276" w:lineRule="auto"/>
        <w:rPr>
          <w:rFonts w:ascii="Calibri" w:eastAsia="Calibri" w:hAnsi="Calibri" w:cs="Times New Roman"/>
          <w:lang w:val="en-US"/>
        </w:rPr>
      </w:pPr>
      <w:r w:rsidRPr="0015696F">
        <w:rPr>
          <w:rFonts w:ascii="Calibri" w:eastAsia="Calibri" w:hAnsi="Calibri" w:cs="Times New Roman"/>
          <w:b/>
          <w:sz w:val="28"/>
          <w:lang w:val="en-US"/>
        </w:rPr>
        <w:t>Additional File 2. World Health Organization Trial Registration Data Set (TRDS, version 1.3.1) for the Generation Healthy Kids Study (NCT05940675)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01"/>
        <w:gridCol w:w="3040"/>
        <w:gridCol w:w="5563"/>
      </w:tblGrid>
      <w:tr w:rsidR="0015696F" w:rsidRPr="0015696F" w14:paraId="5CE7A39E" w14:textId="77777777" w:rsidTr="00EA1428">
        <w:trPr>
          <w:jc w:val="center"/>
        </w:trPr>
        <w:tc>
          <w:tcPr>
            <w:tcW w:w="801" w:type="dxa"/>
          </w:tcPr>
          <w:p w14:paraId="4C0A61C5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b/>
                <w:bCs/>
                <w:lang w:val="en-US"/>
              </w:rPr>
              <w:t xml:space="preserve">Item </w:t>
            </w:r>
          </w:p>
        </w:tc>
        <w:tc>
          <w:tcPr>
            <w:tcW w:w="3040" w:type="dxa"/>
          </w:tcPr>
          <w:p w14:paraId="4555B2F5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b/>
                <w:lang w:val="en-US"/>
              </w:rPr>
              <w:t>TRDS Field</w:t>
            </w:r>
          </w:p>
        </w:tc>
        <w:tc>
          <w:tcPr>
            <w:tcW w:w="5563" w:type="dxa"/>
          </w:tcPr>
          <w:p w14:paraId="03BF4C88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b/>
                <w:lang w:val="en-US"/>
              </w:rPr>
              <w:t>Study Details</w:t>
            </w:r>
          </w:p>
        </w:tc>
      </w:tr>
      <w:tr w:rsidR="0015696F" w:rsidRPr="0015696F" w14:paraId="59B1BCF8" w14:textId="77777777" w:rsidTr="00EA1428">
        <w:trPr>
          <w:jc w:val="center"/>
        </w:trPr>
        <w:tc>
          <w:tcPr>
            <w:tcW w:w="801" w:type="dxa"/>
          </w:tcPr>
          <w:p w14:paraId="3D7CD6AA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1</w:t>
            </w:r>
          </w:p>
        </w:tc>
        <w:tc>
          <w:tcPr>
            <w:tcW w:w="3040" w:type="dxa"/>
          </w:tcPr>
          <w:p w14:paraId="794411AB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Primary Registry &amp; Trial Identifying Number</w:t>
            </w:r>
          </w:p>
        </w:tc>
        <w:tc>
          <w:tcPr>
            <w:tcW w:w="5563" w:type="dxa"/>
          </w:tcPr>
          <w:p w14:paraId="4366CC20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ClinicalTrials.gov NCT05940675</w:t>
            </w:r>
          </w:p>
        </w:tc>
      </w:tr>
      <w:tr w:rsidR="0015696F" w:rsidRPr="0015696F" w14:paraId="63F7A7B5" w14:textId="77777777" w:rsidTr="00EA1428">
        <w:trPr>
          <w:jc w:val="center"/>
        </w:trPr>
        <w:tc>
          <w:tcPr>
            <w:tcW w:w="801" w:type="dxa"/>
          </w:tcPr>
          <w:p w14:paraId="12AB4BAA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2</w:t>
            </w:r>
          </w:p>
        </w:tc>
        <w:tc>
          <w:tcPr>
            <w:tcW w:w="3040" w:type="dxa"/>
          </w:tcPr>
          <w:p w14:paraId="50827CDE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Date of Registration in Primary Registry</w:t>
            </w:r>
          </w:p>
        </w:tc>
        <w:tc>
          <w:tcPr>
            <w:tcW w:w="5563" w:type="dxa"/>
          </w:tcPr>
          <w:p w14:paraId="38FD2EC2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2023-07-04</w:t>
            </w:r>
          </w:p>
        </w:tc>
      </w:tr>
      <w:tr w:rsidR="0015696F" w:rsidRPr="0015696F" w14:paraId="05A18743" w14:textId="77777777" w:rsidTr="00EA1428">
        <w:trPr>
          <w:jc w:val="center"/>
        </w:trPr>
        <w:tc>
          <w:tcPr>
            <w:tcW w:w="801" w:type="dxa"/>
          </w:tcPr>
          <w:p w14:paraId="2EE9C5CA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3</w:t>
            </w:r>
          </w:p>
        </w:tc>
        <w:tc>
          <w:tcPr>
            <w:tcW w:w="3040" w:type="dxa"/>
          </w:tcPr>
          <w:p w14:paraId="59559399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Secondary Identifying Numbers</w:t>
            </w:r>
          </w:p>
        </w:tc>
        <w:tc>
          <w:tcPr>
            <w:tcW w:w="5563" w:type="dxa"/>
          </w:tcPr>
          <w:p w14:paraId="430C3DC8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Ethics Approval Protocol ID: S-20220094</w:t>
            </w:r>
          </w:p>
          <w:p w14:paraId="47AAFC65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MS Gothic" w:hAnsi="Calibri" w:cs="Calibri"/>
                <w:lang w:val="en-US"/>
              </w:rPr>
              <w:t>Grant no.: NNF22SA0077224</w:t>
            </w:r>
          </w:p>
        </w:tc>
      </w:tr>
      <w:tr w:rsidR="0015696F" w:rsidRPr="0015696F" w14:paraId="5B753074" w14:textId="77777777" w:rsidTr="00EA1428">
        <w:trPr>
          <w:jc w:val="center"/>
        </w:trPr>
        <w:tc>
          <w:tcPr>
            <w:tcW w:w="801" w:type="dxa"/>
          </w:tcPr>
          <w:p w14:paraId="20CEBD47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4</w:t>
            </w:r>
          </w:p>
        </w:tc>
        <w:tc>
          <w:tcPr>
            <w:tcW w:w="3040" w:type="dxa"/>
          </w:tcPr>
          <w:p w14:paraId="36401F84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Source(s) of Monetary or Material Support</w:t>
            </w:r>
          </w:p>
        </w:tc>
        <w:tc>
          <w:tcPr>
            <w:tcW w:w="5563" w:type="dxa"/>
          </w:tcPr>
          <w:p w14:paraId="5505D2CF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 xml:space="preserve">Novo Nordisk Foundation, University of Copenhagen; University of Southern Denmark; Capital Region of Denmark. </w:t>
            </w:r>
          </w:p>
        </w:tc>
      </w:tr>
      <w:tr w:rsidR="0015696F" w:rsidRPr="0015696F" w14:paraId="14F11F65" w14:textId="77777777" w:rsidTr="00EA1428">
        <w:trPr>
          <w:jc w:val="center"/>
        </w:trPr>
        <w:tc>
          <w:tcPr>
            <w:tcW w:w="801" w:type="dxa"/>
          </w:tcPr>
          <w:p w14:paraId="39D0C981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5</w:t>
            </w:r>
          </w:p>
        </w:tc>
        <w:tc>
          <w:tcPr>
            <w:tcW w:w="3040" w:type="dxa"/>
          </w:tcPr>
          <w:p w14:paraId="19CF1AE7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Primary Sponsor</w:t>
            </w:r>
          </w:p>
        </w:tc>
        <w:tc>
          <w:tcPr>
            <w:tcW w:w="5563" w:type="dxa"/>
          </w:tcPr>
          <w:p w14:paraId="3947DCDF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University of Copenhagen</w:t>
            </w:r>
          </w:p>
        </w:tc>
      </w:tr>
      <w:tr w:rsidR="0015696F" w:rsidRPr="0015696F" w14:paraId="33C0ED33" w14:textId="77777777" w:rsidTr="00EA1428">
        <w:trPr>
          <w:jc w:val="center"/>
        </w:trPr>
        <w:tc>
          <w:tcPr>
            <w:tcW w:w="801" w:type="dxa"/>
          </w:tcPr>
          <w:p w14:paraId="014E2B01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6</w:t>
            </w:r>
          </w:p>
        </w:tc>
        <w:tc>
          <w:tcPr>
            <w:tcW w:w="3040" w:type="dxa"/>
          </w:tcPr>
          <w:p w14:paraId="2ED47984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Secondary Sponsor(s)</w:t>
            </w:r>
          </w:p>
        </w:tc>
        <w:tc>
          <w:tcPr>
            <w:tcW w:w="5563" w:type="dxa"/>
          </w:tcPr>
          <w:p w14:paraId="2846809E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University of Southern Denmark; Capital Region of Denmark; Novo Nordisk Foundation</w:t>
            </w:r>
          </w:p>
        </w:tc>
      </w:tr>
      <w:tr w:rsidR="0015696F" w:rsidRPr="0015696F" w14:paraId="196127B6" w14:textId="77777777" w:rsidTr="00EA1428">
        <w:trPr>
          <w:jc w:val="center"/>
        </w:trPr>
        <w:tc>
          <w:tcPr>
            <w:tcW w:w="801" w:type="dxa"/>
          </w:tcPr>
          <w:p w14:paraId="0B589DC7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7</w:t>
            </w:r>
          </w:p>
        </w:tc>
        <w:tc>
          <w:tcPr>
            <w:tcW w:w="3040" w:type="dxa"/>
          </w:tcPr>
          <w:p w14:paraId="61A987C3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Contact for Public Queries</w:t>
            </w:r>
          </w:p>
        </w:tc>
        <w:tc>
          <w:tcPr>
            <w:tcW w:w="5563" w:type="dxa"/>
          </w:tcPr>
          <w:p w14:paraId="3FCA2955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Principal investigator: Nikolai Baastrup Nordsborg, Head of Department of Nutrition, Exercise and Sports, Professor,</w:t>
            </w:r>
          </w:p>
          <w:p w14:paraId="49A069CF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University of Copenhagen</w:t>
            </w:r>
          </w:p>
          <w:p w14:paraId="2A08126D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 xml:space="preserve">Postal Address: Nørre </w:t>
            </w:r>
            <w:proofErr w:type="spellStart"/>
            <w:r w:rsidRPr="0015696F">
              <w:rPr>
                <w:rFonts w:ascii="Calibri" w:eastAsia="Calibri" w:hAnsi="Calibri" w:cs="Calibri"/>
                <w:lang w:val="en-US"/>
              </w:rPr>
              <w:t>Allé</w:t>
            </w:r>
            <w:proofErr w:type="spellEnd"/>
            <w:r w:rsidRPr="0015696F">
              <w:rPr>
                <w:rFonts w:ascii="Calibri" w:eastAsia="Calibri" w:hAnsi="Calibri" w:cs="Calibri"/>
                <w:lang w:val="en-US"/>
              </w:rPr>
              <w:t xml:space="preserve"> 51, 2200 København N, Denmark</w:t>
            </w:r>
          </w:p>
          <w:p w14:paraId="12B7AC7A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Phone: + 45 35 32 16 12</w:t>
            </w:r>
          </w:p>
          <w:p w14:paraId="2B6085BC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E-mail: nbn@nexs.ku.dk</w:t>
            </w:r>
          </w:p>
          <w:p w14:paraId="30F746BA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Project website: https://www.sdu.dk/da/forskning/gsb</w:t>
            </w:r>
          </w:p>
        </w:tc>
      </w:tr>
      <w:tr w:rsidR="0015696F" w:rsidRPr="0015696F" w14:paraId="72A71CD8" w14:textId="77777777" w:rsidTr="00EA1428">
        <w:trPr>
          <w:jc w:val="center"/>
        </w:trPr>
        <w:tc>
          <w:tcPr>
            <w:tcW w:w="801" w:type="dxa"/>
          </w:tcPr>
          <w:p w14:paraId="3F3D384D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8</w:t>
            </w:r>
          </w:p>
        </w:tc>
        <w:tc>
          <w:tcPr>
            <w:tcW w:w="3040" w:type="dxa"/>
          </w:tcPr>
          <w:p w14:paraId="2AA5AAE1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Contact for Scientific Queries</w:t>
            </w:r>
          </w:p>
        </w:tc>
        <w:tc>
          <w:tcPr>
            <w:tcW w:w="5563" w:type="dxa"/>
          </w:tcPr>
          <w:p w14:paraId="30994977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Principal investigator: Nikolai Baastrup Nordsborg, Head of Department of Nutrition, Exercise and Sports, Professor,</w:t>
            </w:r>
          </w:p>
          <w:p w14:paraId="03A417E7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University of Copenhagen</w:t>
            </w:r>
          </w:p>
          <w:p w14:paraId="493598D6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 xml:space="preserve">Postal Address: Nørre </w:t>
            </w:r>
            <w:proofErr w:type="spellStart"/>
            <w:r w:rsidRPr="0015696F">
              <w:rPr>
                <w:rFonts w:ascii="Calibri" w:eastAsia="Calibri" w:hAnsi="Calibri" w:cs="Calibri"/>
                <w:lang w:val="en-US"/>
              </w:rPr>
              <w:t>Allé</w:t>
            </w:r>
            <w:proofErr w:type="spellEnd"/>
            <w:r w:rsidRPr="0015696F">
              <w:rPr>
                <w:rFonts w:ascii="Calibri" w:eastAsia="Calibri" w:hAnsi="Calibri" w:cs="Calibri"/>
                <w:lang w:val="en-US"/>
              </w:rPr>
              <w:t xml:space="preserve"> 51, 2200 København N, Denmark</w:t>
            </w:r>
          </w:p>
          <w:p w14:paraId="2835321E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Phone: + 45 35 32 16 12</w:t>
            </w:r>
          </w:p>
          <w:p w14:paraId="1BD083B7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E-mail: nbn@nexs.ku.dk</w:t>
            </w:r>
            <w:r w:rsidRPr="0015696F">
              <w:rPr>
                <w:rFonts w:ascii="Calibri" w:eastAsia="Calibri" w:hAnsi="Calibri" w:cs="Calibri"/>
                <w:lang w:val="en-US"/>
              </w:rPr>
              <w:tab/>
            </w:r>
          </w:p>
          <w:p w14:paraId="2959BCA7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15696F" w:rsidRPr="0015696F" w14:paraId="7489F807" w14:textId="77777777" w:rsidTr="00EA1428">
        <w:trPr>
          <w:jc w:val="center"/>
        </w:trPr>
        <w:tc>
          <w:tcPr>
            <w:tcW w:w="801" w:type="dxa"/>
          </w:tcPr>
          <w:p w14:paraId="100A83EE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9</w:t>
            </w:r>
          </w:p>
        </w:tc>
        <w:tc>
          <w:tcPr>
            <w:tcW w:w="3040" w:type="dxa"/>
          </w:tcPr>
          <w:p w14:paraId="7E7405DE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Public Title</w:t>
            </w:r>
          </w:p>
        </w:tc>
        <w:tc>
          <w:tcPr>
            <w:tcW w:w="5563" w:type="dxa"/>
          </w:tcPr>
          <w:p w14:paraId="44120FA2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Generation Healthy Kids: A Cluster-randomized Trial of a Multi-component, Multi-setting Intervention</w:t>
            </w:r>
          </w:p>
          <w:p w14:paraId="03EE889B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</w:p>
          <w:p w14:paraId="70FB521C" w14:textId="77777777" w:rsidR="0015696F" w:rsidRPr="0015696F" w:rsidRDefault="0015696F" w:rsidP="0015696F">
            <w:pPr>
              <w:tabs>
                <w:tab w:val="left" w:pos="4120"/>
              </w:tabs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ab/>
            </w:r>
          </w:p>
        </w:tc>
      </w:tr>
      <w:tr w:rsidR="0015696F" w:rsidRPr="0015696F" w14:paraId="76AAC7A2" w14:textId="77777777" w:rsidTr="00EA1428">
        <w:trPr>
          <w:jc w:val="center"/>
        </w:trPr>
        <w:tc>
          <w:tcPr>
            <w:tcW w:w="801" w:type="dxa"/>
          </w:tcPr>
          <w:p w14:paraId="6BFD081F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lastRenderedPageBreak/>
              <w:t>10</w:t>
            </w:r>
          </w:p>
        </w:tc>
        <w:tc>
          <w:tcPr>
            <w:tcW w:w="3040" w:type="dxa"/>
          </w:tcPr>
          <w:p w14:paraId="652D7689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Scientific Title</w:t>
            </w:r>
          </w:p>
        </w:tc>
        <w:tc>
          <w:tcPr>
            <w:tcW w:w="5563" w:type="dxa"/>
          </w:tcPr>
          <w:p w14:paraId="1C29478E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Generation Healthy Kids: A Cluster-randomized Trial of a Multi-component, Multi-setting Intervention to Promote Healthy Weight and Wellbeing in Danish School-aged Children</w:t>
            </w:r>
          </w:p>
        </w:tc>
      </w:tr>
      <w:tr w:rsidR="0015696F" w:rsidRPr="0015696F" w14:paraId="7AE88666" w14:textId="77777777" w:rsidTr="00EA1428">
        <w:trPr>
          <w:jc w:val="center"/>
        </w:trPr>
        <w:tc>
          <w:tcPr>
            <w:tcW w:w="801" w:type="dxa"/>
          </w:tcPr>
          <w:p w14:paraId="10B982C6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11</w:t>
            </w:r>
          </w:p>
        </w:tc>
        <w:tc>
          <w:tcPr>
            <w:tcW w:w="3040" w:type="dxa"/>
          </w:tcPr>
          <w:p w14:paraId="37DA8F37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Countries of Recruitment</w:t>
            </w:r>
          </w:p>
        </w:tc>
        <w:tc>
          <w:tcPr>
            <w:tcW w:w="5563" w:type="dxa"/>
          </w:tcPr>
          <w:p w14:paraId="56B50E0A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Denmark (Capital Region, Region Zealand, Region of Southern Denmark)</w:t>
            </w:r>
          </w:p>
        </w:tc>
      </w:tr>
      <w:tr w:rsidR="0015696F" w:rsidRPr="0015696F" w14:paraId="6CD26E65" w14:textId="77777777" w:rsidTr="00EA1428">
        <w:trPr>
          <w:jc w:val="center"/>
        </w:trPr>
        <w:tc>
          <w:tcPr>
            <w:tcW w:w="801" w:type="dxa"/>
          </w:tcPr>
          <w:p w14:paraId="4578DF0E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12</w:t>
            </w:r>
          </w:p>
        </w:tc>
        <w:tc>
          <w:tcPr>
            <w:tcW w:w="3040" w:type="dxa"/>
          </w:tcPr>
          <w:p w14:paraId="4911FA6C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Health Condition(s) or Problem(s) Studied</w:t>
            </w:r>
          </w:p>
        </w:tc>
        <w:tc>
          <w:tcPr>
            <w:tcW w:w="5563" w:type="dxa"/>
          </w:tcPr>
          <w:p w14:paraId="51C0CF02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Childhood obesity; Psychological well-being, Physical inactivity; Sleep habits; Screen media use; Dietary habits.</w:t>
            </w:r>
          </w:p>
        </w:tc>
      </w:tr>
      <w:tr w:rsidR="0015696F" w:rsidRPr="0015696F" w14:paraId="5F62A5CE" w14:textId="77777777" w:rsidTr="00EA1428">
        <w:trPr>
          <w:jc w:val="center"/>
        </w:trPr>
        <w:tc>
          <w:tcPr>
            <w:tcW w:w="801" w:type="dxa"/>
          </w:tcPr>
          <w:p w14:paraId="5FE1FD65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13</w:t>
            </w:r>
          </w:p>
        </w:tc>
        <w:tc>
          <w:tcPr>
            <w:tcW w:w="3040" w:type="dxa"/>
          </w:tcPr>
          <w:p w14:paraId="7BC2EA53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Intervention(s)</w:t>
            </w:r>
          </w:p>
        </w:tc>
        <w:tc>
          <w:tcPr>
            <w:tcW w:w="5563" w:type="dxa"/>
          </w:tcPr>
          <w:p w14:paraId="7FA45BCC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Experimental: multi-setting and multi-component program implemented in families, schools, after-school clubs and local communities (focusing on food and nutrition; physical activity; sleep and screen media habits; engagement of local stakeholders and community capacity building); Control: No intervention. The schools will continue with their regular school schedules and activities.</w:t>
            </w:r>
          </w:p>
        </w:tc>
      </w:tr>
      <w:tr w:rsidR="0015696F" w:rsidRPr="0015696F" w14:paraId="11BFFB5B" w14:textId="77777777" w:rsidTr="00EA1428">
        <w:trPr>
          <w:jc w:val="center"/>
        </w:trPr>
        <w:tc>
          <w:tcPr>
            <w:tcW w:w="801" w:type="dxa"/>
          </w:tcPr>
          <w:p w14:paraId="667FC40C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14</w:t>
            </w:r>
          </w:p>
        </w:tc>
        <w:tc>
          <w:tcPr>
            <w:tcW w:w="3040" w:type="dxa"/>
          </w:tcPr>
          <w:p w14:paraId="4E90F5FF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Key Inclusion and Exclusion Criteria</w:t>
            </w:r>
          </w:p>
        </w:tc>
        <w:tc>
          <w:tcPr>
            <w:tcW w:w="5563" w:type="dxa"/>
          </w:tcPr>
          <w:p w14:paraId="2A3A1839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Inclusion: All children in 1st–2nd grade at recruited schools. Exclusion: none; partial participation allowed if necessary.</w:t>
            </w:r>
          </w:p>
        </w:tc>
      </w:tr>
      <w:tr w:rsidR="0015696F" w:rsidRPr="0015696F" w14:paraId="669B0D7E" w14:textId="77777777" w:rsidTr="00EA1428">
        <w:trPr>
          <w:jc w:val="center"/>
        </w:trPr>
        <w:tc>
          <w:tcPr>
            <w:tcW w:w="801" w:type="dxa"/>
          </w:tcPr>
          <w:p w14:paraId="0D1A91D3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15</w:t>
            </w:r>
          </w:p>
        </w:tc>
        <w:tc>
          <w:tcPr>
            <w:tcW w:w="3040" w:type="dxa"/>
          </w:tcPr>
          <w:p w14:paraId="4F59153B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Study Type</w:t>
            </w:r>
          </w:p>
        </w:tc>
        <w:tc>
          <w:tcPr>
            <w:tcW w:w="5563" w:type="dxa"/>
          </w:tcPr>
          <w:p w14:paraId="27906083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Type of study: Interventional</w:t>
            </w:r>
          </w:p>
          <w:p w14:paraId="68D34087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Primary purpose: Prevention</w:t>
            </w:r>
          </w:p>
          <w:p w14:paraId="0B5F6B10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Study design: Cluster-Randomized; Parallel assignment 1:1; two arms (intervention vs control), no masking.</w:t>
            </w:r>
          </w:p>
        </w:tc>
      </w:tr>
      <w:tr w:rsidR="0015696F" w:rsidRPr="0015696F" w14:paraId="30CCDE8A" w14:textId="77777777" w:rsidTr="00EA1428">
        <w:trPr>
          <w:jc w:val="center"/>
        </w:trPr>
        <w:tc>
          <w:tcPr>
            <w:tcW w:w="801" w:type="dxa"/>
          </w:tcPr>
          <w:p w14:paraId="65617BF4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16</w:t>
            </w:r>
          </w:p>
        </w:tc>
        <w:tc>
          <w:tcPr>
            <w:tcW w:w="3040" w:type="dxa"/>
          </w:tcPr>
          <w:p w14:paraId="67DD3008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Date of First Enrollment</w:t>
            </w:r>
          </w:p>
        </w:tc>
        <w:tc>
          <w:tcPr>
            <w:tcW w:w="5563" w:type="dxa"/>
          </w:tcPr>
          <w:p w14:paraId="2B888E6E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2023-08-14 (Actual)</w:t>
            </w:r>
          </w:p>
        </w:tc>
      </w:tr>
      <w:tr w:rsidR="0015696F" w:rsidRPr="0015696F" w14:paraId="4BDE8B59" w14:textId="77777777" w:rsidTr="00EA1428">
        <w:trPr>
          <w:jc w:val="center"/>
        </w:trPr>
        <w:tc>
          <w:tcPr>
            <w:tcW w:w="801" w:type="dxa"/>
          </w:tcPr>
          <w:p w14:paraId="3E822009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17</w:t>
            </w:r>
          </w:p>
        </w:tc>
        <w:tc>
          <w:tcPr>
            <w:tcW w:w="3040" w:type="dxa"/>
          </w:tcPr>
          <w:p w14:paraId="2113D330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Sample Size</w:t>
            </w:r>
          </w:p>
        </w:tc>
        <w:tc>
          <w:tcPr>
            <w:tcW w:w="5563" w:type="dxa"/>
          </w:tcPr>
          <w:p w14:paraId="10998AB8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1,645 (Expected enrollment)</w:t>
            </w:r>
          </w:p>
          <w:p w14:paraId="6D6B63BF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1,372 (Actual enrollment)</w:t>
            </w:r>
          </w:p>
        </w:tc>
      </w:tr>
      <w:tr w:rsidR="0015696F" w:rsidRPr="0015696F" w14:paraId="07121FE8" w14:textId="77777777" w:rsidTr="00EA1428">
        <w:trPr>
          <w:jc w:val="center"/>
        </w:trPr>
        <w:tc>
          <w:tcPr>
            <w:tcW w:w="801" w:type="dxa"/>
          </w:tcPr>
          <w:p w14:paraId="3394C401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18</w:t>
            </w:r>
          </w:p>
        </w:tc>
        <w:tc>
          <w:tcPr>
            <w:tcW w:w="3040" w:type="dxa"/>
          </w:tcPr>
          <w:p w14:paraId="6D3018B4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Recruitment Status</w:t>
            </w:r>
          </w:p>
        </w:tc>
        <w:tc>
          <w:tcPr>
            <w:tcW w:w="5563" w:type="dxa"/>
          </w:tcPr>
          <w:p w14:paraId="69309006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Complete: participants are no longer being recruited or enrolled in the trial.</w:t>
            </w:r>
          </w:p>
        </w:tc>
      </w:tr>
      <w:tr w:rsidR="0015696F" w:rsidRPr="0015696F" w14:paraId="5E6F73FA" w14:textId="77777777" w:rsidTr="00EA1428">
        <w:trPr>
          <w:jc w:val="center"/>
        </w:trPr>
        <w:tc>
          <w:tcPr>
            <w:tcW w:w="801" w:type="dxa"/>
          </w:tcPr>
          <w:p w14:paraId="5D5EC612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19</w:t>
            </w:r>
          </w:p>
        </w:tc>
        <w:tc>
          <w:tcPr>
            <w:tcW w:w="3040" w:type="dxa"/>
          </w:tcPr>
          <w:p w14:paraId="17E1829F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Primary Outcome(s)</w:t>
            </w:r>
          </w:p>
        </w:tc>
        <w:tc>
          <w:tcPr>
            <w:tcW w:w="5563" w:type="dxa"/>
          </w:tcPr>
          <w:p w14:paraId="415CDEAF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 xml:space="preserve">Fat mass in kg. Between-group difference in change in fat mass measured by </w:t>
            </w:r>
            <w:proofErr w:type="gramStart"/>
            <w:r w:rsidRPr="0015696F">
              <w:rPr>
                <w:rFonts w:ascii="Calibri" w:eastAsia="Calibri" w:hAnsi="Calibri" w:cs="Calibri"/>
                <w:lang w:val="en-US"/>
              </w:rPr>
              <w:t>bioimpedance</w:t>
            </w:r>
            <w:proofErr w:type="gramEnd"/>
            <w:r w:rsidRPr="0015696F">
              <w:rPr>
                <w:rFonts w:ascii="Calibri" w:eastAsia="Calibri" w:hAnsi="Calibri" w:cs="Calibri"/>
                <w:lang w:val="en-US"/>
              </w:rPr>
              <w:t xml:space="preserve"> analysis (InBody 270). </w:t>
            </w:r>
          </w:p>
          <w:p w14:paraId="22D7C002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u w:val="single"/>
                <w:lang w:val="en-US"/>
              </w:rPr>
              <w:t>Time points</w:t>
            </w:r>
            <w:r w:rsidRPr="0015696F">
              <w:rPr>
                <w:rFonts w:ascii="Calibri" w:eastAsia="Calibri" w:hAnsi="Calibri" w:cs="Calibri"/>
                <w:lang w:val="en-US"/>
              </w:rPr>
              <w:t>: Baseline, 18–20 months.</w:t>
            </w:r>
          </w:p>
          <w:p w14:paraId="49EDDDCC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u w:val="single"/>
                <w:lang w:val="en-US"/>
              </w:rPr>
              <w:t>Measurement method</w:t>
            </w:r>
            <w:r w:rsidRPr="0015696F">
              <w:rPr>
                <w:rFonts w:ascii="Calibri" w:eastAsia="Calibri" w:hAnsi="Calibri" w:cs="Calibri"/>
                <w:lang w:val="en-US"/>
              </w:rPr>
              <w:t>: Bioimpedance analysis (InBody270).</w:t>
            </w:r>
          </w:p>
          <w:p w14:paraId="19C1C6EF" w14:textId="77777777" w:rsid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</w:p>
          <w:p w14:paraId="363790E1" w14:textId="77777777" w:rsidR="002D3701" w:rsidRDefault="002D3701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</w:p>
          <w:p w14:paraId="6C6F71D5" w14:textId="77777777" w:rsidR="002D3701" w:rsidRDefault="002D3701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</w:p>
          <w:p w14:paraId="598BF431" w14:textId="77777777" w:rsidR="002D3701" w:rsidRDefault="002D3701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</w:p>
          <w:p w14:paraId="77965CB5" w14:textId="77777777" w:rsidR="002D3701" w:rsidRPr="0015696F" w:rsidRDefault="002D3701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15696F" w:rsidRPr="0015696F" w14:paraId="0C46F7CF" w14:textId="77777777" w:rsidTr="00EA1428">
        <w:trPr>
          <w:jc w:val="center"/>
        </w:trPr>
        <w:tc>
          <w:tcPr>
            <w:tcW w:w="801" w:type="dxa"/>
          </w:tcPr>
          <w:p w14:paraId="74C13122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lastRenderedPageBreak/>
              <w:t>20</w:t>
            </w:r>
          </w:p>
        </w:tc>
        <w:tc>
          <w:tcPr>
            <w:tcW w:w="3040" w:type="dxa"/>
          </w:tcPr>
          <w:p w14:paraId="3286D419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Key Secondary Outcome(s)</w:t>
            </w:r>
          </w:p>
        </w:tc>
        <w:tc>
          <w:tcPr>
            <w:tcW w:w="5563" w:type="dxa"/>
          </w:tcPr>
          <w:p w14:paraId="7983888A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u w:val="single"/>
                <w:lang w:val="en-US"/>
              </w:rPr>
            </w:pPr>
            <w:r w:rsidRPr="0015696F">
              <w:rPr>
                <w:rFonts w:ascii="Calibri" w:eastAsia="Calibri" w:hAnsi="Calibri" w:cs="Calibri"/>
                <w:u w:val="single"/>
                <w:lang w:val="en-US"/>
              </w:rPr>
              <w:t xml:space="preserve">Secondary outcomes: </w:t>
            </w:r>
          </w:p>
          <w:p w14:paraId="4619FE95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 xml:space="preserve">Between group difference in change in the following outcomes: </w:t>
            </w: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Fat mass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(kg); </w:t>
            </w: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Fat free mass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(kg); </w:t>
            </w: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Fat mass index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(kg/m</w:t>
            </w:r>
            <w:r w:rsidRPr="0015696F">
              <w:rPr>
                <w:rFonts w:ascii="Calibri" w:eastAsia="Calibri" w:hAnsi="Calibri" w:cs="Calibri"/>
                <w:vertAlign w:val="superscript"/>
                <w:lang w:val="en-US"/>
              </w:rPr>
              <w:t>2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); </w:t>
            </w: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Fat free mass index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(kg/m</w:t>
            </w:r>
            <w:r w:rsidRPr="0015696F">
              <w:rPr>
                <w:rFonts w:ascii="Calibri" w:eastAsia="Calibri" w:hAnsi="Calibri" w:cs="Calibri"/>
                <w:vertAlign w:val="superscript"/>
                <w:lang w:val="en-US"/>
              </w:rPr>
              <w:t>2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); </w:t>
            </w: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Fat-Free-Mass-to-Fat-Mass ratio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; </w:t>
            </w: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% fat mass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; </w:t>
            </w: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Height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(cm); </w:t>
            </w: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Weight status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(prevalence of children with underweight, normal weight, overweight and obesity); </w:t>
            </w: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BMI z-score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; </w:t>
            </w: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Waist circumference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(mm). </w:t>
            </w:r>
          </w:p>
          <w:p w14:paraId="6E487C0F" w14:textId="77777777" w:rsidR="0015696F" w:rsidRPr="0015696F" w:rsidRDefault="0015696F" w:rsidP="0015696F">
            <w:pPr>
              <w:numPr>
                <w:ilvl w:val="0"/>
                <w:numId w:val="2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u w:val="single"/>
                <w:lang w:val="en-US"/>
              </w:rPr>
              <w:t>Time points: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Baseline, 6–8 months, 18–20 months.</w:t>
            </w:r>
          </w:p>
          <w:p w14:paraId="6DCC34CC" w14:textId="77777777" w:rsidR="0015696F" w:rsidRPr="0015696F" w:rsidRDefault="0015696F" w:rsidP="0015696F">
            <w:pPr>
              <w:numPr>
                <w:ilvl w:val="0"/>
                <w:numId w:val="2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u w:val="single"/>
                <w:lang w:val="en-US"/>
              </w:rPr>
              <w:t>Measurement methods</w:t>
            </w:r>
            <w:r w:rsidRPr="0015696F">
              <w:rPr>
                <w:rFonts w:ascii="Calibri" w:eastAsia="Calibri" w:hAnsi="Calibri" w:cs="Calibri"/>
                <w:lang w:val="en-US"/>
              </w:rPr>
              <w:t>: Bioimpedance analysis (InBody270), portable stadiometer, non-elastic measurement tape.</w:t>
            </w:r>
          </w:p>
          <w:p w14:paraId="4E125EEF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</w:p>
          <w:p w14:paraId="31D0D529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u w:val="single"/>
                <w:lang w:val="en-US"/>
              </w:rPr>
            </w:pPr>
            <w:r w:rsidRPr="0015696F">
              <w:rPr>
                <w:rFonts w:ascii="Calibri" w:eastAsia="Calibri" w:hAnsi="Calibri" w:cs="Calibri"/>
                <w:u w:val="single"/>
                <w:lang w:val="en-US"/>
              </w:rPr>
              <w:t>Other pre-specified outcomes:</w:t>
            </w:r>
          </w:p>
          <w:p w14:paraId="338E53AC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Health-related quality of life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(KIDSCREEN-27) (baseline, 6–8 months, 18–20 months)</w:t>
            </w:r>
          </w:p>
          <w:p w14:paraId="762CB5CA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Mental health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(Strengths and Difficulties Questionnaire) (baseline, 6–8 months, 18–20 months)</w:t>
            </w:r>
          </w:p>
          <w:p w14:paraId="2C46EB17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Resting blood pressure and heart rate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(baseline, 6–8 months, 18–20 months)</w:t>
            </w:r>
          </w:p>
          <w:p w14:paraId="37B589A1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Plasma lipid profile, plasma insulin, and plasma glucose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(fasting venous blood sample) (only among children in DK-East) (baseline, 6–8 months)</w:t>
            </w:r>
          </w:p>
          <w:p w14:paraId="4A6DA8C6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 xml:space="preserve">Aerobic fitness and intermittent exercise performance </w:t>
            </w:r>
            <w:r w:rsidRPr="0015696F">
              <w:rPr>
                <w:rFonts w:ascii="Calibri" w:eastAsia="Calibri" w:hAnsi="Calibri" w:cs="Calibri"/>
                <w:lang w:val="en-US"/>
              </w:rPr>
              <w:t>(Yo-yo Intermittent Recovery Level 1 Children’s test) (baseline, 6–8 months,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6BF0921D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 xml:space="preserve">Sprint performance </w:t>
            </w:r>
            <w:r w:rsidRPr="0015696F">
              <w:rPr>
                <w:rFonts w:ascii="Calibri" w:eastAsia="Calibri" w:hAnsi="Calibri" w:cs="Calibri"/>
                <w:lang w:val="en-US"/>
              </w:rPr>
              <w:t>(20 m sprint test) (baseline, 6–8 months,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072248BE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 xml:space="preserve">Muscular fitness and strength </w:t>
            </w:r>
            <w:r w:rsidRPr="0015696F">
              <w:rPr>
                <w:rFonts w:ascii="Calibri" w:eastAsia="Calibri" w:hAnsi="Calibri" w:cs="Calibri"/>
                <w:lang w:val="en-US"/>
              </w:rPr>
              <w:t>(handgrip dynamometer) (baseline, 6–8 months,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494D4B35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Balance ability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(sway path) (baseline,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354B1436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Jump height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(countermovement jump test) (baseline,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1C531AEF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Lower extremity gross motor function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(leg reaching ability during Y-balance test) (baseline,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3B3D08F5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Upper extremity gross motor function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(test of goal-directed reaching movements (baseline,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2F8D7972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Agility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(Canadian Exercise and Movement Skills Assessment test) (baseline,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6178C71B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Physical literacy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(My PL questionnaire) (baseline, 18–20 months)</w:t>
            </w:r>
          </w:p>
          <w:p w14:paraId="717B3597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lastRenderedPageBreak/>
              <w:t xml:space="preserve">Physically active behavior </w:t>
            </w:r>
            <w:r w:rsidRPr="0015696F">
              <w:rPr>
                <w:rFonts w:ascii="Calibri" w:eastAsia="Calibri" w:hAnsi="Calibri" w:cs="Calibri"/>
                <w:lang w:val="en-US"/>
              </w:rPr>
              <w:t>(total time spent being physically active) (</w:t>
            </w:r>
            <w:proofErr w:type="spellStart"/>
            <w:r w:rsidRPr="0015696F">
              <w:rPr>
                <w:rFonts w:ascii="Calibri" w:eastAsia="Calibri" w:hAnsi="Calibri" w:cs="Calibri"/>
                <w:lang w:val="en-US"/>
              </w:rPr>
              <w:t>Axivity</w:t>
            </w:r>
            <w:proofErr w:type="spellEnd"/>
            <w:r w:rsidRPr="0015696F">
              <w:rPr>
                <w:rFonts w:ascii="Calibri" w:eastAsia="Calibri" w:hAnsi="Calibri" w:cs="Calibri"/>
                <w:lang w:val="en-US"/>
              </w:rPr>
              <w:t xml:space="preserve"> AX3 accelerometer) (baseline,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1EC3D972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Moderate-to-vigorous physical activity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</w:t>
            </w:r>
            <w:proofErr w:type="spellStart"/>
            <w:r w:rsidRPr="0015696F">
              <w:rPr>
                <w:rFonts w:ascii="Calibri" w:eastAsia="Calibri" w:hAnsi="Calibri" w:cs="Calibri"/>
                <w:lang w:val="en-US"/>
              </w:rPr>
              <w:t>Axivity</w:t>
            </w:r>
            <w:proofErr w:type="spellEnd"/>
            <w:r w:rsidRPr="0015696F">
              <w:rPr>
                <w:rFonts w:ascii="Calibri" w:eastAsia="Calibri" w:hAnsi="Calibri" w:cs="Calibri"/>
                <w:lang w:val="en-US"/>
              </w:rPr>
              <w:t xml:space="preserve"> AX3 accelerometer) (baseline,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5A7999FE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Total sleep time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</w:t>
            </w:r>
            <w:proofErr w:type="spellStart"/>
            <w:r w:rsidRPr="0015696F">
              <w:rPr>
                <w:rFonts w:ascii="Calibri" w:eastAsia="Calibri" w:hAnsi="Calibri" w:cs="Calibri"/>
                <w:lang w:val="en-US"/>
              </w:rPr>
              <w:t>Axivity</w:t>
            </w:r>
            <w:proofErr w:type="spellEnd"/>
            <w:r w:rsidRPr="0015696F">
              <w:rPr>
                <w:rFonts w:ascii="Calibri" w:eastAsia="Calibri" w:hAnsi="Calibri" w:cs="Calibri"/>
                <w:lang w:val="en-US"/>
              </w:rPr>
              <w:t xml:space="preserve"> AX3 accelerometer) (baseline,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06158C3B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Sleep quality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(Child Sleep Habits Questionnaire) (baseline, 6–8 months,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03B15694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Total screen time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(modified SCREENS questionnaire) (baseline, 6–8 months,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45532682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 xml:space="preserve">Smartphone and tablet use </w:t>
            </w:r>
            <w:r w:rsidRPr="0015696F">
              <w:rPr>
                <w:rFonts w:ascii="Calibri" w:eastAsia="Calibri" w:hAnsi="Calibri" w:cs="Calibri"/>
                <w:lang w:val="en-US"/>
              </w:rPr>
              <w:t>(</w:t>
            </w:r>
            <w:proofErr w:type="spellStart"/>
            <w:r w:rsidRPr="0015696F">
              <w:rPr>
                <w:rFonts w:ascii="Calibri" w:eastAsia="Calibri" w:hAnsi="Calibri" w:cs="Calibri"/>
                <w:lang w:val="en-US"/>
              </w:rPr>
              <w:t>Ethica</w:t>
            </w:r>
            <w:proofErr w:type="spellEnd"/>
            <w:r w:rsidRPr="0015696F">
              <w:rPr>
                <w:rFonts w:ascii="Calibri" w:eastAsia="Calibri" w:hAnsi="Calibri" w:cs="Calibri"/>
                <w:lang w:val="en-US"/>
              </w:rPr>
              <w:t xml:space="preserve"> application) (baseline, 6–8 months,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21F932A7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Food literacy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(GHK food literacy and school meal culture questionnaire) (baseline, 6–8 months,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7018F9F2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School- and family meal culture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(GHK food literacy and school meal culture questionnaire) (baseline, 6–8 months,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0939AB7C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Dietary intake in g/day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(Food Frequency Questionnaire and 3-day dietary recall) (baseline, 6–8 months,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04745D30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Blood biomarkers of dietary intake and nutrient status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(whole-blood n-3 long-chain polyunsaturated fatty acids (LCPUFA), blood hemoglobin, serum ferritin, serum 25-hydroxyvitamin D and insulin-like growth factor-1 measured in fasting venous blood sample) (only children in DK-East) (baseline, 6–8 months) </w:t>
            </w:r>
          </w:p>
          <w:p w14:paraId="7F27A332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 xml:space="preserve">Cognitive function </w:t>
            </w:r>
            <w:r w:rsidRPr="0015696F">
              <w:rPr>
                <w:rFonts w:ascii="Calibri" w:eastAsia="Calibri" w:hAnsi="Calibri" w:cs="Calibri"/>
                <w:lang w:val="en-US"/>
              </w:rPr>
              <w:t>(processing speed, sustained attention, spatial working memory, inhibitory control, cognitive flexibility and fine motor control) (Cambridge Neuropsychological Test Automated Battery) (baseline, 18–20 months)</w:t>
            </w:r>
          </w:p>
          <w:p w14:paraId="2EACAE2D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>School performance</w:t>
            </w:r>
            <w:r w:rsidRPr="0015696F">
              <w:rPr>
                <w:rFonts w:ascii="Calibri" w:eastAsia="Calibri" w:hAnsi="Calibri" w:cs="Calibri"/>
                <w:lang w:val="en-US"/>
              </w:rPr>
              <w:t xml:space="preserve"> (Danish reading comprehension and mathematics proficiency (Hogrefe tests) (baseline, 18–20 months)</w:t>
            </w:r>
          </w:p>
          <w:p w14:paraId="31A2B550" w14:textId="77777777" w:rsidR="0015696F" w:rsidRPr="0015696F" w:rsidRDefault="0015696F" w:rsidP="0015696F">
            <w:pPr>
              <w:numPr>
                <w:ilvl w:val="0"/>
                <w:numId w:val="1"/>
              </w:numPr>
              <w:spacing w:after="0" w:line="276" w:lineRule="auto"/>
              <w:ind w:left="246" w:hanging="246"/>
              <w:contextualSpacing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i/>
                <w:iCs/>
                <w:lang w:val="en-US"/>
              </w:rPr>
              <w:t xml:space="preserve">School absence </w:t>
            </w:r>
            <w:r w:rsidRPr="0015696F">
              <w:rPr>
                <w:rFonts w:ascii="Calibri" w:eastAsia="Calibri" w:hAnsi="Calibri" w:cs="Calibri"/>
                <w:lang w:val="en-US"/>
              </w:rPr>
              <w:t>(school registration data) (baseline, 6–8 months, 18</w:t>
            </w:r>
            <w:r w:rsidRPr="0015696F">
              <w:rPr>
                <w:rFonts w:ascii="Calibri" w:eastAsia="Calibri" w:hAnsi="Calibri" w:cs="Calibri"/>
                <w:lang w:val="en-US"/>
              </w:rPr>
              <w:softHyphen/>
              <w:t>–20 months)</w:t>
            </w:r>
          </w:p>
          <w:p w14:paraId="4A12840C" w14:textId="77777777" w:rsidR="0015696F" w:rsidRPr="0015696F" w:rsidRDefault="0015696F" w:rsidP="0015696F">
            <w:pPr>
              <w:spacing w:after="0" w:line="276" w:lineRule="auto"/>
              <w:ind w:left="246"/>
              <w:contextualSpacing/>
              <w:rPr>
                <w:rFonts w:ascii="Calibri" w:eastAsia="Calibri" w:hAnsi="Calibri" w:cs="Calibri"/>
                <w:lang w:val="en-US"/>
              </w:rPr>
            </w:pPr>
          </w:p>
          <w:p w14:paraId="43608CDC" w14:textId="77777777" w:rsidR="0015696F" w:rsidRPr="0015696F" w:rsidRDefault="0015696F" w:rsidP="0015696F">
            <w:pPr>
              <w:spacing w:after="0" w:line="276" w:lineRule="auto"/>
              <w:ind w:left="246"/>
              <w:contextualSpacing/>
              <w:rPr>
                <w:rFonts w:ascii="Calibri" w:eastAsia="Calibri" w:hAnsi="Calibri" w:cs="Calibri"/>
                <w:lang w:val="en-US"/>
              </w:rPr>
            </w:pPr>
          </w:p>
          <w:p w14:paraId="6A08BF38" w14:textId="77777777" w:rsidR="0015696F" w:rsidRPr="0015696F" w:rsidRDefault="0015696F" w:rsidP="0015696F">
            <w:pPr>
              <w:spacing w:after="0" w:line="276" w:lineRule="auto"/>
              <w:ind w:left="246"/>
              <w:contextualSpacing/>
              <w:rPr>
                <w:rFonts w:ascii="Calibri" w:eastAsia="Calibri" w:hAnsi="Calibri" w:cs="Calibri"/>
                <w:lang w:val="en-US"/>
              </w:rPr>
            </w:pPr>
          </w:p>
          <w:p w14:paraId="6C9CA560" w14:textId="77777777" w:rsidR="0015696F" w:rsidRPr="0015696F" w:rsidRDefault="0015696F" w:rsidP="0015696F">
            <w:pPr>
              <w:spacing w:after="0" w:line="276" w:lineRule="auto"/>
              <w:ind w:left="246"/>
              <w:contextualSpacing/>
              <w:rPr>
                <w:rFonts w:ascii="Calibri" w:eastAsia="Calibri" w:hAnsi="Calibri" w:cs="Calibri"/>
                <w:lang w:val="en-US"/>
              </w:rPr>
            </w:pPr>
          </w:p>
          <w:p w14:paraId="50815281" w14:textId="77777777" w:rsidR="0015696F" w:rsidRPr="0015696F" w:rsidRDefault="0015696F" w:rsidP="0015696F">
            <w:pPr>
              <w:spacing w:after="0" w:line="276" w:lineRule="auto"/>
              <w:ind w:left="246"/>
              <w:contextualSpacing/>
              <w:rPr>
                <w:rFonts w:ascii="Calibri" w:eastAsia="Calibri" w:hAnsi="Calibri" w:cs="Calibri"/>
                <w:lang w:val="en-US"/>
              </w:rPr>
            </w:pPr>
          </w:p>
        </w:tc>
      </w:tr>
      <w:tr w:rsidR="0015696F" w:rsidRPr="0015696F" w14:paraId="695E8FF8" w14:textId="77777777" w:rsidTr="00EA1428">
        <w:trPr>
          <w:jc w:val="center"/>
        </w:trPr>
        <w:tc>
          <w:tcPr>
            <w:tcW w:w="801" w:type="dxa"/>
          </w:tcPr>
          <w:p w14:paraId="199D649E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lastRenderedPageBreak/>
              <w:t>21</w:t>
            </w:r>
          </w:p>
        </w:tc>
        <w:tc>
          <w:tcPr>
            <w:tcW w:w="3040" w:type="dxa"/>
          </w:tcPr>
          <w:p w14:paraId="4629BF84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Ethics Review</w:t>
            </w:r>
          </w:p>
        </w:tc>
        <w:tc>
          <w:tcPr>
            <w:tcW w:w="5563" w:type="dxa"/>
          </w:tcPr>
          <w:p w14:paraId="4AA4F4AF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Approved by the Regional Committee on Health Research Ethics for Southern Denmark (reference number S-20220094) on 14 April 2023.</w:t>
            </w:r>
          </w:p>
          <w:p w14:paraId="354BAD39" w14:textId="77777777" w:rsidR="0015696F" w:rsidRPr="0015696F" w:rsidRDefault="0015696F" w:rsidP="0015696F">
            <w:pPr>
              <w:spacing w:after="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 xml:space="preserve">Postal address: </w:t>
            </w:r>
            <w:proofErr w:type="spellStart"/>
            <w:r w:rsidRPr="0015696F">
              <w:rPr>
                <w:rFonts w:ascii="Calibri" w:eastAsia="Calibri" w:hAnsi="Calibri" w:cs="Calibri"/>
                <w:lang w:val="en-US"/>
              </w:rPr>
              <w:t>Damhaven</w:t>
            </w:r>
            <w:proofErr w:type="spellEnd"/>
            <w:r w:rsidRPr="0015696F">
              <w:rPr>
                <w:rFonts w:ascii="Calibri" w:eastAsia="Calibri" w:hAnsi="Calibri" w:cs="Calibri"/>
                <w:lang w:val="en-US"/>
              </w:rPr>
              <w:t xml:space="preserve"> 12, 7100 Vejle, Denmark</w:t>
            </w:r>
            <w:r w:rsidRPr="0015696F">
              <w:rPr>
                <w:rFonts w:ascii="Calibri" w:eastAsia="Calibri" w:hAnsi="Calibri" w:cs="Calibri"/>
                <w:lang w:val="en-US"/>
              </w:rPr>
              <w:br/>
              <w:t>Email: komite@rsyd.dk</w:t>
            </w:r>
          </w:p>
          <w:p w14:paraId="334140C5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 xml:space="preserve">Phone: +45 76 63 82 21 </w:t>
            </w:r>
          </w:p>
        </w:tc>
      </w:tr>
      <w:tr w:rsidR="0015696F" w:rsidRPr="0015696F" w14:paraId="444CDC76" w14:textId="77777777" w:rsidTr="00EA1428">
        <w:trPr>
          <w:jc w:val="center"/>
        </w:trPr>
        <w:tc>
          <w:tcPr>
            <w:tcW w:w="801" w:type="dxa"/>
          </w:tcPr>
          <w:p w14:paraId="6BC60518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22</w:t>
            </w:r>
          </w:p>
        </w:tc>
        <w:tc>
          <w:tcPr>
            <w:tcW w:w="3040" w:type="dxa"/>
          </w:tcPr>
          <w:p w14:paraId="26BE480E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Completion Date</w:t>
            </w:r>
          </w:p>
        </w:tc>
        <w:tc>
          <w:tcPr>
            <w:tcW w:w="5563" w:type="dxa"/>
          </w:tcPr>
          <w:p w14:paraId="6CDF0EEF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2025-06-30 (Actual)</w:t>
            </w:r>
          </w:p>
        </w:tc>
      </w:tr>
      <w:tr w:rsidR="0015696F" w:rsidRPr="0015696F" w14:paraId="4072BDCB" w14:textId="77777777" w:rsidTr="00EA1428">
        <w:trPr>
          <w:jc w:val="center"/>
        </w:trPr>
        <w:tc>
          <w:tcPr>
            <w:tcW w:w="801" w:type="dxa"/>
          </w:tcPr>
          <w:p w14:paraId="53B27B99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23</w:t>
            </w:r>
          </w:p>
        </w:tc>
        <w:tc>
          <w:tcPr>
            <w:tcW w:w="3040" w:type="dxa"/>
          </w:tcPr>
          <w:p w14:paraId="013C8988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Summary Results</w:t>
            </w:r>
          </w:p>
        </w:tc>
        <w:tc>
          <w:tcPr>
            <w:tcW w:w="5563" w:type="dxa"/>
          </w:tcPr>
          <w:p w14:paraId="0A74DDEF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None yet</w:t>
            </w:r>
          </w:p>
        </w:tc>
      </w:tr>
      <w:tr w:rsidR="0015696F" w:rsidRPr="0015696F" w14:paraId="0C1F0C41" w14:textId="77777777" w:rsidTr="00EA1428">
        <w:trPr>
          <w:jc w:val="center"/>
        </w:trPr>
        <w:tc>
          <w:tcPr>
            <w:tcW w:w="801" w:type="dxa"/>
          </w:tcPr>
          <w:p w14:paraId="0CE7DAEB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24</w:t>
            </w:r>
          </w:p>
        </w:tc>
        <w:tc>
          <w:tcPr>
            <w:tcW w:w="3040" w:type="dxa"/>
          </w:tcPr>
          <w:p w14:paraId="35C63427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IPD Sharing Statement</w:t>
            </w:r>
          </w:p>
        </w:tc>
        <w:tc>
          <w:tcPr>
            <w:tcW w:w="5563" w:type="dxa"/>
          </w:tcPr>
          <w:p w14:paraId="0FCB7A49" w14:textId="77777777" w:rsidR="0015696F" w:rsidRPr="0015696F" w:rsidRDefault="0015696F" w:rsidP="0015696F">
            <w:pPr>
              <w:spacing w:after="200" w:line="276" w:lineRule="auto"/>
              <w:rPr>
                <w:rFonts w:ascii="Calibri" w:eastAsia="Calibri" w:hAnsi="Calibri" w:cs="Calibri"/>
                <w:lang w:val="en-US"/>
              </w:rPr>
            </w:pPr>
            <w:r w:rsidRPr="0015696F">
              <w:rPr>
                <w:rFonts w:ascii="Calibri" w:eastAsia="Calibri" w:hAnsi="Calibri" w:cs="Calibri"/>
                <w:lang w:val="en-US"/>
              </w:rPr>
              <w:t>Plan to share de-identified IPD upon approved application to steering committee; Supporting documents: Protocol, Statistical Analysis Plan (SAP).</w:t>
            </w:r>
          </w:p>
        </w:tc>
      </w:tr>
    </w:tbl>
    <w:p w14:paraId="1E25C2E7" w14:textId="77777777" w:rsidR="0015696F" w:rsidRPr="0015696F" w:rsidRDefault="0015696F" w:rsidP="0015696F">
      <w:pPr>
        <w:spacing w:after="200" w:line="276" w:lineRule="auto"/>
        <w:rPr>
          <w:rFonts w:ascii="Calibri" w:eastAsia="Calibri" w:hAnsi="Calibri" w:cs="Times New Roman"/>
          <w:b/>
          <w:bCs/>
          <w:highlight w:val="yellow"/>
          <w:lang w:val="en-US"/>
        </w:rPr>
      </w:pPr>
    </w:p>
    <w:p w14:paraId="29B2CE9E" w14:textId="77777777" w:rsidR="0015696F" w:rsidRPr="0015696F" w:rsidRDefault="0015696F" w:rsidP="0015696F">
      <w:pPr>
        <w:spacing w:after="200" w:line="276" w:lineRule="auto"/>
        <w:rPr>
          <w:rFonts w:ascii="Calibri" w:eastAsia="Calibri" w:hAnsi="Calibri" w:cs="Times New Roman"/>
          <w:i/>
          <w:iCs/>
          <w:lang w:val="en-US"/>
        </w:rPr>
      </w:pPr>
      <w:r w:rsidRPr="0015696F">
        <w:rPr>
          <w:rFonts w:ascii="Calibri" w:eastAsia="Calibri" w:hAnsi="Calibri" w:cs="Times New Roman"/>
          <w:b/>
          <w:bCs/>
          <w:i/>
          <w:iCs/>
          <w:lang w:val="en-US"/>
        </w:rPr>
        <w:t>Source:</w:t>
      </w:r>
      <w:r w:rsidRPr="0015696F">
        <w:rPr>
          <w:rFonts w:ascii="Calibri" w:eastAsia="Calibri" w:hAnsi="Calibri" w:cs="Times New Roman"/>
          <w:i/>
          <w:iCs/>
          <w:lang w:val="en-US"/>
        </w:rPr>
        <w:t xml:space="preserve"> ClinicalTrials.gov NCT05940675 (Record History v8, last update posted November 26, 2025)</w:t>
      </w:r>
    </w:p>
    <w:p w14:paraId="244E3FC5" w14:textId="77777777" w:rsidR="007B7715" w:rsidRPr="0015696F" w:rsidRDefault="007B7715" w:rsidP="006D56F4">
      <w:pPr>
        <w:rPr>
          <w:lang w:val="en-US"/>
        </w:rPr>
      </w:pPr>
    </w:p>
    <w:sectPr w:rsidR="007B7715" w:rsidRPr="0015696F" w:rsidSect="0015696F">
      <w:footerReference w:type="default" r:id="rId9"/>
      <w:pgSz w:w="11906" w:h="16838"/>
      <w:pgMar w:top="1701" w:right="1134" w:bottom="1701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D670D" w14:textId="77777777" w:rsidR="00FC546B" w:rsidRDefault="00FC546B" w:rsidP="00115E35">
      <w:pPr>
        <w:spacing w:after="0" w:line="240" w:lineRule="auto"/>
      </w:pPr>
      <w:r>
        <w:separator/>
      </w:r>
    </w:p>
  </w:endnote>
  <w:endnote w:type="continuationSeparator" w:id="0">
    <w:p w14:paraId="179861E9" w14:textId="77777777" w:rsidR="00FC546B" w:rsidRDefault="00FC546B" w:rsidP="00115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733755"/>
      <w:docPartObj>
        <w:docPartGallery w:val="Page Numbers (Bottom of Page)"/>
        <w:docPartUnique/>
      </w:docPartObj>
    </w:sdtPr>
    <w:sdtContent>
      <w:p w14:paraId="62D47103" w14:textId="2D34552F" w:rsidR="0015696F" w:rsidRDefault="0015696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625D45" w14:textId="799C1624" w:rsidR="0015696F" w:rsidRDefault="0015696F" w:rsidP="0015696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F9575" w14:textId="77777777" w:rsidR="00FC546B" w:rsidRDefault="00FC546B" w:rsidP="00115E35">
      <w:pPr>
        <w:spacing w:after="0" w:line="240" w:lineRule="auto"/>
      </w:pPr>
      <w:r>
        <w:separator/>
      </w:r>
    </w:p>
  </w:footnote>
  <w:footnote w:type="continuationSeparator" w:id="0">
    <w:p w14:paraId="0F81DC02" w14:textId="77777777" w:rsidR="00FC546B" w:rsidRDefault="00FC546B" w:rsidP="00115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A76D9"/>
    <w:multiLevelType w:val="hybridMultilevel"/>
    <w:tmpl w:val="7F9CEC18"/>
    <w:lvl w:ilvl="0" w:tplc="F88253A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74498"/>
    <w:multiLevelType w:val="hybridMultilevel"/>
    <w:tmpl w:val="980A5A7E"/>
    <w:lvl w:ilvl="0" w:tplc="A2ECD3F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130419">
    <w:abstractNumId w:val="1"/>
  </w:num>
  <w:num w:numId="2" w16cid:durableId="666254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96F"/>
    <w:rsid w:val="00033327"/>
    <w:rsid w:val="0003435D"/>
    <w:rsid w:val="0003486B"/>
    <w:rsid w:val="00115E35"/>
    <w:rsid w:val="001502F1"/>
    <w:rsid w:val="0015696F"/>
    <w:rsid w:val="00174AE2"/>
    <w:rsid w:val="00293287"/>
    <w:rsid w:val="002A1263"/>
    <w:rsid w:val="002D3701"/>
    <w:rsid w:val="003C3083"/>
    <w:rsid w:val="00422A7F"/>
    <w:rsid w:val="00691EDE"/>
    <w:rsid w:val="006D56F4"/>
    <w:rsid w:val="007B7715"/>
    <w:rsid w:val="00807DED"/>
    <w:rsid w:val="00931E05"/>
    <w:rsid w:val="00A72CF2"/>
    <w:rsid w:val="00BA13C9"/>
    <w:rsid w:val="00BE32A1"/>
    <w:rsid w:val="00E87314"/>
    <w:rsid w:val="00EE1CD7"/>
    <w:rsid w:val="00FC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9301D0"/>
  <w15:chartTrackingRefBased/>
  <w15:docId w15:val="{EDDF1EA7-9BEA-405D-A320-56D61993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CD7"/>
  </w:style>
  <w:style w:type="paragraph" w:styleId="Heading1">
    <w:name w:val="heading 1"/>
    <w:basedOn w:val="Normal"/>
    <w:next w:val="Normal"/>
    <w:link w:val="Heading1Char"/>
    <w:uiPriority w:val="9"/>
    <w:qFormat/>
    <w:rsid w:val="00EE1C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1C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5E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E35"/>
  </w:style>
  <w:style w:type="paragraph" w:styleId="Footer">
    <w:name w:val="footer"/>
    <w:basedOn w:val="Normal"/>
    <w:link w:val="FooterChar"/>
    <w:uiPriority w:val="99"/>
    <w:unhideWhenUsed/>
    <w:rsid w:val="00115E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E35"/>
  </w:style>
  <w:style w:type="character" w:customStyle="1" w:styleId="Heading1Char">
    <w:name w:val="Heading 1 Char"/>
    <w:basedOn w:val="DefaultParagraphFont"/>
    <w:link w:val="Heading1"/>
    <w:uiPriority w:val="9"/>
    <w:rsid w:val="00EE1CD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1CD7"/>
    <w:rPr>
      <w:rFonts w:asciiTheme="majorHAnsi" w:eastAsiaTheme="majorEastAsia" w:hAnsiTheme="majorHAnsi" w:cstheme="majorBidi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CD7"/>
    <w:pPr>
      <w:numPr>
        <w:ilvl w:val="1"/>
      </w:numPr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E1CD7"/>
    <w:rPr>
      <w:rFonts w:eastAsiaTheme="minorEastAsia"/>
      <w:spacing w:val="15"/>
    </w:rPr>
  </w:style>
  <w:style w:type="character" w:styleId="SubtleEmphasis">
    <w:name w:val="Subtle Emphasis"/>
    <w:basedOn w:val="DefaultParagraphFont"/>
    <w:uiPriority w:val="19"/>
    <w:qFormat/>
    <w:rsid w:val="00EE1CD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EE1CD7"/>
    <w:rPr>
      <w:i/>
      <w:iCs/>
      <w:color w:val="auto"/>
    </w:rPr>
  </w:style>
  <w:style w:type="character" w:styleId="Emphasis">
    <w:name w:val="Emphasis"/>
    <w:basedOn w:val="DefaultParagraphFont"/>
    <w:uiPriority w:val="20"/>
    <w:qFormat/>
    <w:rsid w:val="00EE1CD7"/>
    <w:rPr>
      <w:i/>
      <w:iCs/>
    </w:rPr>
  </w:style>
  <w:style w:type="character" w:styleId="Strong">
    <w:name w:val="Strong"/>
    <w:basedOn w:val="DefaultParagraphFont"/>
    <w:uiPriority w:val="22"/>
    <w:qFormat/>
    <w:rsid w:val="00EE1CD7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EE1CD7"/>
    <w:pPr>
      <w:spacing w:before="20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E1CD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CD7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CD7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EE1CD7"/>
    <w:rPr>
      <w:smallCaps/>
      <w:color w:val="auto"/>
    </w:rPr>
  </w:style>
  <w:style w:type="character" w:styleId="IntenseReference">
    <w:name w:val="Intense Reference"/>
    <w:basedOn w:val="DefaultParagraphFont"/>
    <w:uiPriority w:val="32"/>
    <w:qFormat/>
    <w:rsid w:val="00EE1CD7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EE1CD7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EE1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kr\AppData\Local\Temp\1\Templafy\WordVsto\ujdi41uk.dotx" TargetMode="External"/></Relationships>
</file>

<file path=word/theme/theme1.xml><?xml version="1.0" encoding="utf-8"?>
<a:theme xmlns:a="http://schemas.openxmlformats.org/drawingml/2006/main" name="SDU">
  <a:themeElements>
    <a:clrScheme name="SDU">
      <a:dk1>
        <a:srgbClr val="000000"/>
      </a:dk1>
      <a:lt1>
        <a:sysClr val="window" lastClr="FFFFFF"/>
      </a:lt1>
      <a:dk2>
        <a:srgbClr val="7A6040"/>
      </a:dk2>
      <a:lt2>
        <a:srgbClr val="DDCBA4"/>
      </a:lt2>
      <a:accent1>
        <a:srgbClr val="AEB862"/>
      </a:accent1>
      <a:accent2>
        <a:srgbClr val="789D4A"/>
      </a:accent2>
      <a:accent3>
        <a:srgbClr val="F2C75C"/>
      </a:accent3>
      <a:accent4>
        <a:srgbClr val="E07E3C"/>
      </a:accent4>
      <a:accent5>
        <a:srgbClr val="E1BBB4"/>
      </a:accent5>
      <a:accent6>
        <a:srgbClr val="D05A57"/>
      </a:accent6>
      <a:hlink>
        <a:srgbClr val="0563C1"/>
      </a:hlink>
      <a:folHlink>
        <a:srgbClr val="954F72"/>
      </a:folHlink>
    </a:clrScheme>
    <a:fontScheme name="SD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solidFill>
            <a:schemeClr val="accent1"/>
          </a:solidFill>
        </a:ln>
      </a:spPr>
      <a:bodyPr lIns="72000" tIns="72000" rIns="72000" bIns="72000" rtlCol="0" anchor="ctr"/>
      <a:lstStyle>
        <a:defPPr algn="ctr">
          <a:defRPr sz="1600" dirty="0" err="1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defRPr sz="1600" dirty="0" err="1"/>
        </a:defPPr>
      </a:lstStyle>
    </a:txDef>
  </a:objectDefaults>
  <a:extraClrSchemeLst/>
  <a:custClrLst>
    <a:custClr name="Grøn 1">
      <a:srgbClr val="4E5B31"/>
    </a:custClr>
    <a:custClr name="Grøn 2">
      <a:srgbClr val="789D4A"/>
    </a:custClr>
    <a:custClr name="Grøn 3">
      <a:srgbClr val="AEB862"/>
    </a:custClr>
    <a:custClr name="Grøn 4">
      <a:srgbClr val="EAE7B9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Orange 1">
      <a:srgbClr val="D38235"/>
    </a:custClr>
    <a:custClr name="Orange 2">
      <a:srgbClr val="E0A526"/>
    </a:custClr>
    <a:custClr name="Orange 3">
      <a:srgbClr val="EED484"/>
    </a:custClr>
    <a:custClr name="Orange 4">
      <a:srgbClr val="FCF0C4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Rød 1">
      <a:srgbClr val="862633"/>
    </a:custClr>
    <a:custClr name="Rød 2">
      <a:srgbClr val="D05A57"/>
    </a:custClr>
    <a:custClr name="Rød 3">
      <a:srgbClr val="E1BBB4"/>
    </a:custClr>
    <a:custClr name="Rød 4">
      <a:srgbClr val="F4E2DE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Brun 1">
      <a:srgbClr val="473729"/>
    </a:custClr>
    <a:custClr name="Brun 2">
      <a:srgbClr val="946037"/>
    </a:custClr>
    <a:custClr name="Brun 3">
      <a:srgbClr val="DDCBA4"/>
    </a:custClr>
    <a:custClr name="Brun 4">
      <a:srgbClr val="EFE5D1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Sort">
      <a:srgbClr val="000000"/>
    </a:custClr>
    <a:custClr name="Hvid">
      <a:srgbClr val="FFFFFF"/>
    </a:custClr>
  </a:custClrLst>
  <a:extLst>
    <a:ext uri="{05A4C25C-085E-4340-85A3-A5531E510DB2}">
      <thm15:themeFamily xmlns:thm15="http://schemas.microsoft.com/office/thememl/2012/main" name="SDU" id="{DE6ED73B-E157-4C0D-B072-864F00008F05}" vid="{42B93E90-1664-416E-ACDB-AE723854CF6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4438C9D5-CA01-495F-81BB-547FFFD0DF0C}">
  <ds:schemaRefs/>
</ds:datastoreItem>
</file>

<file path=customXml/itemProps2.xml><?xml version="1.0" encoding="utf-8"?>
<ds:datastoreItem xmlns:ds="http://schemas.openxmlformats.org/officeDocument/2006/customXml" ds:itemID="{4AB8C649-791A-43C6-B77A-F03E4A584C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ujdi41uk.dotx</Template>
  <TotalTime>10</TotalTime>
  <Pages>5</Pages>
  <Words>1000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Fredenslund Krølner</dc:creator>
  <cp:keywords/>
  <dc:description/>
  <cp:lastModifiedBy>Rikke Fredenslund Krølner</cp:lastModifiedBy>
  <cp:revision>3</cp:revision>
  <dcterms:created xsi:type="dcterms:W3CDTF">2025-12-29T15:43:00Z</dcterms:created>
  <dcterms:modified xsi:type="dcterms:W3CDTF">2025-12-29T15:54:00Z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sdu</vt:lpwstr>
  </property>
  <property fmtid="{D5CDD505-2E9C-101B-9397-08002B2CF9AE}" pid="3" name="TemplafyTemplateId">
    <vt:lpwstr>991143041190330490</vt:lpwstr>
  </property>
  <property fmtid="{D5CDD505-2E9C-101B-9397-08002B2CF9AE}" pid="4" name="TemplafyUserProfileId">
    <vt:lpwstr>637830419320630166</vt:lpwstr>
  </property>
  <property fmtid="{D5CDD505-2E9C-101B-9397-08002B2CF9AE}" pid="5" name="TemplafyLanguageCode">
    <vt:lpwstr>da-DK</vt:lpwstr>
  </property>
  <property fmtid="{D5CDD505-2E9C-101B-9397-08002B2CF9AE}" pid="6" name="TemplafyFromBlank">
    <vt:bool>true</vt:bool>
  </property>
</Properties>
</file>