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0F3E21">
      <w:pPr>
        <w:pStyle w:val="16"/>
        <w:snapToGrid w:val="0"/>
        <w:spacing w:line="276" w:lineRule="auto"/>
        <w:jc w:val="both"/>
        <w:rPr>
          <w:rFonts w:ascii="Calibri" w:hAnsi="Calibri" w:cs="Calibri"/>
        </w:rPr>
      </w:pPr>
      <w:bookmarkStart w:id="64" w:name="_GoBack"/>
      <w:r>
        <w:rPr>
          <w:rFonts w:ascii="Calibri" w:hAnsi="Calibri" w:cs="Calibri"/>
        </w:rPr>
        <w:t>Statistical Analysis Plan</w:t>
      </w:r>
      <w:bookmarkStart w:id="0" w:name="_4bo0gm4oyp8f" w:colFirst="0" w:colLast="0"/>
      <w:bookmarkEnd w:id="0"/>
      <w:bookmarkStart w:id="1" w:name="_f7qtpj5mj2wu" w:colFirst="0" w:colLast="0"/>
      <w:bookmarkEnd w:id="1"/>
    </w:p>
    <w:bookmarkEnd w:id="64"/>
    <w:p w14:paraId="11CF3E93">
      <w:pPr>
        <w:pStyle w:val="2"/>
        <w:numPr>
          <w:ilvl w:val="0"/>
          <w:numId w:val="1"/>
        </w:numPr>
        <w:snapToGrid w:val="0"/>
        <w:jc w:val="both"/>
        <w:rPr>
          <w:rFonts w:ascii="Calibri" w:hAnsi="Calibri" w:cs="Calibri"/>
        </w:rPr>
      </w:pPr>
      <w:bookmarkStart w:id="2" w:name="_Toc107238570"/>
      <w:r>
        <w:rPr>
          <w:rFonts w:ascii="Calibri" w:hAnsi="Calibri" w:cs="Calibri"/>
        </w:rPr>
        <w:t>SAP Signatures</w:t>
      </w:r>
      <w:bookmarkEnd w:id="2"/>
    </w:p>
    <w:p w14:paraId="56A044EC">
      <w:pPr>
        <w:snapToGrid w:val="0"/>
        <w:spacing w:line="276" w:lineRule="auto"/>
        <w:jc w:val="both"/>
        <w:rPr>
          <w:rFonts w:hint="default" w:ascii="Calibri" w:hAnsi="Calibri" w:cs="Calibri"/>
          <w:lang w:val="en-US" w:eastAsia="zh-CN"/>
        </w:rPr>
      </w:pPr>
      <w:r>
        <w:rPr>
          <w:rFonts w:ascii="Calibri" w:hAnsi="Calibri" w:cs="Calibri"/>
        </w:rPr>
        <w:t xml:space="preserve">I give my approval for the attached SAP entitled &lt;Effectiveness of </w:t>
      </w:r>
      <w:r>
        <w:rPr>
          <w:rFonts w:hint="eastAsia" w:ascii="Times New Roman" w:hAnsi="Times New Roman" w:cs="Times New Roman"/>
          <w:lang w:val="en-US" w:eastAsia="zh-CN"/>
        </w:rPr>
        <w:t>transcranial direct current stimulation</w:t>
      </w:r>
      <w:r>
        <w:rPr>
          <w:rFonts w:ascii="Calibri" w:hAnsi="Calibri" w:cs="Calibri"/>
        </w:rPr>
        <w:t xml:space="preserve"> against poststroke urinary incontinence&gt;</w:t>
      </w:r>
      <w:r>
        <w:rPr>
          <w:rFonts w:ascii="Calibri" w:hAnsi="Calibri" w:cs="Calibri"/>
          <w:lang w:eastAsia="zh-CN"/>
        </w:rPr>
        <w:t>. Version 1.0 Date: 202</w:t>
      </w:r>
      <w:r>
        <w:rPr>
          <w:rFonts w:hint="eastAsia" w:ascii="Calibri" w:hAnsi="Calibri" w:cs="Calibri"/>
          <w:lang w:val="en-US" w:eastAsia="zh-CN"/>
        </w:rPr>
        <w:t>5</w:t>
      </w:r>
      <w:r>
        <w:rPr>
          <w:rFonts w:ascii="Calibri" w:hAnsi="Calibri" w:cs="Calibri"/>
          <w:lang w:eastAsia="zh-CN"/>
        </w:rPr>
        <w:t>.</w:t>
      </w:r>
      <w:r>
        <w:rPr>
          <w:rFonts w:hint="eastAsia" w:ascii="Calibri" w:hAnsi="Calibri" w:cs="Calibri"/>
          <w:lang w:val="en-US" w:eastAsia="zh-CN"/>
        </w:rPr>
        <w:t>8</w:t>
      </w:r>
      <w:r>
        <w:rPr>
          <w:rFonts w:ascii="Calibri" w:hAnsi="Calibri" w:cs="Calibri"/>
          <w:lang w:eastAsia="zh-CN"/>
        </w:rPr>
        <w:t>.</w:t>
      </w:r>
      <w:r>
        <w:rPr>
          <w:rFonts w:hint="eastAsia" w:ascii="Calibri" w:hAnsi="Calibri" w:cs="Calibri"/>
          <w:lang w:val="en-US" w:eastAsia="zh-CN"/>
        </w:rPr>
        <w:t>25</w:t>
      </w:r>
    </w:p>
    <w:p w14:paraId="5D81026D">
      <w:pPr>
        <w:snapToGrid w:val="0"/>
        <w:spacing w:line="276" w:lineRule="auto"/>
        <w:jc w:val="both"/>
        <w:rPr>
          <w:rFonts w:ascii="Calibri" w:hAnsi="Calibri" w:cs="Calibri"/>
          <w:b/>
        </w:rPr>
      </w:pPr>
    </w:p>
    <w:p w14:paraId="3946F0A1">
      <w:pPr>
        <w:snapToGrid w:val="0"/>
        <w:spacing w:line="276" w:lineRule="auto"/>
        <w:jc w:val="both"/>
        <w:rPr>
          <w:rFonts w:ascii="Calibri" w:hAnsi="Calibri" w:cs="Calibri"/>
          <w:b/>
        </w:rPr>
      </w:pPr>
      <w:r>
        <w:rPr>
          <w:rFonts w:ascii="Calibri" w:hAnsi="Calibri" w:cs="Calibri"/>
          <w:b/>
        </w:rPr>
        <w:t>Statistician</w:t>
      </w:r>
    </w:p>
    <w:p w14:paraId="718A32F1">
      <w:pPr>
        <w:snapToGrid w:val="0"/>
        <w:spacing w:line="276" w:lineRule="auto"/>
        <w:jc w:val="both"/>
        <w:rPr>
          <w:rFonts w:ascii="Calibri" w:hAnsi="Calibri" w:cs="Calibri"/>
        </w:rPr>
      </w:pPr>
      <w:r>
        <w:rPr>
          <w:rFonts w:ascii="Calibri" w:hAnsi="Calibri" w:cs="Calibri"/>
        </w:rPr>
        <w:t xml:space="preserve">Name: </w:t>
      </w:r>
    </w:p>
    <w:p w14:paraId="5DD13B50">
      <w:pPr>
        <w:snapToGrid w:val="0"/>
        <w:spacing w:line="276" w:lineRule="auto"/>
        <w:jc w:val="both"/>
        <w:rPr>
          <w:rFonts w:ascii="Calibri" w:hAnsi="Calibri" w:cs="Calibri"/>
        </w:rPr>
      </w:pPr>
    </w:p>
    <w:p w14:paraId="3EDD5E54">
      <w:pPr>
        <w:snapToGrid w:val="0"/>
        <w:spacing w:line="276" w:lineRule="auto"/>
        <w:jc w:val="both"/>
        <w:rPr>
          <w:rFonts w:ascii="Calibri" w:hAnsi="Calibri" w:cs="Calibri"/>
        </w:rPr>
      </w:pPr>
      <w:r>
        <w:rPr>
          <w:rFonts w:ascii="Calibri" w:hAnsi="Calibri" w:cs="Calibri"/>
        </w:rPr>
        <w:t>Signature:</w:t>
      </w:r>
      <w:r>
        <w:rPr>
          <w:rFonts w:ascii="Calibri" w:hAnsi="Calibri" w:cs="Calibri"/>
        </w:rPr>
        <w:tab/>
      </w:r>
      <w:r>
        <w:rPr>
          <w:rFonts w:ascii="Calibri" w:hAnsi="Calibri" w:cs="Calibri"/>
          <w:u w:val="single"/>
        </w:rPr>
        <w:t>                                               </w:t>
      </w:r>
      <w:r>
        <w:rPr>
          <w:rFonts w:ascii="Calibri" w:hAnsi="Calibri" w:cs="Calibri"/>
        </w:rPr>
        <w:br w:type="textWrapping"/>
      </w:r>
    </w:p>
    <w:p w14:paraId="4D78966E">
      <w:pPr>
        <w:snapToGrid w:val="0"/>
        <w:spacing w:line="276" w:lineRule="auto"/>
        <w:jc w:val="both"/>
        <w:rPr>
          <w:rFonts w:ascii="Calibri" w:hAnsi="Calibri" w:cs="Calibri"/>
        </w:rPr>
      </w:pPr>
      <w:r>
        <w:rPr>
          <w:rFonts w:ascii="Calibri" w:hAnsi="Calibri" w:cs="Calibri"/>
        </w:rPr>
        <w:t>Date:</w:t>
      </w:r>
      <w:r>
        <w:rPr>
          <w:rFonts w:ascii="Calibri" w:hAnsi="Calibri" w:cs="Calibri"/>
        </w:rPr>
        <w:tab/>
      </w:r>
      <w:r>
        <w:rPr>
          <w:rFonts w:ascii="Calibri" w:hAnsi="Calibri" w:cs="Calibri"/>
        </w:rPr>
        <w:tab/>
      </w:r>
      <w:r>
        <w:rPr>
          <w:rFonts w:ascii="Calibri" w:hAnsi="Calibri" w:cs="Calibri"/>
          <w:u w:val="single"/>
        </w:rPr>
        <w:t>                                               </w:t>
      </w:r>
      <w:r>
        <w:rPr>
          <w:rFonts w:ascii="Calibri" w:hAnsi="Calibri" w:cs="Calibri"/>
        </w:rPr>
        <w:t xml:space="preserve"> </w:t>
      </w:r>
    </w:p>
    <w:p w14:paraId="262FD29A">
      <w:pPr>
        <w:snapToGrid w:val="0"/>
        <w:spacing w:line="276" w:lineRule="auto"/>
        <w:jc w:val="both"/>
        <w:rPr>
          <w:rFonts w:ascii="Calibri" w:hAnsi="Calibri" w:cs="Calibri"/>
          <w:b/>
        </w:rPr>
      </w:pPr>
      <w:r>
        <w:rPr>
          <w:rFonts w:ascii="Calibri" w:hAnsi="Calibri" w:cs="Calibri"/>
          <w:b/>
        </w:rPr>
        <w:t>Statistician Reviewer (As applicable)</w:t>
      </w:r>
    </w:p>
    <w:p w14:paraId="13AF3337">
      <w:pPr>
        <w:snapToGrid w:val="0"/>
        <w:spacing w:line="276" w:lineRule="auto"/>
        <w:jc w:val="both"/>
        <w:rPr>
          <w:rFonts w:ascii="Calibri" w:hAnsi="Calibri" w:cs="Calibri"/>
        </w:rPr>
      </w:pPr>
      <w:r>
        <w:rPr>
          <w:rFonts w:ascii="Calibri" w:hAnsi="Calibri" w:cs="Calibri"/>
        </w:rPr>
        <w:t>Name:</w:t>
      </w:r>
    </w:p>
    <w:p w14:paraId="434C9395">
      <w:pPr>
        <w:snapToGrid w:val="0"/>
        <w:spacing w:line="276" w:lineRule="auto"/>
        <w:jc w:val="both"/>
        <w:rPr>
          <w:rFonts w:ascii="Calibri" w:hAnsi="Calibri" w:cs="Calibri"/>
        </w:rPr>
      </w:pPr>
    </w:p>
    <w:p w14:paraId="6BC6835C">
      <w:pPr>
        <w:snapToGrid w:val="0"/>
        <w:spacing w:line="276" w:lineRule="auto"/>
        <w:jc w:val="both"/>
        <w:rPr>
          <w:rFonts w:ascii="Calibri" w:hAnsi="Calibri" w:cs="Calibri"/>
        </w:rPr>
      </w:pPr>
      <w:r>
        <w:rPr>
          <w:rFonts w:ascii="Calibri" w:hAnsi="Calibri" w:cs="Calibri"/>
        </w:rPr>
        <w:t>Signature:</w:t>
      </w:r>
      <w:r>
        <w:rPr>
          <w:rFonts w:ascii="Calibri" w:hAnsi="Calibri" w:cs="Calibri"/>
        </w:rPr>
        <w:tab/>
      </w:r>
      <w:r>
        <w:rPr>
          <w:rFonts w:ascii="Calibri" w:hAnsi="Calibri" w:cs="Calibri"/>
          <w:u w:val="single"/>
        </w:rPr>
        <w:t>                                               </w:t>
      </w:r>
      <w:r>
        <w:rPr>
          <w:rFonts w:ascii="Calibri" w:hAnsi="Calibri" w:cs="Calibri"/>
        </w:rPr>
        <w:br w:type="textWrapping"/>
      </w:r>
    </w:p>
    <w:p w14:paraId="39AA3E28">
      <w:pPr>
        <w:snapToGrid w:val="0"/>
        <w:spacing w:line="276" w:lineRule="auto"/>
        <w:jc w:val="both"/>
        <w:rPr>
          <w:rFonts w:ascii="Calibri" w:hAnsi="Calibri" w:cs="Calibri"/>
        </w:rPr>
      </w:pPr>
      <w:r>
        <w:rPr>
          <w:rFonts w:ascii="Calibri" w:hAnsi="Calibri" w:cs="Calibri"/>
        </w:rPr>
        <w:t>Date:</w:t>
      </w:r>
      <w:r>
        <w:rPr>
          <w:rFonts w:ascii="Calibri" w:hAnsi="Calibri" w:cs="Calibri"/>
        </w:rPr>
        <w:tab/>
      </w:r>
      <w:r>
        <w:rPr>
          <w:rFonts w:ascii="Calibri" w:hAnsi="Calibri" w:cs="Calibri"/>
        </w:rPr>
        <w:tab/>
      </w:r>
      <w:r>
        <w:rPr>
          <w:rFonts w:ascii="Calibri" w:hAnsi="Calibri" w:cs="Calibri"/>
          <w:u w:val="single"/>
        </w:rPr>
        <w:t>                                               </w:t>
      </w:r>
      <w:r>
        <w:rPr>
          <w:rFonts w:ascii="Calibri" w:hAnsi="Calibri" w:cs="Calibri"/>
        </w:rPr>
        <w:t xml:space="preserve"> </w:t>
      </w:r>
    </w:p>
    <w:p w14:paraId="531F675C">
      <w:pPr>
        <w:snapToGrid w:val="0"/>
        <w:spacing w:line="276" w:lineRule="auto"/>
        <w:jc w:val="both"/>
        <w:rPr>
          <w:rFonts w:ascii="Calibri" w:hAnsi="Calibri" w:cs="Calibri"/>
          <w:b/>
        </w:rPr>
      </w:pPr>
      <w:r>
        <w:rPr>
          <w:rFonts w:ascii="Calibri" w:hAnsi="Calibri" w:cs="Calibri"/>
          <w:b/>
        </w:rPr>
        <w:t>Principal Investigator</w:t>
      </w:r>
    </w:p>
    <w:p w14:paraId="76CD24A9">
      <w:pPr>
        <w:snapToGrid w:val="0"/>
        <w:spacing w:line="276" w:lineRule="auto"/>
        <w:jc w:val="both"/>
        <w:rPr>
          <w:rFonts w:ascii="Calibri" w:hAnsi="Calibri" w:cs="Calibri"/>
        </w:rPr>
      </w:pPr>
      <w:r>
        <w:rPr>
          <w:rFonts w:ascii="Calibri" w:hAnsi="Calibri" w:cs="Calibri"/>
        </w:rPr>
        <w:t xml:space="preserve">Name: </w:t>
      </w:r>
    </w:p>
    <w:p w14:paraId="37046B58">
      <w:pPr>
        <w:snapToGrid w:val="0"/>
        <w:spacing w:line="276" w:lineRule="auto"/>
        <w:jc w:val="both"/>
        <w:rPr>
          <w:rFonts w:ascii="Calibri" w:hAnsi="Calibri" w:cs="Calibri"/>
        </w:rPr>
      </w:pPr>
      <w:r>
        <w:rPr>
          <w:rFonts w:ascii="Calibri" w:hAnsi="Calibri" w:cs="Calibri"/>
        </w:rPr>
        <w:t>Wei Jiang</w:t>
      </w:r>
    </w:p>
    <w:p w14:paraId="3F96E3DD">
      <w:pPr>
        <w:snapToGrid w:val="0"/>
        <w:spacing w:line="276" w:lineRule="auto"/>
        <w:jc w:val="both"/>
        <w:rPr>
          <w:rFonts w:ascii="Calibri" w:hAnsi="Calibri" w:cs="Calibri"/>
        </w:rPr>
      </w:pPr>
      <w:r>
        <w:rPr>
          <w:rFonts w:ascii="Calibri" w:hAnsi="Calibri" w:cs="Calibri"/>
        </w:rPr>
        <w:t>Signature:</w:t>
      </w:r>
      <w:r>
        <w:rPr>
          <w:rFonts w:ascii="Calibri" w:hAnsi="Calibri" w:cs="Calibri"/>
        </w:rPr>
        <w:tab/>
      </w:r>
      <w:r>
        <w:rPr>
          <w:rFonts w:ascii="Calibri" w:hAnsi="Calibri" w:cs="Calibri"/>
          <w:u w:val="single"/>
        </w:rPr>
        <w:t>                                               </w:t>
      </w:r>
      <w:r>
        <w:rPr>
          <w:rFonts w:ascii="Calibri" w:hAnsi="Calibri" w:cs="Calibri"/>
        </w:rPr>
        <w:br w:type="textWrapping"/>
      </w:r>
    </w:p>
    <w:p w14:paraId="1AB06769">
      <w:pPr>
        <w:snapToGrid w:val="0"/>
        <w:spacing w:line="276" w:lineRule="auto"/>
        <w:jc w:val="both"/>
        <w:rPr>
          <w:rFonts w:ascii="Calibri" w:hAnsi="Calibri" w:cs="Calibri"/>
        </w:rPr>
      </w:pPr>
      <w:r>
        <w:rPr>
          <w:rFonts w:ascii="Calibri" w:hAnsi="Calibri" w:cs="Calibri"/>
        </w:rPr>
        <w:t>Date:</w:t>
      </w:r>
      <w:r>
        <w:rPr>
          <w:rFonts w:ascii="Calibri" w:hAnsi="Calibri" w:cs="Calibri"/>
        </w:rPr>
        <w:tab/>
      </w:r>
      <w:r>
        <w:rPr>
          <w:rFonts w:ascii="Calibri" w:hAnsi="Calibri" w:cs="Calibri"/>
        </w:rPr>
        <w:tab/>
      </w:r>
      <w:r>
        <w:rPr>
          <w:rFonts w:ascii="Calibri" w:hAnsi="Calibri" w:cs="Calibri"/>
          <w:u w:val="single"/>
        </w:rPr>
        <w:t>                                               </w:t>
      </w:r>
      <w:r>
        <w:rPr>
          <w:rFonts w:ascii="Calibri" w:hAnsi="Calibri" w:cs="Calibri"/>
        </w:rPr>
        <w:t xml:space="preserve"> </w:t>
      </w:r>
    </w:p>
    <w:p w14:paraId="7C7BDD9D">
      <w:pPr>
        <w:snapToGrid w:val="0"/>
        <w:spacing w:line="276" w:lineRule="auto"/>
        <w:jc w:val="both"/>
        <w:rPr>
          <w:rFonts w:ascii="Calibri" w:hAnsi="Calibri" w:cs="Calibri"/>
        </w:rPr>
      </w:pPr>
    </w:p>
    <w:p w14:paraId="36F1D243">
      <w:pPr>
        <w:snapToGrid w:val="0"/>
        <w:spacing w:line="276" w:lineRule="auto"/>
        <w:jc w:val="both"/>
        <w:rPr>
          <w:rFonts w:ascii="Calibri" w:hAnsi="Calibri" w:cs="Calibri"/>
        </w:rPr>
      </w:pPr>
    </w:p>
    <w:p w14:paraId="761C227D">
      <w:pPr>
        <w:snapToGrid w:val="0"/>
        <w:spacing w:line="276" w:lineRule="auto"/>
        <w:jc w:val="both"/>
        <w:rPr>
          <w:rFonts w:ascii="Calibri" w:hAnsi="Calibri" w:cs="Calibri"/>
        </w:rPr>
      </w:pPr>
    </w:p>
    <w:p w14:paraId="3064008F">
      <w:pPr>
        <w:snapToGrid w:val="0"/>
        <w:spacing w:line="276" w:lineRule="auto"/>
        <w:jc w:val="both"/>
        <w:rPr>
          <w:rFonts w:ascii="Calibri" w:hAnsi="Calibri" w:cs="Calibri"/>
        </w:rPr>
      </w:pPr>
    </w:p>
    <w:p w14:paraId="07763E34">
      <w:pPr>
        <w:snapToGrid w:val="0"/>
        <w:spacing w:line="276" w:lineRule="auto"/>
        <w:jc w:val="both"/>
        <w:rPr>
          <w:rFonts w:ascii="Calibri" w:hAnsi="Calibri" w:cs="Calibri"/>
        </w:rPr>
      </w:pPr>
    </w:p>
    <w:p w14:paraId="5E3CF29B">
      <w:pPr>
        <w:snapToGrid w:val="0"/>
        <w:spacing w:line="276" w:lineRule="auto"/>
        <w:jc w:val="both"/>
        <w:rPr>
          <w:rFonts w:ascii="Calibri" w:hAnsi="Calibri" w:cs="Calibri"/>
        </w:rPr>
      </w:pPr>
    </w:p>
    <w:p w14:paraId="63341A78">
      <w:pPr>
        <w:snapToGrid w:val="0"/>
        <w:spacing w:line="276" w:lineRule="auto"/>
        <w:jc w:val="both"/>
        <w:rPr>
          <w:rFonts w:ascii="Calibri" w:hAnsi="Calibri" w:cs="Calibri"/>
        </w:rPr>
      </w:pPr>
    </w:p>
    <w:p w14:paraId="60E85897">
      <w:pPr>
        <w:snapToGrid w:val="0"/>
        <w:spacing w:line="276" w:lineRule="auto"/>
        <w:jc w:val="both"/>
        <w:rPr>
          <w:rFonts w:ascii="Calibri" w:hAnsi="Calibri" w:cs="Calibri"/>
        </w:rPr>
      </w:pPr>
    </w:p>
    <w:p w14:paraId="4C9B8161">
      <w:pPr>
        <w:snapToGrid w:val="0"/>
        <w:spacing w:line="276" w:lineRule="auto"/>
        <w:jc w:val="both"/>
        <w:rPr>
          <w:rFonts w:ascii="Calibri" w:hAnsi="Calibri" w:cs="Calibri"/>
        </w:rPr>
      </w:pPr>
    </w:p>
    <w:p w14:paraId="04BF4EFE">
      <w:pPr>
        <w:snapToGrid w:val="0"/>
        <w:spacing w:line="276" w:lineRule="auto"/>
        <w:jc w:val="both"/>
        <w:rPr>
          <w:rFonts w:ascii="Calibri" w:hAnsi="Calibri" w:cs="Calibri"/>
        </w:rPr>
      </w:pPr>
      <w:r>
        <w:rPr>
          <w:rFonts w:ascii="Calibri" w:hAnsi="Calibri" w:cs="Calibri"/>
        </w:rPr>
        <w:br w:type="page"/>
      </w:r>
    </w:p>
    <w:p w14:paraId="3A461734">
      <w:pPr>
        <w:pStyle w:val="2"/>
        <w:numPr>
          <w:ilvl w:val="0"/>
          <w:numId w:val="1"/>
        </w:numPr>
        <w:snapToGrid w:val="0"/>
        <w:jc w:val="both"/>
        <w:rPr>
          <w:rFonts w:ascii="Calibri" w:hAnsi="Calibri" w:cs="Calibri"/>
        </w:rPr>
      </w:pPr>
      <w:bookmarkStart w:id="3" w:name="_Toc107238571"/>
      <w:r>
        <w:rPr>
          <w:rFonts w:ascii="Calibri" w:hAnsi="Calibri" w:cs="Calibri"/>
        </w:rPr>
        <w:t>Table of Contents</w:t>
      </w:r>
      <w:bookmarkEnd w:id="3"/>
    </w:p>
    <w:sdt>
      <w:sdtPr>
        <w:rPr>
          <w:rFonts w:ascii="Calibri" w:hAnsi="Calibri" w:cs="Calibri"/>
        </w:rPr>
        <w:id w:val="771832836"/>
        <w:docPartObj>
          <w:docPartGallery w:val="Table of Contents"/>
          <w:docPartUnique/>
        </w:docPartObj>
      </w:sdtPr>
      <w:sdtEndPr>
        <w:rPr>
          <w:rFonts w:ascii="Calibri" w:hAnsi="Calibri" w:cs="Calibri"/>
        </w:rPr>
      </w:sdtEndPr>
      <w:sdtContent>
        <w:p w14:paraId="6532978C">
          <w:pPr>
            <w:pStyle w:val="13"/>
            <w:tabs>
              <w:tab w:val="left" w:pos="440"/>
              <w:tab w:val="right" w:pos="9016"/>
            </w:tabs>
            <w:rPr>
              <w:rFonts w:asciiTheme="minorHAnsi" w:hAnsiTheme="minorHAnsi" w:cstheme="minorBidi"/>
              <w:color w:val="auto"/>
              <w:kern w:val="2"/>
              <w:sz w:val="21"/>
              <w:szCs w:val="24"/>
              <w:lang w:eastAsia="zh-CN"/>
            </w:rPr>
          </w:pPr>
          <w:r>
            <w:rPr>
              <w:rFonts w:ascii="Calibri" w:hAnsi="Calibri" w:cs="Calibri"/>
            </w:rPr>
            <w:fldChar w:fldCharType="begin"/>
          </w:r>
          <w:r>
            <w:rPr>
              <w:rFonts w:ascii="Calibri" w:hAnsi="Calibri" w:cs="Calibri"/>
            </w:rPr>
            <w:instrText xml:space="preserve"> TOC \h \u \z </w:instrText>
          </w:r>
          <w:r>
            <w:rPr>
              <w:rFonts w:ascii="Calibri" w:hAnsi="Calibri" w:cs="Calibri"/>
            </w:rPr>
            <w:fldChar w:fldCharType="separate"/>
          </w:r>
          <w:r>
            <w:fldChar w:fldCharType="begin"/>
          </w:r>
          <w:r>
            <w:instrText xml:space="preserve"> HYPERLINK \l "_Toc107238570" </w:instrText>
          </w:r>
          <w:r>
            <w:fldChar w:fldCharType="separate"/>
          </w:r>
          <w:r>
            <w:rPr>
              <w:rStyle w:val="23"/>
              <w:rFonts w:ascii="Calibri" w:hAnsi="Calibri" w:cs="Calibri"/>
            </w:rPr>
            <w:t>1</w:t>
          </w:r>
          <w:r>
            <w:rPr>
              <w:rFonts w:asciiTheme="minorHAnsi" w:hAnsiTheme="minorHAnsi" w:cstheme="minorBidi"/>
              <w:color w:val="auto"/>
              <w:kern w:val="2"/>
              <w:sz w:val="21"/>
              <w:szCs w:val="24"/>
              <w:lang w:eastAsia="zh-CN"/>
            </w:rPr>
            <w:tab/>
          </w:r>
          <w:r>
            <w:rPr>
              <w:rStyle w:val="23"/>
              <w:rFonts w:ascii="Calibri" w:hAnsi="Calibri" w:cs="Calibri"/>
            </w:rPr>
            <w:t>SAP Signatures</w:t>
          </w:r>
          <w:r>
            <w:tab/>
          </w:r>
          <w:r>
            <w:fldChar w:fldCharType="begin"/>
          </w:r>
          <w:r>
            <w:instrText xml:space="preserve"> PAGEREF _Toc107238570 \h </w:instrText>
          </w:r>
          <w:r>
            <w:rPr>
              <w:rFonts w:hint="eastAsia"/>
            </w:rPr>
            <w:fldChar w:fldCharType="separate"/>
          </w:r>
          <w:r>
            <w:rPr>
              <w:rFonts w:hint="eastAsia"/>
            </w:rPr>
            <w:t>1</w:t>
          </w:r>
          <w:r>
            <w:fldChar w:fldCharType="end"/>
          </w:r>
          <w:r>
            <w:fldChar w:fldCharType="end"/>
          </w:r>
        </w:p>
        <w:p w14:paraId="60ECC5E0">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"_Toc107238571" </w:instrText>
          </w:r>
          <w:r>
            <w:fldChar w:fldCharType="separate"/>
          </w:r>
          <w:r>
            <w:rPr>
              <w:rStyle w:val="23"/>
              <w:rFonts w:ascii="Calibri" w:hAnsi="Calibri" w:cs="Calibri"/>
            </w:rPr>
            <w:t>2</w:t>
          </w:r>
          <w:r>
            <w:rPr>
              <w:rFonts w:asciiTheme="minorHAnsi" w:hAnsiTheme="minorHAnsi" w:cstheme="minorBidi"/>
              <w:color w:val="auto"/>
              <w:kern w:val="2"/>
              <w:sz w:val="21"/>
              <w:szCs w:val="24"/>
              <w:lang w:eastAsia="zh-CN"/>
            </w:rPr>
            <w:tab/>
          </w:r>
          <w:r>
            <w:rPr>
              <w:rStyle w:val="23"/>
              <w:rFonts w:ascii="Calibri" w:hAnsi="Calibri" w:cs="Calibri"/>
            </w:rPr>
            <w:t>Table of Contents</w:t>
          </w:r>
          <w:r>
            <w:tab/>
          </w:r>
          <w:r>
            <w:fldChar w:fldCharType="begin"/>
          </w:r>
          <w:r>
            <w:instrText xml:space="preserve"> PAGEREF _Toc107238571 \h </w:instrText>
          </w:r>
          <w:r>
            <w:rPr>
              <w:rFonts w:hint="eastAsia"/>
            </w:rPr>
            <w:fldChar w:fldCharType="separate"/>
          </w:r>
          <w:r>
            <w:rPr>
              <w:rFonts w:hint="eastAsia"/>
            </w:rPr>
            <w:t>2</w:t>
          </w:r>
          <w:r>
            <w:fldChar w:fldCharType="end"/>
          </w:r>
          <w:r>
            <w:fldChar w:fldCharType="end"/>
          </w:r>
        </w:p>
        <w:p w14:paraId="7670116A">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"_Toc107238572" </w:instrText>
          </w:r>
          <w:r>
            <w:fldChar w:fldCharType="separate"/>
          </w:r>
          <w:r>
            <w:rPr>
              <w:rStyle w:val="23"/>
              <w:rFonts w:ascii="Calibri" w:hAnsi="Calibri" w:cs="Calibri"/>
            </w:rPr>
            <w:t>3</w:t>
          </w:r>
          <w:r>
            <w:rPr>
              <w:rFonts w:asciiTheme="minorHAnsi" w:hAnsiTheme="minorHAnsi" w:cstheme="minorBidi"/>
              <w:color w:val="auto"/>
              <w:kern w:val="2"/>
              <w:sz w:val="21"/>
              <w:szCs w:val="24"/>
              <w:lang w:eastAsia="zh-CN"/>
            </w:rPr>
            <w:tab/>
          </w:r>
          <w:r>
            <w:rPr>
              <w:rStyle w:val="23"/>
              <w:rFonts w:ascii="Calibri" w:hAnsi="Calibri" w:cs="Calibri"/>
            </w:rPr>
            <w:t>Abbreviations and Definitions</w:t>
          </w:r>
          <w:r>
            <w:tab/>
          </w:r>
          <w:r>
            <w:fldChar w:fldCharType="begin"/>
          </w:r>
          <w:r>
            <w:instrText xml:space="preserve"> PAGEREF _Toc107238572 \h </w:instrText>
          </w:r>
          <w:r>
            <w:rPr>
              <w:rFonts w:hint="eastAsia"/>
            </w:rPr>
            <w:fldChar w:fldCharType="separate"/>
          </w:r>
          <w:r>
            <w:rPr>
              <w:rFonts w:hint="eastAsia"/>
            </w:rPr>
            <w:t>4</w:t>
          </w:r>
          <w:r>
            <w:fldChar w:fldCharType="end"/>
          </w:r>
          <w:r>
            <w:fldChar w:fldCharType="end"/>
          </w:r>
        </w:p>
        <w:p w14:paraId="4459170E">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"_Toc107238573" </w:instrText>
          </w:r>
          <w:r>
            <w:fldChar w:fldCharType="separate"/>
          </w:r>
          <w:r>
            <w:rPr>
              <w:rStyle w:val="23"/>
              <w:rFonts w:ascii="Calibri" w:hAnsi="Calibri" w:cs="Calibri"/>
            </w:rPr>
            <w:t>4</w:t>
          </w:r>
          <w:r>
            <w:rPr>
              <w:rFonts w:asciiTheme="minorHAnsi" w:hAnsiTheme="minorHAnsi" w:cstheme="minorBidi"/>
              <w:color w:val="auto"/>
              <w:kern w:val="2"/>
              <w:sz w:val="21"/>
              <w:szCs w:val="24"/>
              <w:lang w:eastAsia="zh-CN"/>
            </w:rPr>
            <w:tab/>
          </w:r>
          <w:r>
            <w:rPr>
              <w:rStyle w:val="23"/>
              <w:rFonts w:ascii="Calibri" w:hAnsi="Calibri" w:cs="Calibri"/>
            </w:rPr>
            <w:t>Introduction</w:t>
          </w:r>
          <w:r>
            <w:tab/>
          </w:r>
          <w:r>
            <w:fldChar w:fldCharType="begin"/>
          </w:r>
          <w:r>
            <w:instrText xml:space="preserve"> PAGEREF _Toc107238573 \h </w:instrText>
          </w:r>
          <w:r>
            <w:rPr>
              <w:rFonts w:hint="eastAsia"/>
            </w:rPr>
            <w:fldChar w:fldCharType="separate"/>
          </w:r>
          <w:r>
            <w:rPr>
              <w:rFonts w:hint="eastAsia"/>
            </w:rPr>
            <w:t>5</w:t>
          </w:r>
          <w:r>
            <w:fldChar w:fldCharType="end"/>
          </w:r>
          <w:r>
            <w:fldChar w:fldCharType="end"/>
          </w:r>
        </w:p>
        <w:p w14:paraId="28D63E31">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"_Toc107238574" </w:instrText>
          </w:r>
          <w:r>
            <w:fldChar w:fldCharType="separate"/>
          </w:r>
          <w:r>
            <w:rPr>
              <w:rStyle w:val="23"/>
              <w:rFonts w:ascii="Calibri" w:hAnsi="Calibri" w:cs="Calibri"/>
            </w:rPr>
            <w:t>4.1</w:t>
          </w:r>
          <w:r>
            <w:rPr>
              <w:rFonts w:asciiTheme="minorHAnsi" w:hAnsiTheme="minorHAnsi" w:cstheme="minorBidi"/>
              <w:color w:val="auto"/>
              <w:kern w:val="2"/>
              <w:sz w:val="21"/>
              <w:szCs w:val="24"/>
              <w:lang w:eastAsia="zh-CN"/>
            </w:rPr>
            <w:tab/>
          </w:r>
          <w:r>
            <w:rPr>
              <w:rStyle w:val="23"/>
              <w:rFonts w:ascii="Calibri" w:hAnsi="Calibri" w:cs="Calibri"/>
            </w:rPr>
            <w:t>Preface</w:t>
          </w:r>
          <w:r>
            <w:tab/>
          </w:r>
          <w:r>
            <w:fldChar w:fldCharType="begin"/>
          </w:r>
          <w:r>
            <w:instrText xml:space="preserve"> PAGEREF _Toc107238574 \h </w:instrText>
          </w:r>
          <w:r>
            <w:rPr>
              <w:rFonts w:hint="eastAsia"/>
            </w:rPr>
            <w:fldChar w:fldCharType="separate"/>
          </w:r>
          <w:r>
            <w:rPr>
              <w:rFonts w:hint="eastAsia"/>
            </w:rPr>
            <w:t>5</w:t>
          </w:r>
          <w:r>
            <w:fldChar w:fldCharType="end"/>
          </w:r>
          <w:r>
            <w:fldChar w:fldCharType="end"/>
          </w:r>
        </w:p>
        <w:p w14:paraId="3E1CA9EE">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"_Toc107238575" </w:instrText>
          </w:r>
          <w:r>
            <w:fldChar w:fldCharType="separate"/>
          </w:r>
          <w:r>
            <w:rPr>
              <w:rStyle w:val="23"/>
              <w:rFonts w:ascii="Calibri" w:hAnsi="Calibri" w:cs="Calibri"/>
            </w:rPr>
            <w:t>4.2</w:t>
          </w:r>
          <w:r>
            <w:rPr>
              <w:rFonts w:asciiTheme="minorHAnsi" w:hAnsiTheme="minorHAnsi" w:cstheme="minorBidi"/>
              <w:color w:val="auto"/>
              <w:kern w:val="2"/>
              <w:sz w:val="21"/>
              <w:szCs w:val="24"/>
              <w:lang w:eastAsia="zh-CN"/>
            </w:rPr>
            <w:tab/>
          </w:r>
          <w:r>
            <w:rPr>
              <w:rStyle w:val="23"/>
              <w:rFonts w:ascii="Calibri" w:hAnsi="Calibri" w:cs="Calibri"/>
            </w:rPr>
            <w:t>Scope of the analyses</w:t>
          </w:r>
          <w:r>
            <w:tab/>
          </w:r>
          <w:r>
            <w:fldChar w:fldCharType="begin"/>
          </w:r>
          <w:r>
            <w:instrText xml:space="preserve"> PAGEREF _Toc107238575 \h </w:instrText>
          </w:r>
          <w:r>
            <w:rPr>
              <w:rFonts w:hint="eastAsia"/>
            </w:rPr>
            <w:fldChar w:fldCharType="separate"/>
          </w:r>
          <w:r>
            <w:rPr>
              <w:rFonts w:hint="eastAsia"/>
            </w:rPr>
            <w:t>5</w:t>
          </w:r>
          <w:r>
            <w:fldChar w:fldCharType="end"/>
          </w:r>
          <w:r>
            <w:fldChar w:fldCharType="end"/>
          </w:r>
        </w:p>
        <w:p w14:paraId="6CAFD7EA">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"_Toc107238576" </w:instrText>
          </w:r>
          <w:r>
            <w:fldChar w:fldCharType="separate"/>
          </w:r>
          <w:r>
            <w:rPr>
              <w:rStyle w:val="23"/>
              <w:rFonts w:ascii="Calibri" w:hAnsi="Calibri" w:cs="Calibri"/>
            </w:rPr>
            <w:t>5</w:t>
          </w:r>
          <w:r>
            <w:rPr>
              <w:rFonts w:asciiTheme="minorHAnsi" w:hAnsiTheme="minorHAnsi" w:cstheme="minorBidi"/>
              <w:color w:val="auto"/>
              <w:kern w:val="2"/>
              <w:sz w:val="21"/>
              <w:szCs w:val="24"/>
              <w:lang w:eastAsia="zh-CN"/>
            </w:rPr>
            <w:tab/>
          </w:r>
          <w:r>
            <w:rPr>
              <w:rStyle w:val="23"/>
              <w:rFonts w:ascii="Calibri" w:hAnsi="Calibri" w:cs="Calibri"/>
            </w:rPr>
            <w:t>Study Objectives</w:t>
          </w:r>
          <w:r>
            <w:tab/>
          </w:r>
          <w:r>
            <w:fldChar w:fldCharType="begin"/>
          </w:r>
          <w:r>
            <w:instrText xml:space="preserve"> PAGEREF _Toc107238576 \h </w:instrText>
          </w:r>
          <w:r>
            <w:rPr>
              <w:rFonts w:hint="eastAsia"/>
            </w:rPr>
            <w:fldChar w:fldCharType="separate"/>
          </w:r>
          <w:r>
            <w:rPr>
              <w:rFonts w:hint="eastAsia"/>
            </w:rPr>
            <w:t>5</w:t>
          </w:r>
          <w:r>
            <w:fldChar w:fldCharType="end"/>
          </w:r>
          <w:r>
            <w:fldChar w:fldCharType="end"/>
          </w:r>
        </w:p>
        <w:p w14:paraId="30FB1EA6">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"_Toc107238577" </w:instrText>
          </w:r>
          <w:r>
            <w:fldChar w:fldCharType="separate"/>
          </w:r>
          <w:r>
            <w:rPr>
              <w:rStyle w:val="23"/>
              <w:rFonts w:ascii="Calibri" w:hAnsi="Calibri" w:cs="Calibri"/>
            </w:rPr>
            <w:t>5.1</w:t>
          </w:r>
          <w:r>
            <w:rPr>
              <w:rFonts w:asciiTheme="minorHAnsi" w:hAnsiTheme="minorHAnsi" w:cstheme="minorBidi"/>
              <w:color w:val="auto"/>
              <w:kern w:val="2"/>
              <w:sz w:val="21"/>
              <w:szCs w:val="24"/>
              <w:lang w:eastAsia="zh-CN"/>
            </w:rPr>
            <w:tab/>
          </w:r>
          <w:r>
            <w:rPr>
              <w:rStyle w:val="23"/>
              <w:rFonts w:ascii="Calibri" w:hAnsi="Calibri" w:cs="Calibri"/>
            </w:rPr>
            <w:t>Study Objectives</w:t>
          </w:r>
          <w:r>
            <w:tab/>
          </w:r>
          <w:r>
            <w:fldChar w:fldCharType="begin"/>
          </w:r>
          <w:r>
            <w:instrText xml:space="preserve"> PAGEREF _Toc107238577 \h </w:instrText>
          </w:r>
          <w:r>
            <w:rPr>
              <w:rFonts w:hint="eastAsia"/>
            </w:rPr>
            <w:fldChar w:fldCharType="separate"/>
          </w:r>
          <w:r>
            <w:rPr>
              <w:rFonts w:hint="eastAsia"/>
            </w:rPr>
            <w:t>5</w:t>
          </w:r>
          <w:r>
            <w:fldChar w:fldCharType="end"/>
          </w:r>
          <w:r>
            <w:fldChar w:fldCharType="end"/>
          </w:r>
        </w:p>
        <w:p w14:paraId="2CD39CD9">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"_Toc107238578" </w:instrText>
          </w:r>
          <w:r>
            <w:fldChar w:fldCharType="separate"/>
          </w:r>
          <w:r>
            <w:rPr>
              <w:rStyle w:val="23"/>
              <w:rFonts w:ascii="Calibri" w:hAnsi="Calibri" w:cs="Calibri"/>
            </w:rPr>
            <w:t>6</w:t>
          </w:r>
          <w:r>
            <w:rPr>
              <w:rFonts w:asciiTheme="minorHAnsi" w:hAnsiTheme="minorHAnsi" w:cstheme="minorBidi"/>
              <w:color w:val="auto"/>
              <w:kern w:val="2"/>
              <w:sz w:val="21"/>
              <w:szCs w:val="24"/>
              <w:lang w:eastAsia="zh-CN"/>
            </w:rPr>
            <w:tab/>
          </w:r>
          <w:r>
            <w:rPr>
              <w:rStyle w:val="23"/>
              <w:rFonts w:ascii="Calibri" w:hAnsi="Calibri" w:cs="Calibri"/>
            </w:rPr>
            <w:t>Study Methods</w:t>
          </w:r>
          <w:r>
            <w:tab/>
          </w:r>
          <w:r>
            <w:fldChar w:fldCharType="begin"/>
          </w:r>
          <w:r>
            <w:instrText xml:space="preserve"> PAGEREF _Toc107238578 \h </w:instrText>
          </w:r>
          <w:r>
            <w:rPr>
              <w:rFonts w:hint="eastAsia"/>
            </w:rPr>
            <w:fldChar w:fldCharType="separate"/>
          </w:r>
          <w:r>
            <w:rPr>
              <w:rFonts w:hint="eastAsia"/>
            </w:rPr>
            <w:t>5</w:t>
          </w:r>
          <w:r>
            <w:fldChar w:fldCharType="end"/>
          </w:r>
          <w:r>
            <w:fldChar w:fldCharType="end"/>
          </w:r>
        </w:p>
        <w:p w14:paraId="4D3502CE">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"_Toc107238579" </w:instrText>
          </w:r>
          <w:r>
            <w:fldChar w:fldCharType="separate"/>
          </w:r>
          <w:r>
            <w:rPr>
              <w:rStyle w:val="23"/>
              <w:rFonts w:ascii="Calibri" w:hAnsi="Calibri" w:cs="Calibri"/>
            </w:rPr>
            <w:t>6.1</w:t>
          </w:r>
          <w:r>
            <w:rPr>
              <w:rFonts w:asciiTheme="minorHAnsi" w:hAnsiTheme="minorHAnsi" w:cstheme="minorBidi"/>
              <w:color w:val="auto"/>
              <w:kern w:val="2"/>
              <w:sz w:val="21"/>
              <w:szCs w:val="24"/>
              <w:lang w:eastAsia="zh-CN"/>
            </w:rPr>
            <w:tab/>
          </w:r>
          <w:r>
            <w:rPr>
              <w:rStyle w:val="23"/>
              <w:rFonts w:ascii="Calibri" w:hAnsi="Calibri" w:cs="Calibri"/>
            </w:rPr>
            <w:t>General Study Design and Plan</w:t>
          </w:r>
          <w:r>
            <w:tab/>
          </w:r>
          <w:r>
            <w:fldChar w:fldCharType="begin"/>
          </w:r>
          <w:r>
            <w:instrText xml:space="preserve"> PAGEREF _Toc107238579 \h </w:instrText>
          </w:r>
          <w:r>
            <w:rPr>
              <w:rFonts w:hint="eastAsia"/>
            </w:rPr>
            <w:fldChar w:fldCharType="separate"/>
          </w:r>
          <w:r>
            <w:rPr>
              <w:rFonts w:hint="eastAsia"/>
            </w:rPr>
            <w:t>5</w:t>
          </w:r>
          <w:r>
            <w:fldChar w:fldCharType="end"/>
          </w:r>
          <w:r>
            <w:fldChar w:fldCharType="end"/>
          </w:r>
        </w:p>
        <w:p w14:paraId="05B967BD">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"_Toc107238580" </w:instrText>
          </w:r>
          <w:r>
            <w:fldChar w:fldCharType="separate"/>
          </w:r>
          <w:r>
            <w:rPr>
              <w:rStyle w:val="23"/>
              <w:rFonts w:ascii="Calibri" w:hAnsi="Calibri" w:cs="Calibri"/>
            </w:rPr>
            <w:t>6.2</w:t>
          </w:r>
          <w:r>
            <w:rPr>
              <w:rFonts w:asciiTheme="minorHAnsi" w:hAnsiTheme="minorHAnsi" w:cstheme="minorBidi"/>
              <w:color w:val="auto"/>
              <w:kern w:val="2"/>
              <w:sz w:val="21"/>
              <w:szCs w:val="24"/>
              <w:lang w:eastAsia="zh-CN"/>
            </w:rPr>
            <w:tab/>
          </w:r>
          <w:r>
            <w:rPr>
              <w:rStyle w:val="23"/>
              <w:rFonts w:ascii="Calibri" w:hAnsi="Calibri" w:cs="Calibri"/>
            </w:rPr>
            <w:t>Inclusion-Exclusion Criteria and General Study Population</w:t>
          </w:r>
          <w:r>
            <w:tab/>
          </w:r>
          <w:r>
            <w:fldChar w:fldCharType="begin"/>
          </w:r>
          <w:r>
            <w:instrText xml:space="preserve"> PAGEREF _Toc107238580 \h </w:instrText>
          </w:r>
          <w:r>
            <w:rPr>
              <w:rFonts w:hint="eastAsia"/>
            </w:rPr>
            <w:fldChar w:fldCharType="separate"/>
          </w:r>
          <w:r>
            <w:rPr>
              <w:rFonts w:hint="eastAsia"/>
            </w:rPr>
            <w:t>6</w:t>
          </w:r>
          <w:r>
            <w:fldChar w:fldCharType="end"/>
          </w:r>
          <w:r>
            <w:fldChar w:fldCharType="end"/>
          </w:r>
        </w:p>
        <w:p w14:paraId="34CD7B67">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"_Toc107238581" </w:instrText>
          </w:r>
          <w:r>
            <w:fldChar w:fldCharType="separate"/>
          </w:r>
          <w:r>
            <w:rPr>
              <w:rStyle w:val="23"/>
              <w:rFonts w:ascii="Calibri" w:hAnsi="Calibri" w:cs="Calibri"/>
            </w:rPr>
            <w:t>6.3</w:t>
          </w:r>
          <w:r>
            <w:rPr>
              <w:rFonts w:asciiTheme="minorHAnsi" w:hAnsiTheme="minorHAnsi" w:cstheme="minorBidi"/>
              <w:color w:val="auto"/>
              <w:kern w:val="2"/>
              <w:sz w:val="21"/>
              <w:szCs w:val="24"/>
              <w:lang w:eastAsia="zh-CN"/>
            </w:rPr>
            <w:tab/>
          </w:r>
          <w:r>
            <w:rPr>
              <w:rStyle w:val="23"/>
              <w:rFonts w:ascii="Calibri" w:hAnsi="Calibri" w:cs="Calibri"/>
            </w:rPr>
            <w:t>Randomization and Blinding</w:t>
          </w:r>
          <w:r>
            <w:tab/>
          </w:r>
          <w:r>
            <w:fldChar w:fldCharType="begin"/>
          </w:r>
          <w:r>
            <w:instrText xml:space="preserve"> PAGEREF _Toc107238581 \h </w:instrText>
          </w:r>
          <w:r>
            <w:rPr>
              <w:rFonts w:hint="eastAsia"/>
            </w:rPr>
            <w:fldChar w:fldCharType="separate"/>
          </w:r>
          <w:r>
            <w:rPr>
              <w:rFonts w:hint="eastAsia"/>
            </w:rPr>
            <w:t>6</w:t>
          </w:r>
          <w:r>
            <w:fldChar w:fldCharType="end"/>
          </w:r>
          <w:r>
            <w:fldChar w:fldCharType="end"/>
          </w:r>
        </w:p>
        <w:p w14:paraId="4A03EBAB">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"_Toc107238582" </w:instrText>
          </w:r>
          <w:r>
            <w:fldChar w:fldCharType="separate"/>
          </w:r>
          <w:r>
            <w:rPr>
              <w:rStyle w:val="23"/>
              <w:rFonts w:ascii="Calibri" w:hAnsi="Calibri" w:cs="Calibri"/>
            </w:rPr>
            <w:t>6.4</w:t>
          </w:r>
          <w:r>
            <w:rPr>
              <w:rFonts w:asciiTheme="minorHAnsi" w:hAnsiTheme="minorHAnsi" w:cstheme="minorBidi"/>
              <w:color w:val="auto"/>
              <w:kern w:val="2"/>
              <w:sz w:val="21"/>
              <w:szCs w:val="24"/>
              <w:lang w:eastAsia="zh-CN"/>
            </w:rPr>
            <w:tab/>
          </w:r>
          <w:r>
            <w:rPr>
              <w:rStyle w:val="23"/>
              <w:rFonts w:ascii="Calibri" w:hAnsi="Calibri" w:cs="Calibri"/>
            </w:rPr>
            <w:t>Study Assessments</w:t>
          </w:r>
          <w:r>
            <w:tab/>
          </w:r>
          <w:r>
            <w:fldChar w:fldCharType="begin"/>
          </w:r>
          <w:r>
            <w:instrText xml:space="preserve"> PAGEREF _Toc107238582 \h </w:instrText>
          </w:r>
          <w:r>
            <w:rPr>
              <w:rFonts w:hint="eastAsia"/>
            </w:rPr>
            <w:fldChar w:fldCharType="separate"/>
          </w:r>
          <w:r>
            <w:rPr>
              <w:rFonts w:hint="eastAsia"/>
            </w:rPr>
            <w:t>6</w:t>
          </w:r>
          <w:r>
            <w:fldChar w:fldCharType="end"/>
          </w:r>
          <w:r>
            <w:fldChar w:fldCharType="end"/>
          </w:r>
        </w:p>
        <w:p w14:paraId="1374E361">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"_Toc107238583" </w:instrText>
          </w:r>
          <w:r>
            <w:fldChar w:fldCharType="separate"/>
          </w:r>
          <w:r>
            <w:rPr>
              <w:rStyle w:val="23"/>
              <w:rFonts w:ascii="Calibri" w:hAnsi="Calibri" w:cs="Calibri"/>
            </w:rPr>
            <w:t>7</w:t>
          </w:r>
          <w:r>
            <w:rPr>
              <w:rFonts w:asciiTheme="minorHAnsi" w:hAnsiTheme="minorHAnsi" w:cstheme="minorBidi"/>
              <w:color w:val="auto"/>
              <w:kern w:val="2"/>
              <w:sz w:val="21"/>
              <w:szCs w:val="24"/>
              <w:lang w:eastAsia="zh-CN"/>
            </w:rPr>
            <w:tab/>
          </w:r>
          <w:r>
            <w:rPr>
              <w:rStyle w:val="23"/>
              <w:rFonts w:ascii="Calibri" w:hAnsi="Calibri" w:cs="Calibri"/>
            </w:rPr>
            <w:t>Sample Size</w:t>
          </w:r>
          <w:r>
            <w:tab/>
          </w:r>
          <w:r>
            <w:fldChar w:fldCharType="begin"/>
          </w:r>
          <w:r>
            <w:instrText xml:space="preserve"> PAGEREF _Toc107238583 \h </w:instrText>
          </w:r>
          <w:r>
            <w:rPr>
              <w:rFonts w:hint="eastAsia"/>
            </w:rPr>
            <w:fldChar w:fldCharType="separate"/>
          </w:r>
          <w:r>
            <w:rPr>
              <w:rFonts w:hint="eastAsia"/>
            </w:rPr>
            <w:t>7</w:t>
          </w:r>
          <w:r>
            <w:fldChar w:fldCharType="end"/>
          </w:r>
          <w:r>
            <w:fldChar w:fldCharType="end"/>
          </w:r>
        </w:p>
        <w:p w14:paraId="0643B511">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"_Toc107238584" </w:instrText>
          </w:r>
          <w:r>
            <w:fldChar w:fldCharType="separate"/>
          </w:r>
          <w:r>
            <w:rPr>
              <w:rStyle w:val="23"/>
              <w:rFonts w:ascii="Calibri" w:hAnsi="Calibri" w:cs="Calibri"/>
            </w:rPr>
            <w:t>8</w:t>
          </w:r>
          <w:r>
            <w:rPr>
              <w:rFonts w:asciiTheme="minorHAnsi" w:hAnsiTheme="minorHAnsi" w:cstheme="minorBidi"/>
              <w:color w:val="auto"/>
              <w:kern w:val="2"/>
              <w:sz w:val="21"/>
              <w:szCs w:val="24"/>
              <w:lang w:eastAsia="zh-CN"/>
            </w:rPr>
            <w:tab/>
          </w:r>
          <w:r>
            <w:rPr>
              <w:rStyle w:val="23"/>
              <w:rFonts w:ascii="Calibri" w:hAnsi="Calibri" w:cs="Calibri"/>
            </w:rPr>
            <w:t>General Analysis Considerations</w:t>
          </w:r>
          <w:r>
            <w:tab/>
          </w:r>
          <w:r>
            <w:fldChar w:fldCharType="begin"/>
          </w:r>
          <w:r>
            <w:instrText xml:space="preserve"> PAGEREF _Toc107238584 \h </w:instrText>
          </w:r>
          <w:r>
            <w:rPr>
              <w:rFonts w:hint="eastAsia"/>
            </w:rPr>
            <w:fldChar w:fldCharType="separate"/>
          </w:r>
          <w:r>
            <w:rPr>
              <w:rFonts w:hint="eastAsia"/>
            </w:rPr>
            <w:t>7</w:t>
          </w:r>
          <w:r>
            <w:fldChar w:fldCharType="end"/>
          </w:r>
          <w:r>
            <w:fldChar w:fldCharType="end"/>
          </w:r>
        </w:p>
        <w:p w14:paraId="6E8602D2">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"_Toc107238585" </w:instrText>
          </w:r>
          <w:r>
            <w:fldChar w:fldCharType="separate"/>
          </w:r>
          <w:r>
            <w:rPr>
              <w:rStyle w:val="23"/>
              <w:rFonts w:ascii="Calibri" w:hAnsi="Calibri" w:cs="Calibri"/>
            </w:rPr>
            <w:t>8.1</w:t>
          </w:r>
          <w:r>
            <w:rPr>
              <w:rFonts w:asciiTheme="minorHAnsi" w:hAnsiTheme="minorHAnsi" w:cstheme="minorBidi"/>
              <w:color w:val="auto"/>
              <w:kern w:val="2"/>
              <w:sz w:val="21"/>
              <w:szCs w:val="24"/>
              <w:lang w:eastAsia="zh-CN"/>
            </w:rPr>
            <w:tab/>
          </w:r>
          <w:r>
            <w:rPr>
              <w:rStyle w:val="23"/>
              <w:rFonts w:ascii="Calibri" w:hAnsi="Calibri" w:cs="Calibri"/>
            </w:rPr>
            <w:t>Timing of Analyses</w:t>
          </w:r>
          <w:r>
            <w:tab/>
          </w:r>
          <w:r>
            <w:fldChar w:fldCharType="begin"/>
          </w:r>
          <w:r>
            <w:instrText xml:space="preserve"> PAGEREF _Toc107238585 \h </w:instrText>
          </w:r>
          <w:r>
            <w:rPr>
              <w:rFonts w:hint="eastAsia"/>
            </w:rPr>
            <w:fldChar w:fldCharType="separate"/>
          </w:r>
          <w:r>
            <w:rPr>
              <w:rFonts w:hint="eastAsia"/>
            </w:rPr>
            <w:t>7</w:t>
          </w:r>
          <w:r>
            <w:fldChar w:fldCharType="end"/>
          </w:r>
          <w:r>
            <w:fldChar w:fldCharType="end"/>
          </w:r>
        </w:p>
        <w:p w14:paraId="26273497">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"_Toc107238586" </w:instrText>
          </w:r>
          <w:r>
            <w:fldChar w:fldCharType="separate"/>
          </w:r>
          <w:r>
            <w:rPr>
              <w:rStyle w:val="23"/>
              <w:rFonts w:ascii="Calibri" w:hAnsi="Calibri" w:cs="Calibri"/>
            </w:rPr>
            <w:t>8.2</w:t>
          </w:r>
          <w:r>
            <w:rPr>
              <w:rFonts w:asciiTheme="minorHAnsi" w:hAnsiTheme="minorHAnsi" w:cstheme="minorBidi"/>
              <w:color w:val="auto"/>
              <w:kern w:val="2"/>
              <w:sz w:val="21"/>
              <w:szCs w:val="24"/>
              <w:lang w:eastAsia="zh-CN"/>
            </w:rPr>
            <w:tab/>
          </w:r>
          <w:r>
            <w:rPr>
              <w:rStyle w:val="23"/>
              <w:rFonts w:ascii="Calibri" w:hAnsi="Calibri" w:cs="Calibri"/>
            </w:rPr>
            <w:t>Analysis Populations</w:t>
          </w:r>
          <w:r>
            <w:tab/>
          </w:r>
          <w:r>
            <w:fldChar w:fldCharType="begin"/>
          </w:r>
          <w:r>
            <w:instrText xml:space="preserve"> PAGEREF _Toc107238586 \h </w:instrText>
          </w:r>
          <w:r>
            <w:rPr>
              <w:rFonts w:hint="eastAsia"/>
            </w:rPr>
            <w:fldChar w:fldCharType="separate"/>
          </w:r>
          <w:r>
            <w:rPr>
              <w:rFonts w:hint="eastAsia"/>
            </w:rPr>
            <w:t>8</w:t>
          </w:r>
          <w:r>
            <w:fldChar w:fldCharType="end"/>
          </w:r>
          <w:r>
            <w:fldChar w:fldCharType="end"/>
          </w:r>
        </w:p>
        <w:p w14:paraId="491959E6">
          <w:pPr>
            <w:pStyle w:val="9"/>
            <w:tabs>
              <w:tab w:val="left" w:pos="1260"/>
              <w:tab w:val="right" w:pos="9016"/>
            </w:tabs>
            <w:rPr>
              <w:rFonts w:asciiTheme="minorHAnsi" w:hAnsiTheme="minorHAnsi" w:cstheme="minorBidi"/>
              <w:color w:val="auto"/>
              <w:kern w:val="2"/>
              <w:sz w:val="21"/>
              <w:szCs w:val="24"/>
              <w:lang w:eastAsia="zh-CN"/>
            </w:rPr>
          </w:pPr>
          <w:r>
            <w:fldChar w:fldCharType="begin"/>
          </w:r>
          <w:r>
            <w:instrText xml:space="preserve"> HYPERLINK \l "_Toc107238587" </w:instrText>
          </w:r>
          <w:r>
            <w:fldChar w:fldCharType="separate"/>
          </w:r>
          <w:r>
            <w:rPr>
              <w:rStyle w:val="23"/>
              <w:rFonts w:ascii="Calibri" w:hAnsi="Calibri" w:cs="Calibri"/>
            </w:rPr>
            <w:t>8.2.2</w:t>
          </w:r>
          <w:r>
            <w:rPr>
              <w:rFonts w:asciiTheme="minorHAnsi" w:hAnsiTheme="minorHAnsi" w:cstheme="minorBidi"/>
              <w:color w:val="auto"/>
              <w:kern w:val="2"/>
              <w:sz w:val="21"/>
              <w:szCs w:val="24"/>
              <w:lang w:eastAsia="zh-CN"/>
            </w:rPr>
            <w:tab/>
          </w:r>
          <w:r>
            <w:rPr>
              <w:rStyle w:val="23"/>
              <w:rFonts w:ascii="Calibri" w:hAnsi="Calibri" w:cs="Calibri"/>
            </w:rPr>
            <w:t>Per Protocol Population (PPP)</w:t>
          </w:r>
          <w:r>
            <w:tab/>
          </w:r>
          <w:r>
            <w:fldChar w:fldCharType="begin"/>
          </w:r>
          <w:r>
            <w:instrText xml:space="preserve"> PAGEREF _Toc107238587 \h </w:instrText>
          </w:r>
          <w:r>
            <w:rPr>
              <w:rFonts w:hint="eastAsia"/>
            </w:rPr>
            <w:fldChar w:fldCharType="separate"/>
          </w:r>
          <w:r>
            <w:rPr>
              <w:rFonts w:hint="eastAsia"/>
            </w:rPr>
            <w:t>8</w:t>
          </w:r>
          <w:r>
            <w:fldChar w:fldCharType="end"/>
          </w:r>
          <w:r>
            <w:fldChar w:fldCharType="end"/>
          </w:r>
        </w:p>
        <w:p w14:paraId="6C9AAC9C">
          <w:pPr>
            <w:pStyle w:val="9"/>
            <w:tabs>
              <w:tab w:val="left" w:pos="1260"/>
              <w:tab w:val="right" w:pos="9016"/>
            </w:tabs>
            <w:rPr>
              <w:rFonts w:asciiTheme="minorHAnsi" w:hAnsiTheme="minorHAnsi" w:cstheme="minorBidi"/>
              <w:color w:val="auto"/>
              <w:kern w:val="2"/>
              <w:sz w:val="21"/>
              <w:szCs w:val="24"/>
              <w:lang w:eastAsia="zh-CN"/>
            </w:rPr>
          </w:pPr>
          <w:r>
            <w:fldChar w:fldCharType="begin"/>
          </w:r>
          <w:r>
            <w:instrText xml:space="preserve"> HYPERLINK \l "_Toc107238588" </w:instrText>
          </w:r>
          <w:r>
            <w:fldChar w:fldCharType="separate"/>
          </w:r>
          <w:r>
            <w:rPr>
              <w:rStyle w:val="23"/>
              <w:rFonts w:ascii="Calibri" w:hAnsi="Calibri" w:cs="Calibri"/>
            </w:rPr>
            <w:t>8.2.3</w:t>
          </w:r>
          <w:r>
            <w:rPr>
              <w:rFonts w:asciiTheme="minorHAnsi" w:hAnsiTheme="minorHAnsi" w:cstheme="minorBidi"/>
              <w:color w:val="auto"/>
              <w:kern w:val="2"/>
              <w:sz w:val="21"/>
              <w:szCs w:val="24"/>
              <w:lang w:eastAsia="zh-CN"/>
            </w:rPr>
            <w:tab/>
          </w:r>
          <w:r>
            <w:rPr>
              <w:rStyle w:val="23"/>
              <w:rFonts w:ascii="Calibri" w:hAnsi="Calibri" w:cs="Calibri"/>
            </w:rPr>
            <w:t>Safety Population</w:t>
          </w:r>
          <w:r>
            <w:tab/>
          </w:r>
          <w:r>
            <w:fldChar w:fldCharType="begin"/>
          </w:r>
          <w:r>
            <w:instrText xml:space="preserve"> PAGEREF _Toc107238588 \h </w:instrText>
          </w:r>
          <w:r>
            <w:rPr>
              <w:rFonts w:hint="eastAsia"/>
            </w:rPr>
            <w:fldChar w:fldCharType="separate"/>
          </w:r>
          <w:r>
            <w:rPr>
              <w:rFonts w:hint="eastAsia"/>
            </w:rPr>
            <w:t>8</w:t>
          </w:r>
          <w:r>
            <w:fldChar w:fldCharType="end"/>
          </w:r>
          <w:r>
            <w:fldChar w:fldCharType="end"/>
          </w:r>
        </w:p>
        <w:p w14:paraId="04DCD7A2">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"_Toc107238589" </w:instrText>
          </w:r>
          <w:r>
            <w:fldChar w:fldCharType="separate"/>
          </w:r>
          <w:r>
            <w:rPr>
              <w:rStyle w:val="23"/>
              <w:rFonts w:ascii="Calibri" w:hAnsi="Calibri" w:cs="Calibri"/>
            </w:rPr>
            <w:t>8.3</w:t>
          </w:r>
          <w:r>
            <w:rPr>
              <w:rFonts w:asciiTheme="minorHAnsi" w:hAnsiTheme="minorHAnsi" w:cstheme="minorBidi"/>
              <w:color w:val="auto"/>
              <w:kern w:val="2"/>
              <w:sz w:val="21"/>
              <w:szCs w:val="24"/>
              <w:lang w:eastAsia="zh-CN"/>
            </w:rPr>
            <w:tab/>
          </w:r>
          <w:r>
            <w:rPr>
              <w:rStyle w:val="23"/>
              <w:rFonts w:ascii="Calibri" w:hAnsi="Calibri" w:cs="Calibri"/>
            </w:rPr>
            <w:t xml:space="preserve">Subgroup </w:t>
          </w:r>
          <w:r>
            <w:rPr>
              <w:rStyle w:val="23"/>
              <w:rFonts w:ascii="Calibri" w:hAnsi="Calibri" w:cs="Calibri"/>
              <w:lang w:eastAsia="zh-CN"/>
            </w:rPr>
            <w:t>analysis</w:t>
          </w:r>
          <w:r>
            <w:tab/>
          </w:r>
          <w:r>
            <w:fldChar w:fldCharType="begin"/>
          </w:r>
          <w:r>
            <w:instrText xml:space="preserve"> PAGEREF _Toc107238589 \h </w:instrText>
          </w:r>
          <w:r>
            <w:rPr>
              <w:rFonts w:hint="eastAsia"/>
            </w:rPr>
            <w:fldChar w:fldCharType="separate"/>
          </w:r>
          <w:r>
            <w:rPr>
              <w:rFonts w:hint="eastAsia"/>
            </w:rPr>
            <w:t>8</w:t>
          </w:r>
          <w:r>
            <w:fldChar w:fldCharType="end"/>
          </w:r>
          <w:r>
            <w:fldChar w:fldCharType="end"/>
          </w:r>
        </w:p>
        <w:p w14:paraId="2749182D">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"_Toc107238590" </w:instrText>
          </w:r>
          <w:r>
            <w:fldChar w:fldCharType="separate"/>
          </w:r>
          <w:r>
            <w:rPr>
              <w:rStyle w:val="23"/>
              <w:rFonts w:ascii="Calibri" w:hAnsi="Calibri" w:cs="Calibri"/>
            </w:rPr>
            <w:t>8.4</w:t>
          </w:r>
          <w:r>
            <w:rPr>
              <w:rFonts w:asciiTheme="minorHAnsi" w:hAnsiTheme="minorHAnsi" w:cstheme="minorBidi"/>
              <w:color w:val="auto"/>
              <w:kern w:val="2"/>
              <w:sz w:val="21"/>
              <w:szCs w:val="24"/>
              <w:lang w:eastAsia="zh-CN"/>
            </w:rPr>
            <w:tab/>
          </w:r>
          <w:r>
            <w:rPr>
              <w:rStyle w:val="23"/>
              <w:rFonts w:ascii="Calibri" w:hAnsi="Calibri" w:cs="Calibri"/>
            </w:rPr>
            <w:t>Missing Data</w:t>
          </w:r>
          <w:r>
            <w:tab/>
          </w:r>
          <w:r>
            <w:fldChar w:fldCharType="begin"/>
          </w:r>
          <w:r>
            <w:instrText xml:space="preserve"> PAGEREF _Toc107238590 \h </w:instrText>
          </w:r>
          <w:r>
            <w:rPr>
              <w:rFonts w:hint="eastAsia"/>
            </w:rPr>
            <w:fldChar w:fldCharType="separate"/>
          </w:r>
          <w:r>
            <w:rPr>
              <w:rFonts w:hint="eastAsia"/>
            </w:rPr>
            <w:t>8</w:t>
          </w:r>
          <w:r>
            <w:fldChar w:fldCharType="end"/>
          </w:r>
          <w:r>
            <w:fldChar w:fldCharType="end"/>
          </w:r>
        </w:p>
        <w:p w14:paraId="3A314446">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"_Toc107238591" </w:instrText>
          </w:r>
          <w:r>
            <w:fldChar w:fldCharType="separate"/>
          </w:r>
          <w:r>
            <w:rPr>
              <w:rStyle w:val="23"/>
              <w:rFonts w:ascii="Calibri" w:hAnsi="Calibri" w:cs="Calibri"/>
            </w:rPr>
            <w:t>9</w:t>
          </w:r>
          <w:r>
            <w:rPr>
              <w:rFonts w:asciiTheme="minorHAnsi" w:hAnsiTheme="minorHAnsi" w:cstheme="minorBidi"/>
              <w:color w:val="auto"/>
              <w:kern w:val="2"/>
              <w:sz w:val="21"/>
              <w:szCs w:val="24"/>
              <w:lang w:eastAsia="zh-CN"/>
            </w:rPr>
            <w:tab/>
          </w:r>
          <w:r>
            <w:rPr>
              <w:rStyle w:val="23"/>
              <w:rFonts w:ascii="Calibri" w:hAnsi="Calibri" w:cs="Calibri"/>
            </w:rPr>
            <w:t>Summary of Study Data</w:t>
          </w:r>
          <w:r>
            <w:tab/>
          </w:r>
          <w:r>
            <w:fldChar w:fldCharType="begin"/>
          </w:r>
          <w:r>
            <w:instrText xml:space="preserve"> PAGEREF _Toc107238591 \h </w:instrText>
          </w:r>
          <w:r>
            <w:rPr>
              <w:rFonts w:hint="eastAsia"/>
            </w:rPr>
            <w:fldChar w:fldCharType="separate"/>
          </w:r>
          <w:r>
            <w:rPr>
              <w:rFonts w:hint="eastAsia"/>
            </w:rPr>
            <w:t>8</w:t>
          </w:r>
          <w:r>
            <w:fldChar w:fldCharType="end"/>
          </w:r>
          <w:r>
            <w:fldChar w:fldCharType="end"/>
          </w:r>
        </w:p>
        <w:p w14:paraId="0F1507AD">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"_Toc107238592" </w:instrText>
          </w:r>
          <w:r>
            <w:fldChar w:fldCharType="separate"/>
          </w:r>
          <w:r>
            <w:rPr>
              <w:rStyle w:val="23"/>
              <w:rFonts w:ascii="Calibri" w:hAnsi="Calibri" w:cs="Calibri"/>
            </w:rPr>
            <w:t>9.1</w:t>
          </w:r>
          <w:r>
            <w:rPr>
              <w:rFonts w:asciiTheme="minorHAnsi" w:hAnsiTheme="minorHAnsi" w:cstheme="minorBidi"/>
              <w:color w:val="auto"/>
              <w:kern w:val="2"/>
              <w:sz w:val="21"/>
              <w:szCs w:val="24"/>
              <w:lang w:eastAsia="zh-CN"/>
            </w:rPr>
            <w:tab/>
          </w:r>
          <w:r>
            <w:rPr>
              <w:rStyle w:val="23"/>
              <w:rFonts w:ascii="Calibri" w:hAnsi="Calibri" w:cs="Calibri"/>
            </w:rPr>
            <w:t>Subject Disposition</w:t>
          </w:r>
          <w:r>
            <w:tab/>
          </w:r>
          <w:r>
            <w:fldChar w:fldCharType="begin"/>
          </w:r>
          <w:r>
            <w:instrText xml:space="preserve"> PAGEREF _Toc107238592 \h </w:instrText>
          </w:r>
          <w:r>
            <w:rPr>
              <w:rFonts w:hint="eastAsia"/>
            </w:rPr>
            <w:fldChar w:fldCharType="separate"/>
          </w:r>
          <w:r>
            <w:rPr>
              <w:rFonts w:hint="eastAsia"/>
            </w:rPr>
            <w:t>9</w:t>
          </w:r>
          <w:r>
            <w:fldChar w:fldCharType="end"/>
          </w:r>
          <w:r>
            <w:fldChar w:fldCharType="end"/>
          </w:r>
        </w:p>
        <w:p w14:paraId="34D42DF2">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"_Toc107238593" </w:instrText>
          </w:r>
          <w:r>
            <w:fldChar w:fldCharType="separate"/>
          </w:r>
          <w:r>
            <w:rPr>
              <w:rStyle w:val="23"/>
              <w:rFonts w:ascii="Calibri" w:hAnsi="Calibri" w:cs="Calibri"/>
            </w:rPr>
            <w:t>9.2</w:t>
          </w:r>
          <w:r>
            <w:rPr>
              <w:rFonts w:asciiTheme="minorHAnsi" w:hAnsiTheme="minorHAnsi" w:cstheme="minorBidi"/>
              <w:color w:val="auto"/>
              <w:kern w:val="2"/>
              <w:sz w:val="21"/>
              <w:szCs w:val="24"/>
              <w:lang w:eastAsia="zh-CN"/>
            </w:rPr>
            <w:tab/>
          </w:r>
          <w:r>
            <w:rPr>
              <w:rStyle w:val="23"/>
              <w:rFonts w:ascii="Calibri" w:hAnsi="Calibri" w:cs="Calibri"/>
            </w:rPr>
            <w:t>Protocol Deviations</w:t>
          </w:r>
          <w:r>
            <w:tab/>
          </w:r>
          <w:r>
            <w:fldChar w:fldCharType="begin"/>
          </w:r>
          <w:r>
            <w:instrText xml:space="preserve"> PAGEREF _Toc107238593 \h </w:instrText>
          </w:r>
          <w:r>
            <w:rPr>
              <w:rFonts w:hint="eastAsia"/>
            </w:rPr>
            <w:fldChar w:fldCharType="separate"/>
          </w:r>
          <w:r>
            <w:rPr>
              <w:rFonts w:hint="eastAsia"/>
            </w:rPr>
            <w:t>10</w:t>
          </w:r>
          <w:r>
            <w:fldChar w:fldCharType="end"/>
          </w:r>
          <w:r>
            <w:fldChar w:fldCharType="end"/>
          </w:r>
        </w:p>
        <w:p w14:paraId="4AF37C4C">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"_Toc107238594" </w:instrText>
          </w:r>
          <w:r>
            <w:fldChar w:fldCharType="separate"/>
          </w:r>
          <w:r>
            <w:rPr>
              <w:rStyle w:val="23"/>
              <w:rFonts w:ascii="Calibri" w:hAnsi="Calibri" w:cs="Calibri"/>
            </w:rPr>
            <w:t>9.3</w:t>
          </w:r>
          <w:r>
            <w:rPr>
              <w:rFonts w:asciiTheme="minorHAnsi" w:hAnsiTheme="minorHAnsi" w:cstheme="minorBidi"/>
              <w:color w:val="auto"/>
              <w:kern w:val="2"/>
              <w:sz w:val="21"/>
              <w:szCs w:val="24"/>
              <w:lang w:eastAsia="zh-CN"/>
            </w:rPr>
            <w:tab/>
          </w:r>
          <w:r>
            <w:rPr>
              <w:rStyle w:val="23"/>
              <w:rFonts w:ascii="Calibri" w:hAnsi="Calibri" w:cs="Calibri"/>
            </w:rPr>
            <w:t>Demographic and Baseline Variables</w:t>
          </w:r>
          <w:r>
            <w:tab/>
          </w:r>
          <w:r>
            <w:fldChar w:fldCharType="begin"/>
          </w:r>
          <w:r>
            <w:instrText xml:space="preserve"> PAGEREF _Toc107238594 \h </w:instrText>
          </w:r>
          <w:r>
            <w:rPr>
              <w:rFonts w:hint="eastAsia"/>
            </w:rPr>
            <w:fldChar w:fldCharType="separate"/>
          </w:r>
          <w:r>
            <w:rPr>
              <w:rFonts w:hint="eastAsia"/>
            </w:rPr>
            <w:t>10</w:t>
          </w:r>
          <w:r>
            <w:fldChar w:fldCharType="end"/>
          </w:r>
          <w:r>
            <w:fldChar w:fldCharType="end"/>
          </w:r>
        </w:p>
        <w:p w14:paraId="79F45236">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"_Toc107238595" </w:instrText>
          </w:r>
          <w:r>
            <w:fldChar w:fldCharType="separate"/>
          </w:r>
          <w:r>
            <w:rPr>
              <w:rStyle w:val="23"/>
              <w:rFonts w:ascii="Calibri" w:hAnsi="Calibri" w:cs="Calibri"/>
            </w:rPr>
            <w:t>9.4</w:t>
          </w:r>
          <w:r>
            <w:rPr>
              <w:rFonts w:asciiTheme="minorHAnsi" w:hAnsiTheme="minorHAnsi" w:cstheme="minorBidi"/>
              <w:color w:val="auto"/>
              <w:kern w:val="2"/>
              <w:sz w:val="21"/>
              <w:szCs w:val="24"/>
              <w:lang w:eastAsia="zh-CN"/>
            </w:rPr>
            <w:tab/>
          </w:r>
          <w:r>
            <w:rPr>
              <w:rStyle w:val="23"/>
              <w:rFonts w:ascii="Calibri" w:hAnsi="Calibri" w:cs="Calibri"/>
            </w:rPr>
            <w:t>Concurrent Illnesses and Medical Conditions</w:t>
          </w:r>
          <w:r>
            <w:tab/>
          </w:r>
          <w:r>
            <w:fldChar w:fldCharType="begin"/>
          </w:r>
          <w:r>
            <w:instrText xml:space="preserve"> PAGEREF _Toc107238595 \h </w:instrText>
          </w:r>
          <w:r>
            <w:rPr>
              <w:rFonts w:hint="eastAsia"/>
            </w:rPr>
            <w:fldChar w:fldCharType="separate"/>
          </w:r>
          <w:r>
            <w:rPr>
              <w:rFonts w:hint="eastAsia"/>
            </w:rPr>
            <w:t>10</w:t>
          </w:r>
          <w:r>
            <w:fldChar w:fldCharType="end"/>
          </w:r>
          <w:r>
            <w:fldChar w:fldCharType="end"/>
          </w:r>
        </w:p>
        <w:p w14:paraId="2D02E352">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"_Toc107238596" </w:instrText>
          </w:r>
          <w:r>
            <w:fldChar w:fldCharType="separate"/>
          </w:r>
          <w:r>
            <w:rPr>
              <w:rStyle w:val="23"/>
              <w:rFonts w:ascii="Calibri" w:hAnsi="Calibri" w:cs="Calibri"/>
            </w:rPr>
            <w:t>9.5</w:t>
          </w:r>
          <w:r>
            <w:rPr>
              <w:rFonts w:asciiTheme="minorHAnsi" w:hAnsiTheme="minorHAnsi" w:cstheme="minorBidi"/>
              <w:color w:val="auto"/>
              <w:kern w:val="2"/>
              <w:sz w:val="21"/>
              <w:szCs w:val="24"/>
              <w:lang w:eastAsia="zh-CN"/>
            </w:rPr>
            <w:tab/>
          </w:r>
          <w:r>
            <w:rPr>
              <w:rStyle w:val="23"/>
              <w:rFonts w:ascii="Calibri" w:hAnsi="Calibri" w:cs="Calibri"/>
            </w:rPr>
            <w:t>Treatment Compliance</w:t>
          </w:r>
          <w:r>
            <w:tab/>
          </w:r>
          <w:r>
            <w:fldChar w:fldCharType="begin"/>
          </w:r>
          <w:r>
            <w:instrText xml:space="preserve"> PAGEREF _Toc107238596 \h </w:instrText>
          </w:r>
          <w:r>
            <w:rPr>
              <w:rFonts w:hint="eastAsia"/>
            </w:rPr>
            <w:fldChar w:fldCharType="separate"/>
          </w:r>
          <w:r>
            <w:rPr>
              <w:rFonts w:hint="eastAsia"/>
            </w:rPr>
            <w:t>10</w:t>
          </w:r>
          <w:r>
            <w:fldChar w:fldCharType="end"/>
          </w:r>
          <w:r>
            <w:fldChar w:fldCharType="end"/>
          </w:r>
        </w:p>
        <w:p w14:paraId="62D78473">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"_Toc107238597" </w:instrText>
          </w:r>
          <w:r>
            <w:fldChar w:fldCharType="separate"/>
          </w:r>
          <w:r>
            <w:rPr>
              <w:rStyle w:val="23"/>
              <w:rFonts w:ascii="Calibri" w:hAnsi="Calibri" w:cs="Calibri"/>
            </w:rPr>
            <w:t>10</w:t>
          </w:r>
          <w:r>
            <w:rPr>
              <w:rFonts w:asciiTheme="minorHAnsi" w:hAnsiTheme="minorHAnsi" w:cstheme="minorBidi"/>
              <w:color w:val="auto"/>
              <w:kern w:val="2"/>
              <w:sz w:val="21"/>
              <w:szCs w:val="24"/>
              <w:lang w:eastAsia="zh-CN"/>
            </w:rPr>
            <w:tab/>
          </w:r>
          <w:r>
            <w:rPr>
              <w:rStyle w:val="23"/>
              <w:rFonts w:ascii="Calibri" w:hAnsi="Calibri" w:cs="Calibri"/>
            </w:rPr>
            <w:t>Efficacy Analyses</w:t>
          </w:r>
          <w:r>
            <w:tab/>
          </w:r>
          <w:r>
            <w:fldChar w:fldCharType="begin"/>
          </w:r>
          <w:r>
            <w:instrText xml:space="preserve"> PAGEREF _Toc107238597 \h </w:instrText>
          </w:r>
          <w:r>
            <w:rPr>
              <w:rFonts w:hint="eastAsia"/>
            </w:rPr>
            <w:fldChar w:fldCharType="separate"/>
          </w:r>
          <w:r>
            <w:rPr>
              <w:rFonts w:hint="eastAsia"/>
            </w:rPr>
            <w:t>10</w:t>
          </w:r>
          <w:r>
            <w:fldChar w:fldCharType="end"/>
          </w:r>
          <w:r>
            <w:fldChar w:fldCharType="end"/>
          </w:r>
        </w:p>
        <w:p w14:paraId="01010A72">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"_Toc107238598" </w:instrText>
          </w:r>
          <w:r>
            <w:fldChar w:fldCharType="separate"/>
          </w:r>
          <w:r>
            <w:rPr>
              <w:rStyle w:val="23"/>
              <w:rFonts w:ascii="Calibri" w:hAnsi="Calibri" w:cs="Calibri"/>
            </w:rPr>
            <w:t>10.1</w:t>
          </w:r>
          <w:r>
            <w:rPr>
              <w:rFonts w:asciiTheme="minorHAnsi" w:hAnsiTheme="minorHAnsi" w:cstheme="minorBidi"/>
              <w:color w:val="auto"/>
              <w:kern w:val="2"/>
              <w:sz w:val="21"/>
              <w:szCs w:val="24"/>
              <w:lang w:eastAsia="zh-CN"/>
            </w:rPr>
            <w:tab/>
          </w:r>
          <w:r>
            <w:rPr>
              <w:rStyle w:val="23"/>
              <w:rFonts w:ascii="Calibri" w:hAnsi="Calibri" w:cs="Calibri"/>
            </w:rPr>
            <w:t>Primary Efficacy Analysis</w:t>
          </w:r>
          <w:r>
            <w:tab/>
          </w:r>
          <w:r>
            <w:fldChar w:fldCharType="begin"/>
          </w:r>
          <w:r>
            <w:instrText xml:space="preserve"> PAGEREF _Toc107238598 \h </w:instrText>
          </w:r>
          <w:r>
            <w:rPr>
              <w:rFonts w:hint="eastAsia"/>
            </w:rPr>
            <w:fldChar w:fldCharType="separate"/>
          </w:r>
          <w:r>
            <w:rPr>
              <w:rFonts w:hint="eastAsia"/>
            </w:rPr>
            <w:t>11</w:t>
          </w:r>
          <w:r>
            <w:fldChar w:fldCharType="end"/>
          </w:r>
          <w:r>
            <w:fldChar w:fldCharType="end"/>
          </w:r>
        </w:p>
        <w:p w14:paraId="1FFA62A6">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"_Toc107238599" </w:instrText>
          </w:r>
          <w:r>
            <w:fldChar w:fldCharType="separate"/>
          </w:r>
          <w:r>
            <w:rPr>
              <w:rStyle w:val="23"/>
              <w:rFonts w:ascii="Calibri" w:hAnsi="Calibri" w:cs="Calibri"/>
            </w:rPr>
            <w:t>10.2</w:t>
          </w:r>
          <w:r>
            <w:rPr>
              <w:rFonts w:asciiTheme="minorHAnsi" w:hAnsiTheme="minorHAnsi" w:cstheme="minorBidi"/>
              <w:color w:val="auto"/>
              <w:kern w:val="2"/>
              <w:sz w:val="21"/>
              <w:szCs w:val="24"/>
              <w:lang w:eastAsia="zh-CN"/>
            </w:rPr>
            <w:tab/>
          </w:r>
          <w:r>
            <w:rPr>
              <w:rStyle w:val="23"/>
              <w:rFonts w:ascii="Calibri" w:hAnsi="Calibri" w:cs="Calibri"/>
            </w:rPr>
            <w:t>Secondary Efficacy Analyses</w:t>
          </w:r>
          <w:r>
            <w:tab/>
          </w:r>
          <w:r>
            <w:fldChar w:fldCharType="begin"/>
          </w:r>
          <w:r>
            <w:instrText xml:space="preserve"> PAGEREF _Toc107238599 \h </w:instrText>
          </w:r>
          <w:r>
            <w:rPr>
              <w:rFonts w:hint="eastAsia"/>
            </w:rPr>
            <w:fldChar w:fldCharType="separate"/>
          </w:r>
          <w:r>
            <w:rPr>
              <w:rFonts w:hint="eastAsia"/>
            </w:rPr>
            <w:t>11</w:t>
          </w:r>
          <w:r>
            <w:fldChar w:fldCharType="end"/>
          </w:r>
          <w:r>
            <w:fldChar w:fldCharType="end"/>
          </w:r>
        </w:p>
        <w:p w14:paraId="63A74CBA">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"_Toc107238600" </w:instrText>
          </w:r>
          <w:r>
            <w:fldChar w:fldCharType="separate"/>
          </w:r>
          <w:r>
            <w:rPr>
              <w:rStyle w:val="23"/>
              <w:rFonts w:ascii="Calibri" w:hAnsi="Calibri" w:cs="Calibri"/>
            </w:rPr>
            <w:t>10.3</w:t>
          </w:r>
          <w:r>
            <w:rPr>
              <w:rFonts w:asciiTheme="minorHAnsi" w:hAnsiTheme="minorHAnsi" w:cstheme="minorBidi"/>
              <w:color w:val="auto"/>
              <w:kern w:val="2"/>
              <w:sz w:val="21"/>
              <w:szCs w:val="24"/>
              <w:lang w:eastAsia="zh-CN"/>
            </w:rPr>
            <w:tab/>
          </w:r>
          <w:r>
            <w:rPr>
              <w:rStyle w:val="23"/>
              <w:rFonts w:ascii="Calibri" w:hAnsi="Calibri" w:cs="Calibri"/>
            </w:rPr>
            <w:t>Exploratory Efficacy Analyses</w:t>
          </w:r>
          <w:r>
            <w:tab/>
          </w:r>
          <w:r>
            <w:fldChar w:fldCharType="begin"/>
          </w:r>
          <w:r>
            <w:instrText xml:space="preserve"> PAGEREF _Toc107238600 \h </w:instrText>
          </w:r>
          <w:r>
            <w:rPr>
              <w:rFonts w:hint="eastAsia"/>
            </w:rPr>
            <w:fldChar w:fldCharType="separate"/>
          </w:r>
          <w:r>
            <w:rPr>
              <w:rFonts w:hint="eastAsia"/>
            </w:rPr>
            <w:t>11</w:t>
          </w:r>
          <w:r>
            <w:fldChar w:fldCharType="end"/>
          </w:r>
          <w:r>
            <w:fldChar w:fldCharType="end"/>
          </w:r>
        </w:p>
        <w:p w14:paraId="2437596C">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"_Toc107238601" </w:instrText>
          </w:r>
          <w:r>
            <w:fldChar w:fldCharType="separate"/>
          </w:r>
          <w:r>
            <w:rPr>
              <w:rStyle w:val="23"/>
              <w:rFonts w:ascii="Calibri" w:hAnsi="Calibri" w:cs="Calibri"/>
            </w:rPr>
            <w:t>11</w:t>
          </w:r>
          <w:r>
            <w:rPr>
              <w:rFonts w:asciiTheme="minorHAnsi" w:hAnsiTheme="minorHAnsi" w:cstheme="minorBidi"/>
              <w:color w:val="auto"/>
              <w:kern w:val="2"/>
              <w:sz w:val="21"/>
              <w:szCs w:val="24"/>
              <w:lang w:eastAsia="zh-CN"/>
            </w:rPr>
            <w:tab/>
          </w:r>
          <w:r>
            <w:rPr>
              <w:rStyle w:val="23"/>
              <w:rFonts w:ascii="Calibri" w:hAnsi="Calibri" w:cs="Calibri"/>
            </w:rPr>
            <w:t>Safety Analyses</w:t>
          </w:r>
          <w:r>
            <w:tab/>
          </w:r>
          <w:r>
            <w:fldChar w:fldCharType="begin"/>
          </w:r>
          <w:r>
            <w:instrText xml:space="preserve"> PAGEREF _Toc107238601 \h </w:instrText>
          </w:r>
          <w:r>
            <w:rPr>
              <w:rFonts w:hint="eastAsia"/>
            </w:rPr>
            <w:fldChar w:fldCharType="separate"/>
          </w:r>
          <w:r>
            <w:rPr>
              <w:rFonts w:hint="eastAsia"/>
            </w:rPr>
            <w:t>11</w:t>
          </w:r>
          <w:r>
            <w:fldChar w:fldCharType="end"/>
          </w:r>
          <w:r>
            <w:fldChar w:fldCharType="end"/>
          </w:r>
        </w:p>
        <w:p w14:paraId="7A6E37EF">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"_Toc107238602" </w:instrText>
          </w:r>
          <w:r>
            <w:fldChar w:fldCharType="separate"/>
          </w:r>
          <w:r>
            <w:rPr>
              <w:rStyle w:val="23"/>
              <w:rFonts w:ascii="Calibri" w:hAnsi="Calibri" w:cs="Calibri"/>
            </w:rPr>
            <w:t>11.1</w:t>
          </w:r>
          <w:r>
            <w:rPr>
              <w:rFonts w:asciiTheme="minorHAnsi" w:hAnsiTheme="minorHAnsi" w:cstheme="minorBidi"/>
              <w:color w:val="auto"/>
              <w:kern w:val="2"/>
              <w:sz w:val="21"/>
              <w:szCs w:val="24"/>
              <w:lang w:eastAsia="zh-CN"/>
            </w:rPr>
            <w:tab/>
          </w:r>
          <w:r>
            <w:rPr>
              <w:rStyle w:val="23"/>
              <w:rFonts w:ascii="Calibri" w:hAnsi="Calibri" w:cs="Calibri"/>
            </w:rPr>
            <w:t>Adverse Events</w:t>
          </w:r>
          <w:r>
            <w:tab/>
          </w:r>
          <w:r>
            <w:fldChar w:fldCharType="begin"/>
          </w:r>
          <w:r>
            <w:instrText xml:space="preserve"> PAGEREF _Toc107238602 \h </w:instrText>
          </w:r>
          <w:r>
            <w:rPr>
              <w:rFonts w:hint="eastAsia"/>
            </w:rPr>
            <w:fldChar w:fldCharType="separate"/>
          </w:r>
          <w:r>
            <w:rPr>
              <w:rFonts w:hint="eastAsia"/>
            </w:rPr>
            <w:t>11</w:t>
          </w:r>
          <w:r>
            <w:fldChar w:fldCharType="end"/>
          </w:r>
          <w:r>
            <w:fldChar w:fldCharType="end"/>
          </w:r>
        </w:p>
        <w:p w14:paraId="7164B266">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"_Toc107238603" </w:instrText>
          </w:r>
          <w:r>
            <w:fldChar w:fldCharType="separate"/>
          </w:r>
          <w:r>
            <w:rPr>
              <w:rStyle w:val="23"/>
              <w:rFonts w:ascii="Calibri" w:hAnsi="Calibri" w:cs="Calibri"/>
            </w:rPr>
            <w:t>11.2</w:t>
          </w:r>
          <w:r>
            <w:rPr>
              <w:rFonts w:asciiTheme="minorHAnsi" w:hAnsiTheme="minorHAnsi" w:cstheme="minorBidi"/>
              <w:color w:val="auto"/>
              <w:kern w:val="2"/>
              <w:sz w:val="21"/>
              <w:szCs w:val="24"/>
              <w:lang w:eastAsia="zh-CN"/>
            </w:rPr>
            <w:tab/>
          </w:r>
          <w:r>
            <w:rPr>
              <w:rStyle w:val="23"/>
              <w:rFonts w:ascii="Calibri" w:hAnsi="Calibri" w:cs="Calibri"/>
            </w:rPr>
            <w:t>Clinical Laboratory Evaluations</w:t>
          </w:r>
          <w:r>
            <w:tab/>
          </w:r>
          <w:r>
            <w:fldChar w:fldCharType="begin"/>
          </w:r>
          <w:r>
            <w:instrText xml:space="preserve"> PAGEREF _Toc107238603 \h </w:instrText>
          </w:r>
          <w:r>
            <w:rPr>
              <w:rFonts w:hint="eastAsia"/>
            </w:rPr>
            <w:fldChar w:fldCharType="separate"/>
          </w:r>
          <w:r>
            <w:rPr>
              <w:rFonts w:hint="eastAsia"/>
            </w:rPr>
            <w:t>12</w:t>
          </w:r>
          <w:r>
            <w:fldChar w:fldCharType="end"/>
          </w:r>
          <w:r>
            <w:fldChar w:fldCharType="end"/>
          </w:r>
        </w:p>
        <w:p w14:paraId="3F1CE685">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"_Toc107238604" </w:instrText>
          </w:r>
          <w:r>
            <w:fldChar w:fldCharType="separate"/>
          </w:r>
          <w:r>
            <w:rPr>
              <w:rStyle w:val="23"/>
              <w:rFonts w:ascii="Calibri" w:hAnsi="Calibri" w:cs="Calibri"/>
            </w:rPr>
            <w:t>11.3</w:t>
          </w:r>
          <w:r>
            <w:rPr>
              <w:rFonts w:asciiTheme="minorHAnsi" w:hAnsiTheme="minorHAnsi" w:cstheme="minorBidi"/>
              <w:color w:val="auto"/>
              <w:kern w:val="2"/>
              <w:sz w:val="21"/>
              <w:szCs w:val="24"/>
              <w:lang w:eastAsia="zh-CN"/>
            </w:rPr>
            <w:tab/>
          </w:r>
          <w:r>
            <w:rPr>
              <w:rStyle w:val="23"/>
              <w:rFonts w:ascii="Calibri" w:hAnsi="Calibri" w:cs="Calibri"/>
              <w:bCs/>
              <w:lang w:eastAsia="zh-CN"/>
            </w:rPr>
            <w:t>Vital Sign Measurements</w:t>
          </w:r>
          <w:r>
            <w:tab/>
          </w:r>
          <w:r>
            <w:fldChar w:fldCharType="begin"/>
          </w:r>
          <w:r>
            <w:instrText xml:space="preserve"> PAGEREF _Toc107238604 \h </w:instrText>
          </w:r>
          <w:r>
            <w:rPr>
              <w:rFonts w:hint="eastAsia"/>
            </w:rPr>
            <w:fldChar w:fldCharType="separate"/>
          </w:r>
          <w:r>
            <w:rPr>
              <w:rFonts w:hint="eastAsia"/>
            </w:rPr>
            <w:t>12</w:t>
          </w:r>
          <w:r>
            <w:fldChar w:fldCharType="end"/>
          </w:r>
          <w:r>
            <w:fldChar w:fldCharType="end"/>
          </w:r>
        </w:p>
        <w:p w14:paraId="52C452B5">
          <w:pPr>
            <w:pStyle w:val="15"/>
            <w:tabs>
              <w:tab w:val="left" w:pos="840"/>
              <w:tab w:val="right" w:pos="9016"/>
            </w:tabs>
            <w:rPr>
              <w:rFonts w:asciiTheme="minorHAnsi" w:hAnsiTheme="minorHAnsi" w:cstheme="minorBidi"/>
              <w:color w:val="auto"/>
              <w:kern w:val="2"/>
              <w:sz w:val="21"/>
              <w:szCs w:val="24"/>
              <w:lang w:eastAsia="zh-CN"/>
            </w:rPr>
          </w:pPr>
          <w:r>
            <w:fldChar w:fldCharType="begin"/>
          </w:r>
          <w:r>
            <w:instrText xml:space="preserve"> HYPERLINK \l "_Toc107238605" </w:instrText>
          </w:r>
          <w:r>
            <w:fldChar w:fldCharType="separate"/>
          </w:r>
          <w:r>
            <w:rPr>
              <w:rStyle w:val="23"/>
              <w:rFonts w:ascii="Calibri" w:hAnsi="Calibri" w:cs="Calibri"/>
            </w:rPr>
            <w:t>11.4</w:t>
          </w:r>
          <w:r>
            <w:rPr>
              <w:rFonts w:asciiTheme="minorHAnsi" w:hAnsiTheme="minorHAnsi" w:cstheme="minorBidi"/>
              <w:color w:val="auto"/>
              <w:kern w:val="2"/>
              <w:sz w:val="21"/>
              <w:szCs w:val="24"/>
              <w:lang w:eastAsia="zh-CN"/>
            </w:rPr>
            <w:tab/>
          </w:r>
          <w:r>
            <w:rPr>
              <w:rStyle w:val="23"/>
              <w:rFonts w:ascii="Calibri" w:hAnsi="Calibri" w:cs="Calibri"/>
            </w:rPr>
            <w:t xml:space="preserve">Physical Examination </w:t>
          </w:r>
          <w:r>
            <w:rPr>
              <w:rStyle w:val="23"/>
              <w:rFonts w:ascii="Calibri" w:hAnsi="Calibri" w:cs="Calibri"/>
              <w:lang w:eastAsia="zh-CN"/>
            </w:rPr>
            <w:t xml:space="preserve">and </w:t>
          </w:r>
          <w:r>
            <w:rPr>
              <w:rStyle w:val="23"/>
              <w:rFonts w:ascii="Calibri" w:hAnsi="Calibri" w:cs="Calibri"/>
            </w:rPr>
            <w:t>Pregnancies</w:t>
          </w:r>
          <w:r>
            <w:tab/>
          </w:r>
          <w:r>
            <w:fldChar w:fldCharType="begin"/>
          </w:r>
          <w:r>
            <w:instrText xml:space="preserve"> PAGEREF _Toc107238605 \h </w:instrText>
          </w:r>
          <w:r>
            <w:rPr>
              <w:rFonts w:hint="eastAsia"/>
            </w:rPr>
            <w:fldChar w:fldCharType="separate"/>
          </w:r>
          <w:r>
            <w:rPr>
              <w:rFonts w:hint="eastAsia"/>
            </w:rPr>
            <w:t>12</w:t>
          </w:r>
          <w:r>
            <w:fldChar w:fldCharType="end"/>
          </w:r>
          <w:r>
            <w:fldChar w:fldCharType="end"/>
          </w:r>
        </w:p>
        <w:p w14:paraId="50A5D427">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"_Toc107238606" </w:instrText>
          </w:r>
          <w:r>
            <w:fldChar w:fldCharType="separate"/>
          </w:r>
          <w:r>
            <w:rPr>
              <w:rStyle w:val="23"/>
              <w:rFonts w:ascii="Calibri" w:hAnsi="Calibri" w:cs="Calibri"/>
            </w:rPr>
            <w:t>12</w:t>
          </w:r>
          <w:r>
            <w:rPr>
              <w:rFonts w:asciiTheme="minorHAnsi" w:hAnsiTheme="minorHAnsi" w:cstheme="minorBidi"/>
              <w:color w:val="auto"/>
              <w:kern w:val="2"/>
              <w:sz w:val="21"/>
              <w:szCs w:val="24"/>
              <w:lang w:eastAsia="zh-CN"/>
            </w:rPr>
            <w:tab/>
          </w:r>
          <w:r>
            <w:rPr>
              <w:rStyle w:val="23"/>
              <w:rFonts w:ascii="Calibri" w:hAnsi="Calibri" w:cs="Calibri"/>
            </w:rPr>
            <w:t>Reporting Conventions</w:t>
          </w:r>
          <w:r>
            <w:tab/>
          </w:r>
          <w:r>
            <w:fldChar w:fldCharType="begin"/>
          </w:r>
          <w:r>
            <w:instrText xml:space="preserve"> PAGEREF _Toc107238606 \h </w:instrText>
          </w:r>
          <w:r>
            <w:rPr>
              <w:rFonts w:hint="eastAsia"/>
            </w:rPr>
            <w:fldChar w:fldCharType="separate"/>
          </w:r>
          <w:r>
            <w:rPr>
              <w:rFonts w:hint="eastAsia"/>
            </w:rPr>
            <w:t>13</w:t>
          </w:r>
          <w:r>
            <w:fldChar w:fldCharType="end"/>
          </w:r>
          <w:r>
            <w:fldChar w:fldCharType="end"/>
          </w:r>
        </w:p>
        <w:p w14:paraId="04C8B350">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"_Toc107238607" </w:instrText>
          </w:r>
          <w:r>
            <w:fldChar w:fldCharType="separate"/>
          </w:r>
          <w:r>
            <w:rPr>
              <w:rStyle w:val="23"/>
              <w:rFonts w:ascii="Calibri" w:hAnsi="Calibri" w:cs="Calibri"/>
            </w:rPr>
            <w:t>13</w:t>
          </w:r>
          <w:r>
            <w:rPr>
              <w:rFonts w:asciiTheme="minorHAnsi" w:hAnsiTheme="minorHAnsi" w:cstheme="minorBidi"/>
              <w:color w:val="auto"/>
              <w:kern w:val="2"/>
              <w:sz w:val="21"/>
              <w:szCs w:val="24"/>
              <w:lang w:eastAsia="zh-CN"/>
            </w:rPr>
            <w:tab/>
          </w:r>
          <w:r>
            <w:rPr>
              <w:rStyle w:val="23"/>
              <w:rFonts w:ascii="Calibri" w:hAnsi="Calibri" w:cs="Calibri"/>
            </w:rPr>
            <w:t>References</w:t>
          </w:r>
          <w:r>
            <w:tab/>
          </w:r>
          <w:r>
            <w:fldChar w:fldCharType="begin"/>
          </w:r>
          <w:r>
            <w:instrText xml:space="preserve"> PAGEREF _Toc107238607 \h </w:instrText>
          </w:r>
          <w:r>
            <w:rPr>
              <w:rFonts w:hint="eastAsia"/>
            </w:rPr>
            <w:fldChar w:fldCharType="separate"/>
          </w:r>
          <w:r>
            <w:rPr>
              <w:rFonts w:hint="eastAsia"/>
            </w:rPr>
            <w:t>13</w:t>
          </w:r>
          <w:r>
            <w:fldChar w:fldCharType="end"/>
          </w:r>
          <w:r>
            <w:fldChar w:fldCharType="end"/>
          </w:r>
        </w:p>
        <w:p w14:paraId="2293C10E">
          <w:pPr>
            <w:pStyle w:val="13"/>
            <w:tabs>
              <w:tab w:val="left" w:pos="440"/>
              <w:tab w:val="right" w:pos="9016"/>
            </w:tabs>
            <w:rPr>
              <w:rFonts w:asciiTheme="minorHAnsi" w:hAnsiTheme="minorHAnsi" w:cstheme="minorBidi"/>
              <w:color w:val="auto"/>
              <w:kern w:val="2"/>
              <w:sz w:val="21"/>
              <w:szCs w:val="24"/>
              <w:lang w:eastAsia="zh-CN"/>
            </w:rPr>
          </w:pPr>
          <w:r>
            <w:fldChar w:fldCharType="begin"/>
          </w:r>
          <w:r>
            <w:instrText xml:space="preserve"> HYPERLINK \l "_Toc107238608" </w:instrText>
          </w:r>
          <w:r>
            <w:fldChar w:fldCharType="separate"/>
          </w:r>
          <w:r>
            <w:rPr>
              <w:rStyle w:val="23"/>
              <w:rFonts w:ascii="Calibri" w:hAnsi="Calibri" w:cs="Calibri"/>
            </w:rPr>
            <w:t>14</w:t>
          </w:r>
          <w:r>
            <w:rPr>
              <w:rFonts w:asciiTheme="minorHAnsi" w:hAnsiTheme="minorHAnsi" w:cstheme="minorBidi"/>
              <w:color w:val="auto"/>
              <w:kern w:val="2"/>
              <w:sz w:val="21"/>
              <w:szCs w:val="24"/>
              <w:lang w:eastAsia="zh-CN"/>
            </w:rPr>
            <w:tab/>
          </w:r>
          <w:r>
            <w:rPr>
              <w:rStyle w:val="23"/>
              <w:rFonts w:ascii="Calibri" w:hAnsi="Calibri" w:cs="Calibri"/>
            </w:rPr>
            <w:t>Listing of Tables, Listings and Figures</w:t>
          </w:r>
          <w:r>
            <w:tab/>
          </w:r>
          <w:r>
            <w:fldChar w:fldCharType="begin"/>
          </w:r>
          <w:r>
            <w:instrText xml:space="preserve"> PAGEREF _Toc107238608 \h </w:instrText>
          </w:r>
          <w:r>
            <w:rPr>
              <w:rFonts w:hint="eastAsia"/>
            </w:rPr>
            <w:fldChar w:fldCharType="separate"/>
          </w:r>
          <w:r>
            <w:rPr>
              <w:rFonts w:hint="eastAsia"/>
            </w:rPr>
            <w:t>13</w:t>
          </w:r>
          <w:r>
            <w:fldChar w:fldCharType="end"/>
          </w:r>
          <w:r>
            <w:fldChar w:fldCharType="end"/>
          </w:r>
        </w:p>
        <w:p w14:paraId="625B8783">
          <w:pPr>
            <w:tabs>
              <w:tab w:val="left" w:pos="660"/>
              <w:tab w:val="right" w:pos="9016"/>
            </w:tabs>
            <w:snapToGrid w:val="0"/>
            <w:spacing w:after="100" w:line="276" w:lineRule="auto"/>
            <w:jc w:val="both"/>
            <w:rPr>
              <w:rFonts w:ascii="Calibri" w:hAnsi="Calibri" w:eastAsia="Calibri" w:cs="Calibri"/>
            </w:rPr>
          </w:pPr>
          <w:r>
            <w:rPr>
              <w:rFonts w:ascii="Calibri" w:hAnsi="Calibri" w:cs="Calibri"/>
            </w:rPr>
            <w:fldChar w:fldCharType="end"/>
          </w:r>
        </w:p>
      </w:sdtContent>
    </w:sdt>
    <w:p w14:paraId="568257AB">
      <w:pPr>
        <w:snapToGrid w:val="0"/>
        <w:spacing w:line="276" w:lineRule="auto"/>
        <w:rPr>
          <w:rFonts w:ascii="Calibri" w:hAnsi="Calibri" w:cs="Calibri"/>
        </w:rPr>
      </w:pPr>
      <w:bookmarkStart w:id="4" w:name="_h5h0jgfe2sit" w:colFirst="0" w:colLast="0"/>
      <w:bookmarkEnd w:id="4"/>
      <w:r>
        <w:rPr>
          <w:rFonts w:ascii="Calibri" w:hAnsi="Calibri" w:cs="Calibri"/>
        </w:rPr>
        <w:br w:type="page"/>
      </w:r>
    </w:p>
    <w:p w14:paraId="6C6AA872">
      <w:pPr>
        <w:pStyle w:val="2"/>
        <w:numPr>
          <w:ilvl w:val="0"/>
          <w:numId w:val="1"/>
        </w:numPr>
        <w:snapToGrid w:val="0"/>
        <w:spacing w:before="0"/>
        <w:contextualSpacing w:val="0"/>
        <w:jc w:val="both"/>
        <w:rPr>
          <w:rFonts w:ascii="Calibri" w:hAnsi="Calibri" w:cs="Calibri"/>
        </w:rPr>
      </w:pPr>
      <w:bookmarkStart w:id="5" w:name="_Toc107238572"/>
      <w:r>
        <w:rPr>
          <w:rFonts w:ascii="Calibri" w:hAnsi="Calibri" w:cs="Calibri"/>
        </w:rPr>
        <w:t>Abbreviations and Definitions</w:t>
      </w:r>
      <w:bookmarkEnd w:id="5"/>
    </w:p>
    <w:p w14:paraId="15692EFC">
      <w:pPr>
        <w:snapToGrid w:val="0"/>
        <w:spacing w:line="276" w:lineRule="auto"/>
        <w:jc w:val="both"/>
        <w:rPr>
          <w:rFonts w:ascii="Calibri" w:hAnsi="Calibri" w:cs="Calibri"/>
        </w:rPr>
      </w:pPr>
    </w:p>
    <w:tbl>
      <w:tblPr>
        <w:tblStyle w:val="26"/>
        <w:tblW w:w="90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1555"/>
        <w:gridCol w:w="7461"/>
      </w:tblGrid>
      <w:tr w14:paraId="139AB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7F3C3B68">
            <w:pPr>
              <w:snapToGrid w:val="0"/>
              <w:spacing w:line="276" w:lineRule="auto"/>
              <w:jc w:val="both"/>
              <w:rPr>
                <w:rFonts w:ascii="Calibri" w:hAnsi="Calibri" w:cs="Calibri"/>
              </w:rPr>
            </w:pPr>
            <w:r>
              <w:rPr>
                <w:rFonts w:ascii="Calibri" w:hAnsi="Calibri" w:cs="Calibri"/>
              </w:rPr>
              <w:t>AE</w:t>
            </w:r>
          </w:p>
        </w:tc>
        <w:tc>
          <w:tcPr>
            <w:tcW w:w="7461" w:type="dxa"/>
          </w:tcPr>
          <w:p w14:paraId="44BFF805">
            <w:pPr>
              <w:snapToGrid w:val="0"/>
              <w:spacing w:line="276" w:lineRule="auto"/>
              <w:jc w:val="both"/>
              <w:rPr>
                <w:rFonts w:ascii="Calibri" w:hAnsi="Calibri" w:cs="Calibri"/>
              </w:rPr>
            </w:pPr>
            <w:r>
              <w:rPr>
                <w:rFonts w:ascii="Calibri" w:hAnsi="Calibri" w:cs="Calibri"/>
              </w:rPr>
              <w:t>Adverse Event</w:t>
            </w:r>
          </w:p>
        </w:tc>
      </w:tr>
      <w:tr w14:paraId="4C80D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32BAB364">
            <w:pPr>
              <w:snapToGrid w:val="0"/>
              <w:spacing w:line="276" w:lineRule="auto"/>
              <w:jc w:val="both"/>
              <w:rPr>
                <w:rFonts w:ascii="Calibri" w:hAnsi="Calibri" w:cs="Calibri"/>
              </w:rPr>
            </w:pPr>
            <w:r>
              <w:rPr>
                <w:rFonts w:ascii="Calibri" w:hAnsi="Calibri" w:cs="Calibri"/>
              </w:rPr>
              <w:t>CRF</w:t>
            </w:r>
          </w:p>
        </w:tc>
        <w:tc>
          <w:tcPr>
            <w:tcW w:w="7461" w:type="dxa"/>
          </w:tcPr>
          <w:p w14:paraId="3F80D53A">
            <w:pPr>
              <w:snapToGrid w:val="0"/>
              <w:spacing w:line="276" w:lineRule="auto"/>
              <w:jc w:val="both"/>
              <w:rPr>
                <w:rFonts w:ascii="Calibri" w:hAnsi="Calibri" w:cs="Calibri"/>
              </w:rPr>
            </w:pPr>
            <w:r>
              <w:rPr>
                <w:rFonts w:ascii="Calibri" w:hAnsi="Calibri" w:cs="Calibri"/>
              </w:rPr>
              <w:t>Case Report Form</w:t>
            </w:r>
          </w:p>
        </w:tc>
      </w:tr>
      <w:tr w14:paraId="55CBF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06381A3B">
            <w:pPr>
              <w:snapToGrid w:val="0"/>
              <w:spacing w:line="276" w:lineRule="auto"/>
              <w:jc w:val="both"/>
              <w:rPr>
                <w:rFonts w:ascii="Calibri" w:hAnsi="Calibri" w:cs="Calibri"/>
              </w:rPr>
            </w:pPr>
            <w:r>
              <w:rPr>
                <w:rFonts w:ascii="Calibri" w:hAnsi="Calibri" w:cs="Calibri"/>
              </w:rPr>
              <w:t>IMP</w:t>
            </w:r>
          </w:p>
        </w:tc>
        <w:tc>
          <w:tcPr>
            <w:tcW w:w="7461" w:type="dxa"/>
          </w:tcPr>
          <w:p w14:paraId="3152EFF3">
            <w:pPr>
              <w:snapToGrid w:val="0"/>
              <w:spacing w:line="276" w:lineRule="auto"/>
              <w:jc w:val="both"/>
              <w:rPr>
                <w:rFonts w:ascii="Calibri" w:hAnsi="Calibri" w:cs="Calibri"/>
              </w:rPr>
            </w:pPr>
            <w:r>
              <w:rPr>
                <w:rFonts w:ascii="Calibri" w:hAnsi="Calibri" w:cs="Calibri"/>
              </w:rPr>
              <w:t>Investigational Medical Product</w:t>
            </w:r>
          </w:p>
        </w:tc>
      </w:tr>
      <w:tr w14:paraId="37C4F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0DF695BC">
            <w:pPr>
              <w:snapToGrid w:val="0"/>
              <w:spacing w:line="276" w:lineRule="auto"/>
              <w:jc w:val="both"/>
              <w:rPr>
                <w:rFonts w:ascii="Calibri" w:hAnsi="Calibri" w:cs="Calibri"/>
              </w:rPr>
            </w:pPr>
            <w:r>
              <w:rPr>
                <w:rFonts w:ascii="Calibri" w:hAnsi="Calibri" w:cs="Calibri"/>
              </w:rPr>
              <w:t>SAP</w:t>
            </w:r>
          </w:p>
        </w:tc>
        <w:tc>
          <w:tcPr>
            <w:tcW w:w="7461" w:type="dxa"/>
          </w:tcPr>
          <w:p w14:paraId="47DB0112">
            <w:pPr>
              <w:snapToGrid w:val="0"/>
              <w:spacing w:line="276" w:lineRule="auto"/>
              <w:jc w:val="both"/>
              <w:rPr>
                <w:rFonts w:ascii="Calibri" w:hAnsi="Calibri" w:cs="Calibri"/>
              </w:rPr>
            </w:pPr>
            <w:r>
              <w:rPr>
                <w:rFonts w:ascii="Calibri" w:hAnsi="Calibri" w:cs="Calibri"/>
              </w:rPr>
              <w:t>Statistical Analysis Plan</w:t>
            </w:r>
          </w:p>
        </w:tc>
      </w:tr>
      <w:tr w14:paraId="4E8A9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22A855E2">
            <w:pPr>
              <w:snapToGrid w:val="0"/>
              <w:spacing w:line="276" w:lineRule="auto"/>
              <w:jc w:val="both"/>
              <w:rPr>
                <w:rFonts w:ascii="Calibri" w:hAnsi="Calibri" w:cs="Calibri"/>
              </w:rPr>
            </w:pPr>
            <w:r>
              <w:rPr>
                <w:rFonts w:ascii="Calibri" w:hAnsi="Calibri" w:cs="Calibri"/>
              </w:rPr>
              <w:t>RCT</w:t>
            </w:r>
          </w:p>
        </w:tc>
        <w:tc>
          <w:tcPr>
            <w:tcW w:w="7461" w:type="dxa"/>
          </w:tcPr>
          <w:p w14:paraId="2EF38037">
            <w:pPr>
              <w:snapToGrid w:val="0"/>
              <w:spacing w:line="276" w:lineRule="auto"/>
              <w:jc w:val="both"/>
              <w:rPr>
                <w:rFonts w:ascii="Calibri" w:hAnsi="Calibri" w:cs="Calibri"/>
              </w:rPr>
            </w:pPr>
            <w:r>
              <w:rPr>
                <w:rFonts w:ascii="Calibri" w:hAnsi="Calibri" w:cs="Calibri"/>
              </w:rPr>
              <w:t>randomized control rail</w:t>
            </w:r>
          </w:p>
        </w:tc>
      </w:tr>
      <w:tr w14:paraId="06561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1B0782B0">
            <w:pPr>
              <w:snapToGrid w:val="0"/>
              <w:spacing w:line="276" w:lineRule="auto"/>
              <w:jc w:val="both"/>
              <w:rPr>
                <w:rFonts w:ascii="Calibri" w:hAnsi="Calibri" w:cs="Calibri"/>
              </w:rPr>
            </w:pPr>
            <w:r>
              <w:rPr>
                <w:rFonts w:ascii="Calibri" w:hAnsi="Calibri" w:cs="Calibri"/>
              </w:rPr>
              <w:t>rTMS</w:t>
            </w:r>
          </w:p>
        </w:tc>
        <w:tc>
          <w:tcPr>
            <w:tcW w:w="7461" w:type="dxa"/>
          </w:tcPr>
          <w:p w14:paraId="0A2D48FF">
            <w:pPr>
              <w:snapToGrid w:val="0"/>
              <w:spacing w:line="276" w:lineRule="auto"/>
              <w:jc w:val="both"/>
              <w:rPr>
                <w:rFonts w:ascii="Calibri" w:hAnsi="Calibri" w:cs="Calibri"/>
              </w:rPr>
            </w:pPr>
            <w:r>
              <w:rPr>
                <w:rFonts w:ascii="Calibri" w:hAnsi="Calibri" w:cs="Calibri"/>
              </w:rPr>
              <w:t>repetitive transcranial magnetic stimulation</w:t>
            </w:r>
          </w:p>
        </w:tc>
      </w:tr>
      <w:tr w14:paraId="4B6F6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74A48577">
            <w:pPr>
              <w:snapToGrid w:val="0"/>
              <w:spacing w:line="276" w:lineRule="auto"/>
              <w:jc w:val="both"/>
              <w:rPr>
                <w:rFonts w:ascii="Calibri" w:hAnsi="Calibri" w:cs="Calibri"/>
              </w:rPr>
            </w:pPr>
            <w:r>
              <w:rPr>
                <w:rFonts w:ascii="Calibri" w:hAnsi="Calibri" w:cs="Calibri"/>
              </w:rPr>
              <w:t>M1</w:t>
            </w:r>
          </w:p>
        </w:tc>
        <w:tc>
          <w:tcPr>
            <w:tcW w:w="7461" w:type="dxa"/>
          </w:tcPr>
          <w:p w14:paraId="66A10CA8">
            <w:pPr>
              <w:snapToGrid w:val="0"/>
              <w:spacing w:line="276" w:lineRule="auto"/>
              <w:jc w:val="both"/>
              <w:rPr>
                <w:rFonts w:ascii="Calibri" w:hAnsi="Calibri" w:cs="Calibri"/>
              </w:rPr>
            </w:pPr>
            <w:r>
              <w:rPr>
                <w:rFonts w:ascii="Calibri" w:hAnsi="Calibri" w:cs="Calibri"/>
              </w:rPr>
              <w:t>primary motor cortex</w:t>
            </w:r>
          </w:p>
        </w:tc>
      </w:tr>
      <w:tr w14:paraId="0C2B1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13AA0301">
            <w:pPr>
              <w:snapToGrid w:val="0"/>
              <w:spacing w:line="276" w:lineRule="auto"/>
              <w:jc w:val="both"/>
              <w:rPr>
                <w:rFonts w:ascii="Calibri" w:hAnsi="Calibri" w:cs="Calibri"/>
              </w:rPr>
            </w:pPr>
            <w:r>
              <w:rPr>
                <w:rFonts w:ascii="Calibri" w:hAnsi="Calibri" w:cs="Calibri"/>
                <w:color w:val="000000" w:themeColor="text1"/>
                <w14:textFill>
                  <w14:solidFill>
                    <w14:schemeClr w14:val="tx1"/>
                  </w14:solidFill>
                </w14:textFill>
              </w:rPr>
              <w:t>ICIQ-UI SF</w:t>
            </w:r>
          </w:p>
        </w:tc>
        <w:tc>
          <w:tcPr>
            <w:tcW w:w="7461" w:type="dxa"/>
          </w:tcPr>
          <w:p w14:paraId="7C42079D">
            <w:pPr>
              <w:snapToGrid w:val="0"/>
              <w:spacing w:line="276" w:lineRule="auto"/>
              <w:jc w:val="both"/>
              <w:rPr>
                <w:rFonts w:ascii="Calibri" w:hAnsi="Calibri" w:cs="Calibri"/>
              </w:rPr>
            </w:pPr>
            <w:r>
              <w:rPr>
                <w:rFonts w:ascii="Calibri" w:hAnsi="Calibri" w:cs="Calibri"/>
                <w:color w:val="000000" w:themeColor="text1"/>
                <w14:textFill>
                  <w14:solidFill>
                    <w14:schemeClr w14:val="tx1"/>
                  </w14:solidFill>
                </w14:textFill>
              </w:rPr>
              <w:t>International Consultation on Incontinence Questionnaire Urinary Incontinence Short Form</w:t>
            </w:r>
          </w:p>
        </w:tc>
      </w:tr>
      <w:tr w14:paraId="6817E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03FD0356">
            <w:pPr>
              <w:snapToGrid w:val="0"/>
              <w:spacing w:line="276" w:lineRule="auto"/>
              <w:jc w:val="both"/>
              <w:rPr>
                <w:rFonts w:ascii="Calibri" w:hAnsi="Calibri" w:cs="Calibri"/>
              </w:rPr>
            </w:pPr>
            <w:r>
              <w:rPr>
                <w:rFonts w:ascii="Calibri" w:hAnsi="Calibri" w:cs="Calibri"/>
              </w:rPr>
              <w:t>OABSS</w:t>
            </w:r>
          </w:p>
        </w:tc>
        <w:tc>
          <w:tcPr>
            <w:tcW w:w="7461" w:type="dxa"/>
          </w:tcPr>
          <w:p w14:paraId="1C75A3C1">
            <w:pPr>
              <w:snapToGrid w:val="0"/>
              <w:spacing w:line="276" w:lineRule="auto"/>
              <w:jc w:val="both"/>
              <w:rPr>
                <w:rFonts w:ascii="Calibri" w:hAnsi="Calibri" w:cs="Calibri"/>
              </w:rPr>
            </w:pPr>
            <w:r>
              <w:rPr>
                <w:rFonts w:ascii="Calibri" w:hAnsi="Calibri" w:cs="Calibri"/>
                <w:color w:val="000000" w:themeColor="text1"/>
                <w14:textFill>
                  <w14:solidFill>
                    <w14:schemeClr w14:val="tx1"/>
                  </w14:solidFill>
                </w14:textFill>
              </w:rPr>
              <w:t>Overactive Bladder Symptom Score</w:t>
            </w:r>
          </w:p>
        </w:tc>
      </w:tr>
      <w:tr w14:paraId="1AC64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119EFC2F">
            <w:pPr>
              <w:snapToGrid w:val="0"/>
              <w:spacing w:line="276" w:lineRule="auto"/>
              <w:jc w:val="both"/>
              <w:rPr>
                <w:rFonts w:ascii="Calibri" w:hAnsi="Calibri" w:cs="Calibri"/>
              </w:rPr>
            </w:pPr>
            <w:r>
              <w:rPr>
                <w:rFonts w:ascii="Calibri" w:hAnsi="Calibri" w:cs="Calibri"/>
              </w:rPr>
              <w:t>sEMG</w:t>
            </w:r>
          </w:p>
        </w:tc>
        <w:tc>
          <w:tcPr>
            <w:tcW w:w="7461" w:type="dxa"/>
          </w:tcPr>
          <w:p w14:paraId="1B3D53D8">
            <w:pPr>
              <w:snapToGrid w:val="0"/>
              <w:spacing w:line="276"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surface electromyography</w:t>
            </w:r>
          </w:p>
        </w:tc>
      </w:tr>
      <w:tr w14:paraId="495C3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76682EBC">
            <w:pPr>
              <w:snapToGrid w:val="0"/>
              <w:spacing w:line="276" w:lineRule="auto"/>
              <w:jc w:val="both"/>
              <w:rPr>
                <w:rFonts w:ascii="Calibri" w:hAnsi="Calibri" w:cs="Calibri"/>
              </w:rPr>
            </w:pPr>
            <w:r>
              <w:rPr>
                <w:rFonts w:ascii="Calibri" w:hAnsi="Calibri" w:cs="Calibri"/>
              </w:rPr>
              <w:t>PFM</w:t>
            </w:r>
          </w:p>
        </w:tc>
        <w:tc>
          <w:tcPr>
            <w:tcW w:w="7461" w:type="dxa"/>
          </w:tcPr>
          <w:p w14:paraId="15D5E26D">
            <w:pPr>
              <w:snapToGrid w:val="0"/>
              <w:spacing w:line="276"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pelvic floor muscles</w:t>
            </w:r>
          </w:p>
        </w:tc>
      </w:tr>
      <w:tr w14:paraId="4FD8D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66D73A88">
            <w:pPr>
              <w:snapToGrid w:val="0"/>
              <w:spacing w:line="276" w:lineRule="auto"/>
              <w:jc w:val="both"/>
              <w:rPr>
                <w:rFonts w:ascii="Calibri" w:hAnsi="Calibri" w:cs="Calibri"/>
              </w:rPr>
            </w:pPr>
            <w:r>
              <w:rPr>
                <w:rFonts w:ascii="Calibri" w:hAnsi="Calibri" w:cs="Calibri"/>
                <w:lang w:eastAsia="zh-CN"/>
              </w:rPr>
              <w:t>PSI</w:t>
            </w:r>
          </w:p>
        </w:tc>
        <w:tc>
          <w:tcPr>
            <w:tcW w:w="7461" w:type="dxa"/>
          </w:tcPr>
          <w:p w14:paraId="69ED4E11">
            <w:pPr>
              <w:snapToGrid w:val="0"/>
              <w:spacing w:line="276"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post-stroke urinary incontinence</w:t>
            </w:r>
          </w:p>
        </w:tc>
      </w:tr>
      <w:tr w14:paraId="26CD1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7A3FD765">
            <w:pPr>
              <w:snapToGrid w:val="0"/>
              <w:spacing w:line="276" w:lineRule="auto"/>
              <w:jc w:val="both"/>
              <w:rPr>
                <w:rFonts w:ascii="Calibri" w:hAnsi="Calibri" w:cs="Calibri"/>
                <w:lang w:eastAsia="zh-CN"/>
              </w:rPr>
            </w:pPr>
            <w:r>
              <w:rPr>
                <w:rFonts w:ascii="Calibri" w:hAnsi="Calibri" w:cs="Calibri"/>
              </w:rPr>
              <w:t>LF-rTMS</w:t>
            </w:r>
          </w:p>
        </w:tc>
        <w:tc>
          <w:tcPr>
            <w:tcW w:w="7461" w:type="dxa"/>
          </w:tcPr>
          <w:p w14:paraId="7E3733DA">
            <w:pPr>
              <w:snapToGrid w:val="0"/>
              <w:spacing w:line="276" w:lineRule="auto"/>
              <w:jc w:val="both"/>
              <w:rPr>
                <w:rFonts w:ascii="Calibri" w:hAnsi="Calibri" w:cs="Calibri"/>
                <w:color w:val="000000" w:themeColor="text1"/>
                <w14:textFill>
                  <w14:solidFill>
                    <w14:schemeClr w14:val="tx1"/>
                  </w14:solidFill>
                </w14:textFill>
              </w:rPr>
            </w:pPr>
            <w:r>
              <w:rPr>
                <w:rFonts w:ascii="Calibri" w:hAnsi="Calibri" w:cs="Calibri"/>
              </w:rPr>
              <w:t>low-frequency rTMS</w:t>
            </w:r>
          </w:p>
        </w:tc>
      </w:tr>
      <w:tr w14:paraId="1A3CC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0908D5A7">
            <w:pPr>
              <w:snapToGrid w:val="0"/>
              <w:spacing w:line="276" w:lineRule="auto"/>
              <w:jc w:val="both"/>
              <w:rPr>
                <w:rFonts w:ascii="Calibri" w:hAnsi="Calibri" w:cs="Calibri"/>
                <w:lang w:eastAsia="zh-CN"/>
              </w:rPr>
            </w:pPr>
            <w:r>
              <w:rPr>
                <w:rFonts w:hint="eastAsia" w:ascii="Calibri" w:hAnsi="Calibri" w:cs="Calibri"/>
                <w:lang w:eastAsia="zh-CN"/>
              </w:rPr>
              <w:t>F</w:t>
            </w:r>
            <w:r>
              <w:rPr>
                <w:rFonts w:ascii="Calibri" w:hAnsi="Calibri" w:cs="Calibri"/>
                <w:lang w:eastAsia="zh-CN"/>
              </w:rPr>
              <w:t>AP</w:t>
            </w:r>
          </w:p>
        </w:tc>
        <w:tc>
          <w:tcPr>
            <w:tcW w:w="7461" w:type="dxa"/>
          </w:tcPr>
          <w:p w14:paraId="32F91F91">
            <w:pPr>
              <w:snapToGrid w:val="0"/>
              <w:spacing w:line="276" w:lineRule="auto"/>
              <w:jc w:val="both"/>
              <w:rPr>
                <w:rFonts w:ascii="Calibri" w:hAnsi="Calibri" w:cs="Calibri"/>
              </w:rPr>
            </w:pPr>
            <w:r>
              <w:rPr>
                <w:rFonts w:hint="eastAsia" w:ascii="Calibri" w:hAnsi="Calibri" w:cs="Calibri"/>
              </w:rPr>
              <w:t>Full Analysis Population</w:t>
            </w:r>
          </w:p>
        </w:tc>
      </w:tr>
      <w:tr w14:paraId="7DD7B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555" w:type="dxa"/>
          </w:tcPr>
          <w:p w14:paraId="32EA1735">
            <w:pPr>
              <w:snapToGrid w:val="0"/>
              <w:spacing w:line="276" w:lineRule="auto"/>
              <w:jc w:val="both"/>
              <w:rPr>
                <w:rFonts w:ascii="Calibri" w:hAnsi="Calibri" w:cs="Calibri"/>
                <w:lang w:eastAsia="zh-CN"/>
              </w:rPr>
            </w:pPr>
            <w:r>
              <w:rPr>
                <w:rFonts w:hint="eastAsia" w:ascii="Calibri" w:hAnsi="Calibri" w:cs="Calibri"/>
                <w:lang w:eastAsia="zh-CN"/>
              </w:rPr>
              <w:t>P</w:t>
            </w:r>
            <w:r>
              <w:rPr>
                <w:rFonts w:ascii="Calibri" w:hAnsi="Calibri" w:cs="Calibri"/>
                <w:lang w:eastAsia="zh-CN"/>
              </w:rPr>
              <w:t>PP</w:t>
            </w:r>
          </w:p>
        </w:tc>
        <w:tc>
          <w:tcPr>
            <w:tcW w:w="7461" w:type="dxa"/>
          </w:tcPr>
          <w:p w14:paraId="59892831">
            <w:pPr>
              <w:snapToGrid w:val="0"/>
              <w:spacing w:line="276" w:lineRule="auto"/>
              <w:jc w:val="both"/>
              <w:rPr>
                <w:rFonts w:ascii="Calibri" w:hAnsi="Calibri" w:cs="Calibri"/>
              </w:rPr>
            </w:pPr>
            <w:r>
              <w:rPr>
                <w:rFonts w:hint="eastAsia" w:ascii="Calibri" w:hAnsi="Calibri" w:cs="Calibri"/>
              </w:rPr>
              <w:t>Per Protocol Population</w:t>
            </w:r>
          </w:p>
        </w:tc>
      </w:tr>
    </w:tbl>
    <w:p w14:paraId="1B2DFDE6">
      <w:pPr>
        <w:pStyle w:val="2"/>
        <w:snapToGrid w:val="0"/>
        <w:contextualSpacing w:val="0"/>
        <w:jc w:val="both"/>
        <w:rPr>
          <w:rFonts w:ascii="Calibri" w:hAnsi="Calibri" w:cs="Calibri"/>
        </w:rPr>
      </w:pPr>
      <w:bookmarkStart w:id="6" w:name="_y364badvvwtg" w:colFirst="0" w:colLast="0"/>
      <w:bookmarkEnd w:id="6"/>
    </w:p>
    <w:p w14:paraId="615B23FD">
      <w:pPr>
        <w:snapToGrid w:val="0"/>
        <w:spacing w:line="276" w:lineRule="auto"/>
        <w:rPr>
          <w:rFonts w:ascii="Calibri" w:hAnsi="Calibri" w:cs="Calibri"/>
          <w:b/>
          <w:sz w:val="28"/>
          <w:szCs w:val="28"/>
        </w:rPr>
      </w:pPr>
      <w:r>
        <w:rPr>
          <w:rFonts w:ascii="Calibri" w:hAnsi="Calibri" w:cs="Calibri"/>
        </w:rPr>
        <w:br w:type="page"/>
      </w:r>
    </w:p>
    <w:p w14:paraId="4E723047">
      <w:pPr>
        <w:pStyle w:val="2"/>
        <w:numPr>
          <w:ilvl w:val="0"/>
          <w:numId w:val="1"/>
        </w:numPr>
        <w:snapToGrid w:val="0"/>
        <w:spacing w:before="0"/>
        <w:contextualSpacing w:val="0"/>
        <w:jc w:val="both"/>
        <w:rPr>
          <w:rFonts w:ascii="Calibri" w:hAnsi="Calibri" w:cs="Calibri"/>
        </w:rPr>
      </w:pPr>
      <w:bookmarkStart w:id="7" w:name="tyjcwt" w:colFirst="0" w:colLast="0"/>
      <w:bookmarkEnd w:id="7"/>
      <w:bookmarkStart w:id="8" w:name="_Toc107238573"/>
      <w:r>
        <w:rPr>
          <w:rFonts w:ascii="Calibri" w:hAnsi="Calibri" w:cs="Calibri"/>
        </w:rPr>
        <w:t>Introduction</w:t>
      </w:r>
      <w:bookmarkEnd w:id="8"/>
    </w:p>
    <w:p w14:paraId="0DB2F7D3">
      <w:pPr>
        <w:pStyle w:val="3"/>
        <w:numPr>
          <w:ilvl w:val="1"/>
          <w:numId w:val="1"/>
        </w:numPr>
        <w:snapToGrid w:val="0"/>
        <w:jc w:val="both"/>
        <w:rPr>
          <w:rFonts w:ascii="Calibri" w:hAnsi="Calibri" w:cs="Calibri"/>
        </w:rPr>
      </w:pPr>
      <w:bookmarkStart w:id="9" w:name="_Toc107238574"/>
      <w:r>
        <w:rPr>
          <w:rFonts w:ascii="Calibri" w:hAnsi="Calibri" w:cs="Calibri"/>
        </w:rPr>
        <w:t>Preface</w:t>
      </w:r>
      <w:bookmarkEnd w:id="9"/>
    </w:p>
    <w:p w14:paraId="30F742DF">
      <w:pPr>
        <w:snapToGrid w:val="0"/>
        <w:spacing w:line="276" w:lineRule="auto"/>
        <w:jc w:val="both"/>
        <w:rPr>
          <w:rFonts w:ascii="Calibri" w:hAnsi="Calibri" w:cs="Calibri"/>
        </w:rPr>
      </w:pPr>
      <w:r>
        <w:rPr>
          <w:rFonts w:ascii="Calibri" w:hAnsi="Calibri" w:cs="Calibri"/>
          <w:sz w:val="23"/>
          <w:szCs w:val="23"/>
        </w:rPr>
        <w:t xml:space="preserve">This statistical analysis plan (SAP) describes the analyses and data presentations for Wei Jiang’s </w:t>
      </w:r>
      <w:r>
        <w:rPr>
          <w:rFonts w:ascii="Calibri" w:hAnsi="Calibri" w:cs="Calibri"/>
        </w:rPr>
        <w:t xml:space="preserve">study protocol “Effectiveness of repetitive transcranial magnetic stimulation against post-stroke urinary incontinence: a study protocol for a randomized controlled trial”. </w:t>
      </w:r>
      <w:r>
        <w:rPr>
          <w:rFonts w:ascii="Calibri" w:hAnsi="Calibri" w:cs="Calibri"/>
          <w:sz w:val="23"/>
          <w:szCs w:val="23"/>
        </w:rPr>
        <w:t xml:space="preserve">It contains definitions of analysis populations, derived variables, and statistical methods for the analysis of efficacy and safety. </w:t>
      </w:r>
    </w:p>
    <w:p w14:paraId="25DA1FF0">
      <w:pPr>
        <w:snapToGrid w:val="0"/>
        <w:spacing w:line="276" w:lineRule="auto"/>
        <w:jc w:val="both"/>
        <w:rPr>
          <w:rFonts w:ascii="Calibri" w:hAnsi="Calibri" w:cs="Calibri"/>
        </w:rPr>
      </w:pPr>
      <w:r>
        <w:rPr>
          <w:rFonts w:ascii="Calibri" w:hAnsi="Calibri" w:cs="Calibri"/>
        </w:rPr>
        <w:t xml:space="preserve">These analyses include one final analysis. Throughout this SAP, the treatment arms will be referred to as </w:t>
      </w:r>
      <w:r>
        <w:rPr>
          <w:rFonts w:ascii="Calibri" w:hAnsi="Calibri" w:cs="Calibri"/>
          <w:lang w:eastAsia="zh-CN"/>
        </w:rPr>
        <w:t>“</w:t>
      </w:r>
      <w:r>
        <w:rPr>
          <w:rFonts w:ascii="Calibri" w:hAnsi="Calibri" w:cs="Calibri"/>
        </w:rPr>
        <w:t>low-frequency rTMS</w:t>
      </w:r>
      <w:r>
        <w:rPr>
          <w:rFonts w:ascii="Calibri" w:hAnsi="Calibri" w:cs="Calibri"/>
          <w:lang w:eastAsia="zh-CN"/>
        </w:rPr>
        <w:t>”</w:t>
      </w:r>
      <w:r>
        <w:rPr>
          <w:rFonts w:ascii="Calibri" w:hAnsi="Calibri" w:cs="Calibri"/>
        </w:rPr>
        <w:t xml:space="preserve"> for post-stroke urinary incontinence and the control arm will be "sham rTM</w:t>
      </w:r>
      <w:r>
        <w:rPr>
          <w:rFonts w:ascii="Calibri" w:hAnsi="Calibri" w:cs="Calibri"/>
          <w:lang w:eastAsia="zh-CN"/>
        </w:rPr>
        <w:t>S “</w:t>
      </w:r>
      <w:r>
        <w:rPr>
          <w:rFonts w:ascii="Calibri" w:hAnsi="Calibri" w:cs="Calibri"/>
        </w:rPr>
        <w:t>for post-stroke urinary incontinence”. The purpose of the SAP is to ensure the credibility of the study findings by specifying the statistical approaches to the analysis of study data prior to database lock for the final analysis.  All statistical analyses detailed in this SAP will be conducted using SPSS 19.0 (SPSS, Inc, Chicago, IL), or higher.</w:t>
      </w:r>
    </w:p>
    <w:p w14:paraId="3C07FC33">
      <w:pPr>
        <w:pStyle w:val="3"/>
        <w:numPr>
          <w:ilvl w:val="1"/>
          <w:numId w:val="1"/>
        </w:numPr>
        <w:snapToGrid w:val="0"/>
        <w:jc w:val="both"/>
        <w:rPr>
          <w:rFonts w:ascii="Calibri" w:hAnsi="Calibri" w:cs="Calibri"/>
        </w:rPr>
      </w:pPr>
      <w:bookmarkStart w:id="10" w:name="_Toc107238575"/>
      <w:r>
        <w:rPr>
          <w:rFonts w:ascii="Calibri" w:hAnsi="Calibri" w:cs="Calibri"/>
        </w:rPr>
        <w:t>Scope of the analyses</w:t>
      </w:r>
      <w:bookmarkEnd w:id="10"/>
    </w:p>
    <w:p w14:paraId="07B6E825">
      <w:pPr>
        <w:pStyle w:val="14"/>
        <w:snapToGrid w:val="0"/>
        <w:spacing w:after="0"/>
        <w:jc w:val="both"/>
        <w:rPr>
          <w:rFonts w:ascii="Calibri" w:hAnsi="Calibri" w:cs="Calibri"/>
          <w:i w:val="0"/>
        </w:rPr>
      </w:pPr>
      <w:r>
        <w:rPr>
          <w:rFonts w:ascii="Calibri" w:hAnsi="Calibri" w:cs="Calibri"/>
          <w:i w:val="0"/>
        </w:rPr>
        <w:t>These analyses will assess the efficacy and safety of contolesional M1 area [LF-rTMS] on PSI in comparison with the [Sham rMTS] and will be included in the clinical study report.</w:t>
      </w:r>
    </w:p>
    <w:p w14:paraId="5446873C">
      <w:pPr>
        <w:pStyle w:val="2"/>
        <w:numPr>
          <w:ilvl w:val="0"/>
          <w:numId w:val="1"/>
        </w:numPr>
        <w:snapToGrid w:val="0"/>
        <w:jc w:val="both"/>
        <w:rPr>
          <w:rFonts w:ascii="Calibri" w:hAnsi="Calibri" w:cs="Calibri"/>
        </w:rPr>
      </w:pPr>
      <w:bookmarkStart w:id="11" w:name="_Toc107238576"/>
      <w:r>
        <w:rPr>
          <w:rFonts w:ascii="Calibri" w:hAnsi="Calibri" w:cs="Calibri"/>
        </w:rPr>
        <w:t>Study Objectives</w:t>
      </w:r>
      <w:bookmarkEnd w:id="11"/>
      <w:r>
        <w:rPr>
          <w:rFonts w:ascii="Calibri" w:hAnsi="Calibri" w:cs="Calibri"/>
        </w:rPr>
        <w:t xml:space="preserve"> </w:t>
      </w:r>
    </w:p>
    <w:p w14:paraId="30BEFBD0">
      <w:pPr>
        <w:pStyle w:val="3"/>
        <w:numPr>
          <w:ilvl w:val="1"/>
          <w:numId w:val="1"/>
        </w:numPr>
        <w:snapToGrid w:val="0"/>
        <w:jc w:val="both"/>
        <w:rPr>
          <w:rFonts w:ascii="Calibri" w:hAnsi="Calibri" w:cs="Calibri"/>
        </w:rPr>
      </w:pPr>
      <w:bookmarkStart w:id="12" w:name="_Toc107238577"/>
      <w:r>
        <w:rPr>
          <w:rFonts w:ascii="Calibri" w:hAnsi="Calibri" w:cs="Calibri"/>
        </w:rPr>
        <w:t>Study Objectives</w:t>
      </w:r>
      <w:bookmarkEnd w:id="12"/>
    </w:p>
    <w:p w14:paraId="3A856CA5">
      <w:pPr>
        <w:snapToGrid w:val="0"/>
        <w:spacing w:line="276" w:lineRule="auto"/>
        <w:jc w:val="both"/>
        <w:rPr>
          <w:rFonts w:ascii="Calibri" w:hAnsi="Calibri" w:cs="Calibri"/>
        </w:rPr>
      </w:pPr>
      <w:r>
        <w:rPr>
          <w:rFonts w:ascii="Calibri" w:hAnsi="Calibri" w:cs="Calibri"/>
        </w:rPr>
        <w:t>The primary objective of the study is:</w:t>
      </w:r>
    </w:p>
    <w:p w14:paraId="2BA5CE0F">
      <w:pPr>
        <w:snapToGrid w:val="0"/>
        <w:spacing w:line="276" w:lineRule="auto"/>
        <w:ind w:left="220" w:leftChars="100"/>
        <w:jc w:val="both"/>
        <w:rPr>
          <w:rFonts w:ascii="Calibri" w:hAnsi="Calibri" w:cs="Calibri"/>
        </w:rPr>
      </w:pPr>
      <w:r>
        <w:rPr>
          <w:rFonts w:ascii="Calibri" w:hAnsi="Calibri" w:cs="Calibri"/>
        </w:rPr>
        <w:t>• to compare the efficacy of LF-rTMS versus sham rTMS on bladder capacity in subjects with post-stroke urinary incontinence</w:t>
      </w:r>
    </w:p>
    <w:p w14:paraId="12DEE04E">
      <w:pPr>
        <w:snapToGrid w:val="0"/>
        <w:spacing w:line="276" w:lineRule="auto"/>
        <w:ind w:left="220" w:leftChars="100"/>
        <w:jc w:val="both"/>
        <w:rPr>
          <w:rFonts w:ascii="Calibri" w:hAnsi="Calibri" w:cs="Calibri"/>
        </w:rPr>
      </w:pPr>
      <w:r>
        <w:rPr>
          <w:rFonts w:ascii="Calibri" w:hAnsi="Calibri" w:cs="Calibri"/>
        </w:rPr>
        <w:t>The bladder capacity came from urodynamic testing. During that test, we could also acquire other parameters. For example, detrusor contraction, bladder compliance, the sensation of bladder filling, any leakage, bladder capacity, detrusor pressure at maximum flow, maximum flow rate, and postvoid residual urine volume.</w:t>
      </w:r>
    </w:p>
    <w:p w14:paraId="0B4FD56C">
      <w:pPr>
        <w:snapToGrid w:val="0"/>
        <w:spacing w:line="276" w:lineRule="auto"/>
        <w:jc w:val="both"/>
        <w:rPr>
          <w:rFonts w:ascii="Calibri" w:hAnsi="Calibri" w:cs="Calibri"/>
        </w:rPr>
      </w:pPr>
      <w:r>
        <w:rPr>
          <w:rFonts w:ascii="Calibri" w:hAnsi="Calibri" w:cs="Calibri"/>
        </w:rPr>
        <w:t>The secondary objectives of the study are:</w:t>
      </w:r>
    </w:p>
    <w:p w14:paraId="10BB55D9">
      <w:pPr>
        <w:snapToGrid w:val="0"/>
        <w:spacing w:line="276" w:lineRule="auto"/>
        <w:ind w:left="220" w:leftChars="100"/>
        <w:jc w:val="both"/>
        <w:rPr>
          <w:rFonts w:ascii="Calibri" w:hAnsi="Calibri" w:cs="Calibri"/>
        </w:rPr>
      </w:pPr>
      <w:r>
        <w:rPr>
          <w:rFonts w:ascii="Calibri" w:hAnsi="Calibri" w:cs="Calibri"/>
        </w:rPr>
        <w:t>• to compare the safety of LF-rMTS versus sham rTMS(no formal testing will be provided)</w:t>
      </w:r>
    </w:p>
    <w:p w14:paraId="7DD90F7D">
      <w:pPr>
        <w:snapToGrid w:val="0"/>
        <w:spacing w:line="276" w:lineRule="auto"/>
        <w:ind w:left="220" w:leftChars="100"/>
        <w:jc w:val="both"/>
        <w:rPr>
          <w:rFonts w:ascii="Calibri" w:hAnsi="Calibri" w:cs="Calibri"/>
        </w:rPr>
      </w:pPr>
      <w:r>
        <w:rPr>
          <w:rFonts w:ascii="Calibri" w:hAnsi="Calibri" w:cs="Calibri"/>
        </w:rPr>
        <w:t>• to compare the efficacy of LF-rMTS versus sham rTMS using other parameters of efficacy:</w:t>
      </w:r>
    </w:p>
    <w:p w14:paraId="0B342E51">
      <w:pPr>
        <w:snapToGrid w:val="0"/>
        <w:spacing w:line="276" w:lineRule="auto"/>
        <w:ind w:left="440" w:leftChars="200"/>
        <w:jc w:val="both"/>
        <w:rPr>
          <w:rFonts w:ascii="Calibri" w:hAnsi="Calibri" w:cs="Calibri"/>
        </w:rPr>
      </w:pPr>
      <w:r>
        <w:rPr>
          <w:rFonts w:ascii="Calibri" w:hAnsi="Calibri" w:cs="Calibri"/>
        </w:rPr>
        <w:t>− The self-reporting questionnaire of ICIQ-UI SF and OABSS.</w:t>
      </w:r>
    </w:p>
    <w:p w14:paraId="6E10398E">
      <w:pPr>
        <w:snapToGrid w:val="0"/>
        <w:spacing w:line="276" w:lineRule="auto"/>
        <w:ind w:left="440" w:leftChars="200"/>
        <w:jc w:val="both"/>
        <w:rPr>
          <w:rFonts w:ascii="Calibri" w:hAnsi="Calibri" w:cs="Calibri"/>
        </w:rPr>
      </w:pPr>
      <w:r>
        <w:rPr>
          <w:rFonts w:ascii="Calibri" w:hAnsi="Calibri" w:cs="Calibri"/>
        </w:rPr>
        <w:t>− Surface EMG of the pelvic floor muscles (PFM) activities.</w:t>
      </w:r>
    </w:p>
    <w:p w14:paraId="3486CE10">
      <w:pPr>
        <w:pStyle w:val="2"/>
        <w:numPr>
          <w:ilvl w:val="0"/>
          <w:numId w:val="1"/>
        </w:numPr>
        <w:snapToGrid w:val="0"/>
        <w:jc w:val="both"/>
        <w:rPr>
          <w:rFonts w:ascii="Calibri" w:hAnsi="Calibri" w:cs="Calibri"/>
        </w:rPr>
      </w:pPr>
      <w:bookmarkStart w:id="13" w:name="_Toc107238578"/>
      <w:r>
        <w:rPr>
          <w:rFonts w:ascii="Calibri" w:hAnsi="Calibri" w:cs="Calibri"/>
        </w:rPr>
        <w:t>Study Methods</w:t>
      </w:r>
      <w:bookmarkEnd w:id="13"/>
    </w:p>
    <w:p w14:paraId="64A12600">
      <w:pPr>
        <w:pStyle w:val="3"/>
        <w:numPr>
          <w:ilvl w:val="1"/>
          <w:numId w:val="1"/>
        </w:numPr>
        <w:snapToGrid w:val="0"/>
        <w:jc w:val="both"/>
        <w:rPr>
          <w:rFonts w:ascii="Calibri" w:hAnsi="Calibri" w:cs="Calibri"/>
        </w:rPr>
      </w:pPr>
      <w:bookmarkStart w:id="14" w:name="_Toc107238579"/>
      <w:r>
        <w:rPr>
          <w:rFonts w:ascii="Calibri" w:hAnsi="Calibri" w:cs="Calibri"/>
        </w:rPr>
        <w:t>General Study Design and Plan</w:t>
      </w:r>
      <w:bookmarkEnd w:id="14"/>
    </w:p>
    <w:p w14:paraId="2A327909">
      <w:pPr>
        <w:snapToGrid w:val="0"/>
        <w:spacing w:line="276" w:lineRule="auto"/>
        <w:jc w:val="both"/>
        <w:rPr>
          <w:rFonts w:ascii="Calibri" w:hAnsi="Calibri" w:cs="Calibri"/>
        </w:rPr>
      </w:pPr>
      <w:r>
        <w:rPr>
          <w:rFonts w:ascii="Calibri" w:hAnsi="Calibri" w:cs="Calibri"/>
        </w:rPr>
        <w:t xml:space="preserve">This is a single-center, randomised double-blind, placebo-controlled superiority trial. Patients will be randomized 1:1 to receive either LF-rTMS or sham rTMS therapy. </w:t>
      </w:r>
    </w:p>
    <w:p w14:paraId="160422C7">
      <w:pPr>
        <w:snapToGrid w:val="0"/>
        <w:spacing w:line="276" w:lineRule="auto"/>
        <w:jc w:val="both"/>
        <w:rPr>
          <w:rFonts w:ascii="Calibri" w:hAnsi="Calibri" w:cs="Calibri"/>
          <w:lang w:eastAsia="zh-CN"/>
        </w:rPr>
      </w:pPr>
      <w:r>
        <w:rPr>
          <w:rFonts w:ascii="Calibri" w:hAnsi="Calibri" w:cs="Calibri"/>
          <w:lang w:eastAsia="zh-CN"/>
        </w:rPr>
        <w:t xml:space="preserve">The recruitment stops when there are 70 participants included in each group. </w:t>
      </w:r>
    </w:p>
    <w:p w14:paraId="6DD5A7D2">
      <w:pPr>
        <w:pStyle w:val="34"/>
        <w:numPr>
          <w:ilvl w:val="0"/>
          <w:numId w:val="2"/>
        </w:numPr>
        <w:snapToGrid w:val="0"/>
        <w:spacing w:line="276" w:lineRule="auto"/>
        <w:ind w:firstLineChars="0"/>
        <w:jc w:val="both"/>
        <w:rPr>
          <w:rFonts w:ascii="Calibri" w:hAnsi="Calibri" w:cs="Calibri"/>
          <w:lang w:eastAsia="zh-CN"/>
        </w:rPr>
      </w:pPr>
      <w:r>
        <w:rPr>
          <w:rFonts w:ascii="Calibri" w:hAnsi="Calibri" w:cs="Calibri"/>
          <w:lang w:eastAsia="zh-CN"/>
        </w:rPr>
        <w:t>rTMS group: 70, who will accept contralesional M1 LF-rTMS once a day, 5days/week for continues 4weeks.</w:t>
      </w:r>
    </w:p>
    <w:p w14:paraId="12293394">
      <w:pPr>
        <w:pStyle w:val="34"/>
        <w:numPr>
          <w:ilvl w:val="0"/>
          <w:numId w:val="2"/>
        </w:numPr>
        <w:snapToGrid w:val="0"/>
        <w:spacing w:line="276" w:lineRule="auto"/>
        <w:ind w:firstLineChars="0"/>
        <w:jc w:val="both"/>
        <w:rPr>
          <w:rFonts w:ascii="Calibri" w:hAnsi="Calibri" w:cs="Calibri"/>
          <w:lang w:eastAsia="zh-CN"/>
        </w:rPr>
      </w:pPr>
      <w:r>
        <w:rPr>
          <w:rFonts w:ascii="Calibri" w:hAnsi="Calibri" w:cs="Calibri"/>
          <w:lang w:eastAsia="zh-CN"/>
        </w:rPr>
        <w:t>sham rTMS group: 70, who will accept contralesional M1 sham rTMS once a day, 5days/week for continues 4weeks.</w:t>
      </w:r>
    </w:p>
    <w:p w14:paraId="69678016">
      <w:pPr>
        <w:pStyle w:val="3"/>
        <w:numPr>
          <w:ilvl w:val="1"/>
          <w:numId w:val="1"/>
        </w:numPr>
        <w:snapToGrid w:val="0"/>
        <w:jc w:val="both"/>
        <w:rPr>
          <w:rFonts w:ascii="Calibri" w:hAnsi="Calibri" w:cs="Calibri"/>
        </w:rPr>
      </w:pPr>
      <w:bookmarkStart w:id="15" w:name="_Toc107238580"/>
      <w:r>
        <w:rPr>
          <w:rFonts w:ascii="Calibri" w:hAnsi="Calibri" w:cs="Calibri"/>
        </w:rPr>
        <w:t>Inclusion-Exclusion Criteria and General Study Population</w:t>
      </w:r>
      <w:bookmarkEnd w:id="15"/>
    </w:p>
    <w:p w14:paraId="7CB740B6">
      <w:pPr>
        <w:snapToGrid w:val="0"/>
        <w:spacing w:after="200" w:line="276" w:lineRule="auto"/>
        <w:contextualSpacing/>
        <w:jc w:val="both"/>
        <w:rPr>
          <w:rFonts w:ascii="Calibri" w:hAnsi="Calibri" w:cs="Calibri"/>
          <w:b/>
          <w:bCs/>
        </w:rPr>
      </w:pPr>
      <w:r>
        <w:rPr>
          <w:rFonts w:ascii="Calibri" w:hAnsi="Calibri" w:cs="Calibri"/>
          <w:b/>
          <w:bCs/>
        </w:rPr>
        <w:t xml:space="preserve">The inclusion criteria are as follows: </w:t>
      </w:r>
    </w:p>
    <w:p w14:paraId="4F236D20">
      <w:pPr>
        <w:snapToGrid w:val="0"/>
        <w:spacing w:after="200" w:line="276" w:lineRule="auto"/>
        <w:ind w:left="220" w:leftChars="100"/>
        <w:contextualSpacing/>
        <w:jc w:val="both"/>
        <w:rPr>
          <w:rFonts w:ascii="Calibri" w:hAnsi="Calibri" w:cs="Calibri"/>
        </w:rPr>
      </w:pPr>
      <w:r>
        <w:rPr>
          <w:rFonts w:ascii="Calibri" w:hAnsi="Calibri" w:cs="Calibri"/>
        </w:rPr>
        <w:t>(1) onset of stroke between 1 to 12 months</w:t>
      </w:r>
    </w:p>
    <w:p w14:paraId="1545404A">
      <w:pPr>
        <w:snapToGrid w:val="0"/>
        <w:spacing w:after="200" w:line="276" w:lineRule="auto"/>
        <w:ind w:left="220" w:leftChars="100"/>
        <w:contextualSpacing/>
        <w:jc w:val="both"/>
        <w:rPr>
          <w:rFonts w:ascii="Calibri" w:hAnsi="Calibri" w:cs="Calibri"/>
        </w:rPr>
      </w:pPr>
      <w:r>
        <w:rPr>
          <w:rFonts w:ascii="Calibri" w:hAnsi="Calibri" w:cs="Calibri"/>
        </w:rPr>
        <w:t>(2) suffered from urinary incontinence after stroke</w:t>
      </w:r>
    </w:p>
    <w:p w14:paraId="2406DC6A">
      <w:pPr>
        <w:snapToGrid w:val="0"/>
        <w:spacing w:after="200" w:line="276" w:lineRule="auto"/>
        <w:ind w:left="220" w:leftChars="100"/>
        <w:contextualSpacing/>
        <w:jc w:val="both"/>
        <w:rPr>
          <w:rFonts w:ascii="Calibri" w:hAnsi="Calibri" w:cs="Calibri"/>
        </w:rPr>
      </w:pPr>
      <w:r>
        <w:rPr>
          <w:rFonts w:ascii="Calibri" w:hAnsi="Calibri" w:cs="Calibri"/>
        </w:rPr>
        <w:t>(3) aged over 30 years old of any gender</w:t>
      </w:r>
    </w:p>
    <w:p w14:paraId="7A7B5FE1">
      <w:pPr>
        <w:snapToGrid w:val="0"/>
        <w:spacing w:after="200" w:line="276" w:lineRule="auto"/>
        <w:ind w:left="220" w:leftChars="100"/>
        <w:contextualSpacing/>
        <w:jc w:val="both"/>
        <w:rPr>
          <w:rFonts w:ascii="Calibri" w:hAnsi="Calibri" w:cs="Calibri"/>
        </w:rPr>
      </w:pPr>
      <w:r>
        <w:rPr>
          <w:rFonts w:ascii="Calibri" w:hAnsi="Calibri" w:cs="Calibri"/>
        </w:rPr>
        <w:t>(4) no special medications administered for urinary incontinence</w:t>
      </w:r>
    </w:p>
    <w:p w14:paraId="53ECC7F1">
      <w:pPr>
        <w:snapToGrid w:val="0"/>
        <w:spacing w:after="200" w:line="276" w:lineRule="auto"/>
        <w:ind w:left="220" w:leftChars="100"/>
        <w:contextualSpacing/>
        <w:jc w:val="both"/>
        <w:rPr>
          <w:rFonts w:ascii="Calibri" w:hAnsi="Calibri" w:cs="Calibri"/>
        </w:rPr>
      </w:pPr>
      <w:r>
        <w:rPr>
          <w:rFonts w:ascii="Calibri" w:hAnsi="Calibri" w:cs="Calibri"/>
        </w:rPr>
        <w:t xml:space="preserve">(5) the ability to understand and agree to the trial procedures and to sign an informed consent form in accordance with the national legislation. </w:t>
      </w:r>
    </w:p>
    <w:p w14:paraId="099F14F5">
      <w:pPr>
        <w:snapToGrid w:val="0"/>
        <w:spacing w:after="200" w:line="276" w:lineRule="auto"/>
        <w:contextualSpacing/>
        <w:jc w:val="both"/>
        <w:rPr>
          <w:rFonts w:ascii="Calibri" w:hAnsi="Calibri" w:cs="Calibri"/>
          <w:b/>
          <w:bCs/>
        </w:rPr>
      </w:pPr>
      <w:r>
        <w:rPr>
          <w:rFonts w:ascii="Calibri" w:hAnsi="Calibri" w:cs="Calibri"/>
          <w:b/>
          <w:bCs/>
        </w:rPr>
        <w:t>The exclusion criteria are:</w:t>
      </w:r>
    </w:p>
    <w:p w14:paraId="218D7605">
      <w:pPr>
        <w:snapToGrid w:val="0"/>
        <w:spacing w:after="200" w:line="276" w:lineRule="auto"/>
        <w:ind w:left="220" w:leftChars="100"/>
        <w:contextualSpacing/>
        <w:jc w:val="both"/>
        <w:rPr>
          <w:rFonts w:ascii="Calibri" w:hAnsi="Calibri" w:cs="Calibri"/>
        </w:rPr>
      </w:pPr>
      <w:r>
        <w:rPr>
          <w:rFonts w:ascii="Calibri" w:hAnsi="Calibri" w:cs="Calibri"/>
        </w:rPr>
        <w:t>(1) any urinary dysfunction before stroke</w:t>
      </w:r>
    </w:p>
    <w:p w14:paraId="292D3BF7">
      <w:pPr>
        <w:snapToGrid w:val="0"/>
        <w:spacing w:after="200" w:line="276" w:lineRule="auto"/>
        <w:ind w:left="220" w:leftChars="100"/>
        <w:contextualSpacing/>
        <w:jc w:val="both"/>
        <w:rPr>
          <w:rFonts w:ascii="Calibri" w:hAnsi="Calibri" w:cs="Calibri"/>
        </w:rPr>
      </w:pPr>
      <w:r>
        <w:rPr>
          <w:rFonts w:ascii="Calibri" w:hAnsi="Calibri" w:cs="Calibri"/>
        </w:rPr>
        <w:t>(2) bilateral lesion in the brain</w:t>
      </w:r>
    </w:p>
    <w:p w14:paraId="2AD8D5C5">
      <w:pPr>
        <w:snapToGrid w:val="0"/>
        <w:spacing w:after="200" w:line="276" w:lineRule="auto"/>
        <w:ind w:left="220" w:leftChars="100"/>
        <w:contextualSpacing/>
        <w:jc w:val="both"/>
        <w:rPr>
          <w:rFonts w:ascii="Calibri" w:hAnsi="Calibri" w:cs="Calibri"/>
        </w:rPr>
      </w:pPr>
      <w:r>
        <w:rPr>
          <w:rFonts w:ascii="Calibri" w:hAnsi="Calibri" w:cs="Calibri"/>
        </w:rPr>
        <w:t>(3) urinary tract infection</w:t>
      </w:r>
    </w:p>
    <w:p w14:paraId="67937549">
      <w:pPr>
        <w:snapToGrid w:val="0"/>
        <w:spacing w:after="200" w:line="276" w:lineRule="auto"/>
        <w:ind w:left="220" w:leftChars="100"/>
        <w:contextualSpacing/>
        <w:jc w:val="both"/>
        <w:rPr>
          <w:rFonts w:ascii="Calibri" w:hAnsi="Calibri" w:cs="Calibri"/>
        </w:rPr>
      </w:pPr>
      <w:r>
        <w:rPr>
          <w:rFonts w:ascii="Calibri" w:hAnsi="Calibri" w:cs="Calibri"/>
        </w:rPr>
        <w:t>(4) the presence of an unstable medical condition or an uncontrolled known systemic disease</w:t>
      </w:r>
    </w:p>
    <w:p w14:paraId="35B3E313">
      <w:pPr>
        <w:snapToGrid w:val="0"/>
        <w:spacing w:after="200" w:line="276" w:lineRule="auto"/>
        <w:ind w:left="220" w:leftChars="100"/>
        <w:contextualSpacing/>
        <w:jc w:val="both"/>
        <w:rPr>
          <w:rFonts w:ascii="Calibri" w:hAnsi="Calibri" w:cs="Calibri"/>
        </w:rPr>
      </w:pPr>
      <w:r>
        <w:rPr>
          <w:rFonts w:ascii="Calibri" w:hAnsi="Calibri" w:cs="Calibri"/>
        </w:rPr>
        <w:t>(5) contraindications to rTMS (seizure, cardiac pacemaker, or ears nest implants)</w:t>
      </w:r>
    </w:p>
    <w:p w14:paraId="4E3596C2">
      <w:pPr>
        <w:snapToGrid w:val="0"/>
        <w:spacing w:after="200" w:line="276" w:lineRule="auto"/>
        <w:ind w:left="220" w:leftChars="100"/>
        <w:contextualSpacing/>
        <w:jc w:val="both"/>
        <w:rPr>
          <w:rFonts w:ascii="Calibri" w:hAnsi="Calibri" w:cs="Calibri"/>
        </w:rPr>
      </w:pPr>
      <w:r>
        <w:rPr>
          <w:rFonts w:ascii="Calibri" w:hAnsi="Calibri" w:cs="Calibri"/>
        </w:rPr>
        <w:t>(6) refuse to continue of the intervention.</w:t>
      </w:r>
    </w:p>
    <w:p w14:paraId="793C9DEF">
      <w:pPr>
        <w:pStyle w:val="3"/>
        <w:keepNext/>
        <w:keepLines/>
        <w:numPr>
          <w:ilvl w:val="1"/>
          <w:numId w:val="1"/>
        </w:numPr>
        <w:snapToGrid w:val="0"/>
        <w:jc w:val="both"/>
        <w:rPr>
          <w:rFonts w:ascii="Calibri" w:hAnsi="Calibri" w:cs="Calibri"/>
        </w:rPr>
      </w:pPr>
      <w:bookmarkStart w:id="16" w:name="_Toc107238581"/>
      <w:r>
        <w:rPr>
          <w:rFonts w:ascii="Calibri" w:hAnsi="Calibri" w:cs="Calibri"/>
        </w:rPr>
        <w:t>Randomization and Blinding</w:t>
      </w:r>
      <w:bookmarkEnd w:id="16"/>
      <w:r>
        <w:rPr>
          <w:rFonts w:ascii="Calibri" w:hAnsi="Calibri" w:cs="Calibri"/>
        </w:rPr>
        <w:t xml:space="preserve"> </w:t>
      </w:r>
    </w:p>
    <w:p w14:paraId="2C658029">
      <w:pPr>
        <w:pStyle w:val="34"/>
        <w:keepNext/>
        <w:keepLines/>
        <w:numPr>
          <w:ilvl w:val="0"/>
          <w:numId w:val="3"/>
        </w:numPr>
        <w:snapToGrid w:val="0"/>
        <w:spacing w:line="276" w:lineRule="auto"/>
        <w:ind w:firstLineChars="0"/>
        <w:jc w:val="both"/>
        <w:rPr>
          <w:rFonts w:ascii="Calibri" w:hAnsi="Calibri" w:cs="Calibri"/>
        </w:rPr>
      </w:pPr>
      <w:r>
        <w:rPr>
          <w:rFonts w:ascii="Calibri" w:hAnsi="Calibri" w:cs="Calibri"/>
        </w:rPr>
        <w:t>Participants will be randomly allocated to receive low frequency (LF) rTMS over the contralesional primary motor cortex(M1) or sham rTMS. The randomized number and sequence will be generated through SPSS Version 19.0 by an independent statistician, who will not take part in assessments and execution in this trial. An outsider research-assistant will allocate these numbers to participants according to the order of inclusion. After that the therapist and all eligible participants will be informed of the results of group allocation by an independent clinician via short message.</w:t>
      </w:r>
    </w:p>
    <w:p w14:paraId="53FD7B32">
      <w:pPr>
        <w:pStyle w:val="34"/>
        <w:keepNext/>
        <w:keepLines/>
        <w:numPr>
          <w:ilvl w:val="0"/>
          <w:numId w:val="3"/>
        </w:numPr>
        <w:snapToGrid w:val="0"/>
        <w:spacing w:line="276" w:lineRule="auto"/>
        <w:ind w:firstLineChars="0"/>
        <w:jc w:val="both"/>
        <w:rPr>
          <w:rFonts w:ascii="Calibri" w:hAnsi="Calibri" w:cs="Calibri"/>
        </w:rPr>
      </w:pPr>
      <w:r>
        <w:rPr>
          <w:rFonts w:ascii="Calibri" w:hAnsi="Calibri" w:cs="Calibri"/>
        </w:rPr>
        <w:t>As the physicians and the therapists administering the rTMS protocol, they cannot be blinded. However, both the researchers (outcome assessors and statistical analysts) and participants are blinded to the group assignment and the blindness will never be broken prior to the completion of study unless adverse events happen. Meanwhile, the randomized sequence of allocation will be replaced by some unrelated codes, such as I and II. In this study, code I means rTMS group and code II means sham rTMS group. Each parameter of randomization will be kept in a special sealed opaque envelope as previously reported.</w:t>
      </w:r>
    </w:p>
    <w:p w14:paraId="3E6C1371">
      <w:pPr>
        <w:pStyle w:val="3"/>
        <w:numPr>
          <w:ilvl w:val="1"/>
          <w:numId w:val="1"/>
        </w:numPr>
        <w:snapToGrid w:val="0"/>
        <w:jc w:val="both"/>
        <w:rPr>
          <w:rFonts w:ascii="Calibri" w:hAnsi="Calibri" w:cs="Calibri"/>
        </w:rPr>
      </w:pPr>
      <w:bookmarkStart w:id="17" w:name="z337ya" w:colFirst="0" w:colLast="0"/>
      <w:bookmarkEnd w:id="17"/>
      <w:bookmarkStart w:id="18" w:name="3j2qqm3" w:colFirst="0" w:colLast="0"/>
      <w:bookmarkEnd w:id="18"/>
      <w:bookmarkStart w:id="19" w:name="_Toc107238582"/>
      <w:r>
        <w:rPr>
          <w:rFonts w:ascii="Calibri" w:hAnsi="Calibri" w:cs="Calibri"/>
        </w:rPr>
        <w:t>Study Assessments</w:t>
      </w:r>
      <w:bookmarkEnd w:id="19"/>
      <w:r>
        <w:rPr>
          <w:rFonts w:ascii="Calibri" w:hAnsi="Calibri" w:cs="Calibri"/>
        </w:rPr>
        <w:t xml:space="preserve"> </w:t>
      </w:r>
    </w:p>
    <w:p w14:paraId="524314C4">
      <w:pPr>
        <w:snapToGrid w:val="0"/>
        <w:spacing w:line="276" w:lineRule="auto"/>
        <w:jc w:val="both"/>
        <w:rPr>
          <w:rFonts w:ascii="Calibri" w:hAnsi="Calibri" w:cs="Calibri"/>
        </w:rPr>
      </w:pPr>
      <w:r>
        <w:rPr>
          <w:rFonts w:ascii="Calibri" w:hAnsi="Calibri" w:cs="Calibri"/>
        </w:rPr>
        <w:t>Schedule of enrollment, interventions, and assessments.</w:t>
      </w:r>
    </w:p>
    <w:p w14:paraId="19798012">
      <w:pPr>
        <w:snapToGrid w:val="0"/>
        <w:spacing w:line="276" w:lineRule="auto"/>
        <w:jc w:val="both"/>
        <w:rPr>
          <w:rFonts w:ascii="Calibri" w:hAnsi="Calibri" w:cs="Calibri"/>
          <w:lang w:eastAsia="zh-CN"/>
        </w:rPr>
      </w:pPr>
      <w:r>
        <w:rPr>
          <w:rFonts w:ascii="Calibri" w:hAnsi="Calibri" w:cs="Calibri"/>
          <w:lang w:eastAsia="zh-CN"/>
        </w:rPr>
        <w:drawing>
          <wp:inline distT="0" distB="0" distL="0" distR="0">
            <wp:extent cx="5731510" cy="3406140"/>
            <wp:effectExtent l="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406140"/>
                    </a:xfrm>
                    <a:prstGeom prst="rect">
                      <a:avLst/>
                    </a:prstGeom>
                  </pic:spPr>
                </pic:pic>
              </a:graphicData>
            </a:graphic>
          </wp:inline>
        </w:drawing>
      </w:r>
    </w:p>
    <w:p w14:paraId="6532EF9B">
      <w:pPr>
        <w:numPr>
          <w:ilvl w:val="0"/>
          <w:numId w:val="4"/>
        </w:numPr>
        <w:snapToGrid w:val="0"/>
        <w:spacing w:line="276" w:lineRule="auto"/>
        <w:contextualSpacing/>
        <w:jc w:val="both"/>
        <w:rPr>
          <w:rFonts w:ascii="Calibri" w:hAnsi="Calibri" w:cs="Calibri"/>
        </w:rPr>
      </w:pPr>
      <w:r>
        <w:rPr>
          <w:rFonts w:ascii="Calibri" w:hAnsi="Calibri" w:cs="Calibri"/>
        </w:rPr>
        <w:t>Identification of any number ranges for numeric endpoints along with their corresponding text descriptors.</w:t>
      </w:r>
    </w:p>
    <w:p w14:paraId="6E1EE892">
      <w:pPr>
        <w:numPr>
          <w:ilvl w:val="1"/>
          <w:numId w:val="5"/>
        </w:numPr>
        <w:snapToGrid w:val="0"/>
        <w:spacing w:line="276" w:lineRule="auto"/>
        <w:contextualSpacing/>
        <w:jc w:val="both"/>
        <w:rPr>
          <w:rFonts w:ascii="Calibri" w:hAnsi="Calibri" w:cs="Calibri"/>
        </w:rPr>
      </w:pPr>
      <w:r>
        <w:rPr>
          <w:rFonts w:ascii="Calibri" w:hAnsi="Calibri" w:cs="Calibri"/>
        </w:rPr>
        <w:t>Items are measured on a 0-21 International Consultation on Incontinence Questionnaire Urinary Incontinence Short Form (ICIQ-UI SF) for which 0–7 points for mild UI, 8–12 points for moderate UI and 13–21 points for severe urinary incontinence.</w:t>
      </w:r>
    </w:p>
    <w:p w14:paraId="7F52F3B4">
      <w:pPr>
        <w:numPr>
          <w:ilvl w:val="1"/>
          <w:numId w:val="5"/>
        </w:numPr>
        <w:snapToGrid w:val="0"/>
        <w:spacing w:line="276" w:lineRule="auto"/>
        <w:contextualSpacing/>
        <w:jc w:val="both"/>
        <w:rPr>
          <w:rFonts w:ascii="Calibri" w:hAnsi="Calibri" w:cs="Calibri"/>
        </w:rPr>
      </w:pPr>
      <w:r>
        <w:rPr>
          <w:rFonts w:ascii="Calibri" w:hAnsi="Calibri" w:cs="Calibri"/>
        </w:rPr>
        <w:t>Items are measured on a 0-15 Overactive Bladder Symptom Score (OABSS) for which severity depending on the OABSS total score</w:t>
      </w:r>
      <w:r>
        <w:rPr>
          <w:rFonts w:ascii="Calibri" w:hAnsi="Calibri" w:cs="Calibri"/>
          <w:lang w:eastAsia="zh-CN"/>
        </w:rPr>
        <w:t>.</w:t>
      </w:r>
      <w:r>
        <w:rPr>
          <w:rFonts w:ascii="Calibri" w:hAnsi="Calibri" w:cs="Calibri"/>
        </w:rPr>
        <w:t xml:space="preserve"> it is defined as mild ≤5, moderate 6-11, severe ≥12.</w:t>
      </w:r>
    </w:p>
    <w:p w14:paraId="6A85B49F">
      <w:pPr>
        <w:pStyle w:val="2"/>
        <w:numPr>
          <w:ilvl w:val="0"/>
          <w:numId w:val="1"/>
        </w:numPr>
        <w:snapToGrid w:val="0"/>
        <w:jc w:val="both"/>
        <w:rPr>
          <w:rFonts w:ascii="Calibri" w:hAnsi="Calibri" w:cs="Calibri"/>
        </w:rPr>
      </w:pPr>
      <w:bookmarkStart w:id="20" w:name="4i7ojhp" w:colFirst="0" w:colLast="0"/>
      <w:bookmarkEnd w:id="20"/>
      <w:bookmarkStart w:id="21" w:name="_Toc107238583"/>
      <w:r>
        <w:rPr>
          <w:rFonts w:ascii="Calibri" w:hAnsi="Calibri" w:cs="Calibri"/>
        </w:rPr>
        <w:t>Sample Size</w:t>
      </w:r>
      <w:bookmarkEnd w:id="21"/>
      <w:r>
        <w:rPr>
          <w:rFonts w:ascii="Calibri" w:hAnsi="Calibri" w:cs="Calibri"/>
        </w:rPr>
        <w:t xml:space="preserve"> </w:t>
      </w:r>
    </w:p>
    <w:p w14:paraId="3FB9F74D">
      <w:pPr>
        <w:snapToGrid w:val="0"/>
        <w:spacing w:line="276" w:lineRule="auto"/>
        <w:jc w:val="both"/>
        <w:rPr>
          <w:rFonts w:ascii="Calibri" w:hAnsi="Calibri" w:cs="Calibri"/>
        </w:rPr>
      </w:pPr>
      <w:r>
        <w:rPr>
          <w:rFonts w:ascii="Calibri" w:hAnsi="Calibri" w:cs="Calibri"/>
        </w:rPr>
        <w:t xml:space="preserve">We aim to investigate the efficacy of LF rTMS for improving bladder function in PSI individuals. However, the primary outcomes for most previous studies are the pad test and urinary continence questionnaire, including the study previously referenced. </w:t>
      </w:r>
    </w:p>
    <w:p w14:paraId="266F229D">
      <w:pPr>
        <w:snapToGrid w:val="0"/>
        <w:spacing w:line="276" w:lineRule="auto"/>
        <w:jc w:val="both"/>
        <w:rPr>
          <w:rFonts w:ascii="Calibri" w:hAnsi="Calibri" w:cs="Calibri"/>
        </w:rPr>
      </w:pPr>
      <w:r>
        <w:rPr>
          <w:rFonts w:ascii="Calibri" w:hAnsi="Calibri" w:cs="Calibri"/>
        </w:rPr>
        <w:t>In this trial, we chose bladder capacity as one of our primary outcomes. Based on our previous observation (unpublished data), the mean and SD of bladder capacity in PSI patients were approximately 300 and 100 ml, respectively, and a bladder capacity increase of more than 50 ml was thought to be a therapeutic effect42. According to those results, a sample size of 63 participants in each group was calculated to sufficiently detect the target effect size (0.5) with a type I error of 5% (α = 0.05) and 80% power (β = 0.20) by Gpower V.3.1.9.2 software. We will add 10% to 25% more participants to account for potential loss to follow-up, resulting in a final enrolment goal of 140 participants (70 per group).</w:t>
      </w:r>
    </w:p>
    <w:p w14:paraId="6F5DF5F7">
      <w:pPr>
        <w:pStyle w:val="2"/>
        <w:numPr>
          <w:ilvl w:val="0"/>
          <w:numId w:val="1"/>
        </w:numPr>
        <w:snapToGrid w:val="0"/>
        <w:jc w:val="both"/>
        <w:rPr>
          <w:rFonts w:ascii="Calibri" w:hAnsi="Calibri" w:cs="Calibri"/>
        </w:rPr>
      </w:pPr>
      <w:bookmarkStart w:id="22" w:name="_Toc107238584"/>
      <w:r>
        <w:rPr>
          <w:rFonts w:ascii="Calibri" w:hAnsi="Calibri" w:cs="Calibri"/>
        </w:rPr>
        <w:t>General Analysis Considerations</w:t>
      </w:r>
      <w:bookmarkEnd w:id="22"/>
    </w:p>
    <w:p w14:paraId="3BA8F56E">
      <w:pPr>
        <w:pStyle w:val="3"/>
        <w:numPr>
          <w:ilvl w:val="1"/>
          <w:numId w:val="1"/>
        </w:numPr>
        <w:snapToGrid w:val="0"/>
        <w:jc w:val="both"/>
        <w:rPr>
          <w:rFonts w:ascii="Calibri" w:hAnsi="Calibri" w:cs="Calibri"/>
          <w:color w:val="000000" w:themeColor="text1"/>
          <w14:textFill>
            <w14:solidFill>
              <w14:schemeClr w14:val="tx1"/>
            </w14:solidFill>
          </w14:textFill>
        </w:rPr>
      </w:pPr>
      <w:bookmarkStart w:id="23" w:name="_Toc107238585"/>
      <w:r>
        <w:rPr>
          <w:rFonts w:ascii="Calibri" w:hAnsi="Calibri" w:cs="Calibri"/>
          <w:color w:val="000000" w:themeColor="text1"/>
          <w14:textFill>
            <w14:solidFill>
              <w14:schemeClr w14:val="tx1"/>
            </w14:solidFill>
          </w14:textFill>
        </w:rPr>
        <w:t>Timing of Analyses</w:t>
      </w:r>
      <w:bookmarkEnd w:id="23"/>
    </w:p>
    <w:p w14:paraId="1A36518B">
      <w:pPr>
        <w:snapToGrid w:val="0"/>
        <w:spacing w:line="276" w:lineRule="auto"/>
        <w:jc w:val="both"/>
        <w:rPr>
          <w:rFonts w:ascii="Calibri" w:hAnsi="Calibri" w:cs="Calibri"/>
        </w:rPr>
      </w:pPr>
      <w:r>
        <w:rPr>
          <w:rFonts w:ascii="Calibri" w:hAnsi="Calibri" w:cs="Calibri"/>
        </w:rPr>
        <w:t xml:space="preserve">The final analysis will be performed when </w:t>
      </w:r>
      <w:r>
        <w:rPr>
          <w:rFonts w:ascii="Calibri" w:hAnsi="Calibri" w:cs="Calibri"/>
          <w:lang w:eastAsia="zh-CN"/>
        </w:rPr>
        <w:t>all the</w:t>
      </w:r>
      <w:r>
        <w:rPr>
          <w:rFonts w:ascii="Calibri" w:hAnsi="Calibri" w:cs="Calibri"/>
        </w:rPr>
        <w:t xml:space="preserve"> subjects have completed the follow-up visit </w:t>
      </w:r>
      <w:r>
        <w:rPr>
          <w:rFonts w:ascii="Calibri" w:hAnsi="Calibri" w:cs="Calibri"/>
          <w:lang w:eastAsia="zh-CN"/>
        </w:rPr>
        <w:t>and all</w:t>
      </w:r>
      <w:r>
        <w:rPr>
          <w:rFonts w:ascii="Calibri" w:hAnsi="Calibri" w:cs="Calibri"/>
        </w:rPr>
        <w:t xml:space="preserve"> data will be transferred to the electronic edition, having been documented as meeting the cleaning and approval requirements of the Data Monitoring Committee and after the finalization and approval of this SAP document.</w:t>
      </w:r>
      <w:bookmarkStart w:id="24" w:name="2bn6wsx" w:colFirst="0" w:colLast="0"/>
      <w:bookmarkEnd w:id="24"/>
    </w:p>
    <w:p w14:paraId="52BDAE64">
      <w:pPr>
        <w:pStyle w:val="3"/>
        <w:keepNext/>
        <w:keepLines/>
        <w:numPr>
          <w:ilvl w:val="1"/>
          <w:numId w:val="1"/>
        </w:numPr>
        <w:rPr>
          <w:rFonts w:ascii="Calibri" w:hAnsi="Calibri" w:cs="Calibri"/>
        </w:rPr>
      </w:pPr>
      <w:bookmarkStart w:id="25" w:name="_Toc493157917"/>
      <w:bookmarkStart w:id="26" w:name="_Toc107238586"/>
      <w:r>
        <w:rPr>
          <w:rFonts w:ascii="Calibri" w:hAnsi="Calibri" w:cs="Calibri"/>
        </w:rPr>
        <w:t>Analysis Populations</w:t>
      </w:r>
      <w:bookmarkEnd w:id="25"/>
      <w:bookmarkEnd w:id="26"/>
    </w:p>
    <w:p w14:paraId="2E7112E4">
      <w:pPr>
        <w:snapToGrid w:val="0"/>
        <w:spacing w:line="276" w:lineRule="auto"/>
        <w:jc w:val="both"/>
        <w:rPr>
          <w:rFonts w:ascii="Calibri" w:hAnsi="Calibri" w:cs="Calibri"/>
        </w:rPr>
      </w:pPr>
      <w:r>
        <w:rPr>
          <w:rFonts w:ascii="Calibri" w:hAnsi="Calibri" w:cs="Calibri"/>
        </w:rPr>
        <w:t>The primary efficacy analyses will be performed on the Intent-to-treat (ITT) population for the primary and secondary endpoints. Primary and secondary endpoints will also be analyzed for the modified Intent-to-treat (mITT) population. Sensitivity analyses will be conducted for the primary and secondary endpoints based on the ITT population. All ITT and mITT analyses will be based on randomized treatment groups.</w:t>
      </w:r>
    </w:p>
    <w:p w14:paraId="7B0C55C3">
      <w:pPr>
        <w:pStyle w:val="34"/>
        <w:numPr>
          <w:ilvl w:val="2"/>
          <w:numId w:val="1"/>
        </w:numPr>
        <w:spacing w:line="276" w:lineRule="auto"/>
        <w:ind w:firstLineChars="0"/>
        <w:rPr>
          <w:rFonts w:ascii="Calibri" w:hAnsi="Calibri" w:cs="Calibri"/>
          <w:b/>
        </w:rPr>
      </w:pPr>
      <w:r>
        <w:rPr>
          <w:rFonts w:ascii="Calibri" w:hAnsi="Calibri" w:cs="Calibri"/>
          <w:b/>
        </w:rPr>
        <w:t>Full Analysis Population (FAP) (Intention-to-treat Population or Modified ITT)</w:t>
      </w:r>
    </w:p>
    <w:p w14:paraId="58692A99">
      <w:pPr>
        <w:pStyle w:val="34"/>
        <w:numPr>
          <w:ilvl w:val="0"/>
          <w:numId w:val="6"/>
        </w:numPr>
        <w:snapToGrid w:val="0"/>
        <w:spacing w:after="200" w:line="276" w:lineRule="auto"/>
        <w:ind w:firstLineChars="0"/>
        <w:contextualSpacing/>
        <w:jc w:val="both"/>
        <w:rPr>
          <w:rFonts w:ascii="Calibri" w:hAnsi="Calibri" w:cs="Calibri"/>
        </w:rPr>
      </w:pPr>
      <w:r>
        <w:rPr>
          <w:rFonts w:ascii="Calibri" w:hAnsi="Calibri" w:cs="Calibri"/>
        </w:rPr>
        <w:t>All subjects who were randomized, regardless of whether they received study treatment or not.</w:t>
      </w:r>
    </w:p>
    <w:p w14:paraId="069EACDE">
      <w:pPr>
        <w:pStyle w:val="34"/>
        <w:numPr>
          <w:ilvl w:val="0"/>
          <w:numId w:val="7"/>
        </w:numPr>
        <w:snapToGrid w:val="0"/>
        <w:spacing w:line="276" w:lineRule="auto"/>
        <w:ind w:firstLineChars="0"/>
        <w:contextualSpacing/>
        <w:jc w:val="both"/>
        <w:rPr>
          <w:rFonts w:ascii="Calibri" w:hAnsi="Calibri" w:cs="Calibri"/>
        </w:rPr>
      </w:pPr>
      <w:r>
        <w:rPr>
          <w:rFonts w:ascii="Calibri" w:hAnsi="Calibri" w:cs="Calibri"/>
        </w:rPr>
        <w:t>The mITT population is defined as all randomized subjects who have received at least 10 times of rTMS therapy and at least one post-baseline assessment for efficacy.</w:t>
      </w:r>
    </w:p>
    <w:p w14:paraId="3DE976BF">
      <w:pPr>
        <w:pStyle w:val="34"/>
        <w:numPr>
          <w:ilvl w:val="0"/>
          <w:numId w:val="7"/>
        </w:numPr>
        <w:snapToGrid w:val="0"/>
        <w:spacing w:line="276" w:lineRule="auto"/>
        <w:ind w:firstLineChars="0"/>
        <w:contextualSpacing/>
        <w:jc w:val="both"/>
        <w:rPr>
          <w:rFonts w:ascii="Calibri" w:hAnsi="Calibri" w:cs="Calibri"/>
        </w:rPr>
      </w:pPr>
      <w:r>
        <w:rPr>
          <w:rFonts w:ascii="Calibri" w:hAnsi="Calibri" w:cs="Calibri"/>
        </w:rPr>
        <w:t>The efficacy analysis will also be performed on the mITT population as supportive evidence and/or sensitivity analysis. Subjects will be analyzed according to the treatment arm to which they are initially assigned.</w:t>
      </w:r>
    </w:p>
    <w:p w14:paraId="36261D59">
      <w:pPr>
        <w:pStyle w:val="34"/>
        <w:numPr>
          <w:ilvl w:val="0"/>
          <w:numId w:val="7"/>
        </w:numPr>
        <w:snapToGrid w:val="0"/>
        <w:spacing w:line="276" w:lineRule="auto"/>
        <w:ind w:firstLineChars="0"/>
        <w:contextualSpacing/>
        <w:jc w:val="both"/>
        <w:rPr>
          <w:rFonts w:ascii="Calibri" w:hAnsi="Calibri" w:cs="Calibri"/>
        </w:rPr>
      </w:pPr>
      <w:r>
        <w:rPr>
          <w:rFonts w:ascii="Calibri" w:hAnsi="Calibri" w:cs="Calibri"/>
          <w:lang w:eastAsia="zh-CN"/>
        </w:rPr>
        <w:t xml:space="preserve">FAP will be the primary set that being analyzed. </w:t>
      </w:r>
    </w:p>
    <w:p w14:paraId="4A0B3F71">
      <w:pPr>
        <w:pStyle w:val="4"/>
        <w:numPr>
          <w:ilvl w:val="2"/>
          <w:numId w:val="1"/>
        </w:numPr>
        <w:spacing w:line="276" w:lineRule="auto"/>
        <w:rPr>
          <w:rFonts w:ascii="Calibri" w:hAnsi="Calibri" w:cs="Calibri"/>
        </w:rPr>
      </w:pPr>
      <w:bookmarkStart w:id="27" w:name="_Toc493157919"/>
      <w:bookmarkStart w:id="28" w:name="_Toc107238587"/>
      <w:r>
        <w:rPr>
          <w:rFonts w:ascii="Calibri" w:hAnsi="Calibri" w:cs="Calibri"/>
        </w:rPr>
        <w:t>Per Protocol Population</w:t>
      </w:r>
      <w:bookmarkEnd w:id="27"/>
      <w:r>
        <w:rPr>
          <w:rFonts w:ascii="Calibri" w:hAnsi="Calibri" w:cs="Calibri"/>
        </w:rPr>
        <w:t xml:space="preserve"> (PPP)</w:t>
      </w:r>
      <w:bookmarkEnd w:id="28"/>
    </w:p>
    <w:p w14:paraId="6B3159A8">
      <w:pPr>
        <w:pStyle w:val="34"/>
        <w:numPr>
          <w:ilvl w:val="0"/>
          <w:numId w:val="8"/>
        </w:numPr>
        <w:spacing w:after="200" w:line="276" w:lineRule="auto"/>
        <w:ind w:firstLineChars="0"/>
        <w:contextualSpacing/>
        <w:rPr>
          <w:rFonts w:ascii="Calibri" w:hAnsi="Calibri" w:cs="Calibri"/>
          <w:i/>
        </w:rPr>
      </w:pPr>
      <w:r>
        <w:rPr>
          <w:rFonts w:ascii="Calibri" w:hAnsi="Calibri" w:cs="Calibri"/>
          <w:i/>
        </w:rPr>
        <w:t>All subjects who did not substantially deviate from the protocol as to be determined on a per-subject basis at the trial steering committee immediately before database lock.</w:t>
      </w:r>
    </w:p>
    <w:p w14:paraId="7CBEEECD">
      <w:pPr>
        <w:pStyle w:val="34"/>
        <w:numPr>
          <w:ilvl w:val="0"/>
          <w:numId w:val="8"/>
        </w:numPr>
        <w:spacing w:after="200" w:line="276" w:lineRule="auto"/>
        <w:ind w:firstLineChars="0"/>
        <w:contextualSpacing/>
        <w:rPr>
          <w:rFonts w:ascii="Calibri" w:hAnsi="Calibri" w:cs="Calibri"/>
          <w:i/>
        </w:rPr>
      </w:pPr>
      <w:r>
        <w:rPr>
          <w:rFonts w:ascii="Calibri" w:hAnsi="Calibri" w:cs="Calibri"/>
          <w:i/>
          <w:lang w:eastAsia="zh-CN"/>
        </w:rPr>
        <w:t xml:space="preserve">PPP </w:t>
      </w:r>
      <w:r>
        <w:rPr>
          <w:rFonts w:ascii="Calibri" w:hAnsi="Calibri" w:cs="Calibri"/>
          <w:lang w:eastAsia="zh-CN"/>
        </w:rPr>
        <w:t>will be the secondary set that being analyzed.</w:t>
      </w:r>
    </w:p>
    <w:p w14:paraId="407D45EB">
      <w:pPr>
        <w:pStyle w:val="4"/>
        <w:numPr>
          <w:ilvl w:val="2"/>
          <w:numId w:val="1"/>
        </w:numPr>
        <w:snapToGrid w:val="0"/>
        <w:spacing w:line="276" w:lineRule="auto"/>
        <w:jc w:val="both"/>
        <w:rPr>
          <w:rFonts w:ascii="Calibri" w:hAnsi="Calibri" w:cs="Calibri"/>
        </w:rPr>
      </w:pPr>
      <w:bookmarkStart w:id="29" w:name="_Toc107238588"/>
      <w:r>
        <w:rPr>
          <w:rFonts w:ascii="Calibri" w:hAnsi="Calibri" w:cs="Calibri"/>
        </w:rPr>
        <w:t>Safety Population</w:t>
      </w:r>
      <w:bookmarkEnd w:id="29"/>
    </w:p>
    <w:p w14:paraId="3ADA4D55">
      <w:pPr>
        <w:pStyle w:val="34"/>
        <w:numPr>
          <w:ilvl w:val="0"/>
          <w:numId w:val="9"/>
        </w:numPr>
        <w:snapToGrid w:val="0"/>
        <w:spacing w:line="276" w:lineRule="auto"/>
        <w:ind w:firstLineChars="0"/>
        <w:contextualSpacing/>
        <w:jc w:val="both"/>
        <w:rPr>
          <w:rFonts w:ascii="Calibri" w:hAnsi="Calibri" w:cs="Calibri"/>
        </w:rPr>
      </w:pPr>
      <w:r>
        <w:rPr>
          <w:rFonts w:ascii="Calibri" w:hAnsi="Calibri" w:cs="Calibri"/>
        </w:rPr>
        <w:t>The safety population is defined as all subjects who have received at least one time of study rTMS therapy.</w:t>
      </w:r>
    </w:p>
    <w:p w14:paraId="20F01B9E">
      <w:pPr>
        <w:pStyle w:val="34"/>
        <w:numPr>
          <w:ilvl w:val="0"/>
          <w:numId w:val="9"/>
        </w:numPr>
        <w:snapToGrid w:val="0"/>
        <w:spacing w:line="276" w:lineRule="auto"/>
        <w:ind w:firstLineChars="0"/>
        <w:contextualSpacing/>
        <w:jc w:val="both"/>
        <w:rPr>
          <w:rFonts w:ascii="Calibri" w:hAnsi="Calibri" w:cs="Calibri"/>
        </w:rPr>
      </w:pPr>
      <w:r>
        <w:rPr>
          <w:rFonts w:ascii="Calibri" w:hAnsi="Calibri" w:cs="Calibri"/>
        </w:rPr>
        <w:t>The safety population will be used for all safety analyses. Subjects will be analyzed according to the treatment they initially received.</w:t>
      </w:r>
    </w:p>
    <w:p w14:paraId="1BCE349B">
      <w:pPr>
        <w:pStyle w:val="3"/>
        <w:numPr>
          <w:ilvl w:val="1"/>
          <w:numId w:val="1"/>
        </w:numPr>
        <w:snapToGrid w:val="0"/>
        <w:jc w:val="both"/>
        <w:rPr>
          <w:rFonts w:ascii="Calibri" w:hAnsi="Calibri" w:cs="Calibri"/>
        </w:rPr>
      </w:pPr>
      <w:bookmarkStart w:id="30" w:name="2p2csry" w:colFirst="0" w:colLast="0"/>
      <w:bookmarkEnd w:id="30"/>
      <w:r>
        <w:rPr>
          <w:rFonts w:ascii="Calibri" w:hAnsi="Calibri" w:cs="Calibri"/>
        </w:rPr>
        <w:t xml:space="preserve"> </w:t>
      </w:r>
      <w:bookmarkStart w:id="31" w:name="_Toc107238589"/>
      <w:r>
        <w:rPr>
          <w:rFonts w:ascii="Calibri" w:hAnsi="Calibri" w:cs="Calibri"/>
        </w:rPr>
        <w:t xml:space="preserve">Subgroup </w:t>
      </w:r>
      <w:r>
        <w:rPr>
          <w:rFonts w:ascii="Calibri" w:hAnsi="Calibri" w:cs="Calibri"/>
          <w:lang w:eastAsia="zh-CN"/>
        </w:rPr>
        <w:t>analysis</w:t>
      </w:r>
      <w:bookmarkEnd w:id="31"/>
    </w:p>
    <w:p w14:paraId="2F2DE1B4">
      <w:pPr>
        <w:snapToGrid w:val="0"/>
        <w:spacing w:line="276" w:lineRule="auto"/>
        <w:jc w:val="both"/>
        <w:rPr>
          <w:rFonts w:ascii="Calibri" w:hAnsi="Calibri" w:cs="Calibri"/>
        </w:rPr>
      </w:pPr>
      <w:bookmarkStart w:id="32" w:name="_r8mrrf03ivr" w:colFirst="0" w:colLast="0"/>
      <w:bookmarkEnd w:id="32"/>
      <w:r>
        <w:rPr>
          <w:rFonts w:ascii="Calibri" w:hAnsi="Calibri" w:cs="Calibri"/>
        </w:rPr>
        <w:t>In addition to analyses that include the ITT population, subgroup analyses may also be performed on other important factors such as demographic and baseline characteristics as needed:</w:t>
      </w:r>
    </w:p>
    <w:p w14:paraId="1552A8FF">
      <w:pPr>
        <w:pStyle w:val="34"/>
        <w:numPr>
          <w:ilvl w:val="0"/>
          <w:numId w:val="10"/>
        </w:numPr>
        <w:snapToGrid w:val="0"/>
        <w:spacing w:line="276" w:lineRule="auto"/>
        <w:ind w:firstLineChars="0"/>
        <w:jc w:val="both"/>
        <w:rPr>
          <w:rFonts w:ascii="Calibri" w:hAnsi="Calibri" w:cs="Calibri"/>
        </w:rPr>
      </w:pPr>
      <w:r>
        <w:rPr>
          <w:rFonts w:ascii="Calibri" w:hAnsi="Calibri" w:cs="Calibri"/>
        </w:rPr>
        <w:t xml:space="preserve">Age (&lt; 65; ≥ 65 years) </w:t>
      </w:r>
    </w:p>
    <w:p w14:paraId="1F29EE98">
      <w:pPr>
        <w:pStyle w:val="34"/>
        <w:numPr>
          <w:ilvl w:val="0"/>
          <w:numId w:val="10"/>
        </w:numPr>
        <w:snapToGrid w:val="0"/>
        <w:spacing w:line="276" w:lineRule="auto"/>
        <w:ind w:firstLineChars="0"/>
        <w:jc w:val="both"/>
        <w:rPr>
          <w:rFonts w:ascii="Calibri" w:hAnsi="Calibri" w:cs="Calibri"/>
        </w:rPr>
      </w:pPr>
      <w:r>
        <w:rPr>
          <w:rFonts w:ascii="Calibri" w:hAnsi="Calibri" w:cs="Calibri"/>
        </w:rPr>
        <w:t>Sex (male; female)</w:t>
      </w:r>
    </w:p>
    <w:p w14:paraId="26B3114A">
      <w:pPr>
        <w:pStyle w:val="34"/>
        <w:numPr>
          <w:ilvl w:val="0"/>
          <w:numId w:val="10"/>
        </w:numPr>
        <w:snapToGrid w:val="0"/>
        <w:spacing w:line="276" w:lineRule="auto"/>
        <w:ind w:firstLineChars="0"/>
        <w:jc w:val="both"/>
        <w:rPr>
          <w:rFonts w:ascii="Calibri" w:hAnsi="Calibri" w:cs="Calibri"/>
        </w:rPr>
      </w:pPr>
      <w:r>
        <w:rPr>
          <w:rFonts w:ascii="Calibri" w:hAnsi="Calibri" w:cs="Calibri"/>
        </w:rPr>
        <w:t xml:space="preserve">type of stroke course of stroke(&lt;6 ; ≥6 months) </w:t>
      </w:r>
    </w:p>
    <w:p w14:paraId="3B5DDBF8">
      <w:pPr>
        <w:pStyle w:val="34"/>
        <w:numPr>
          <w:ilvl w:val="0"/>
          <w:numId w:val="10"/>
        </w:numPr>
        <w:snapToGrid w:val="0"/>
        <w:spacing w:line="276" w:lineRule="auto"/>
        <w:ind w:firstLineChars="0"/>
        <w:jc w:val="both"/>
        <w:rPr>
          <w:rFonts w:ascii="Calibri" w:hAnsi="Calibri" w:cs="Calibri"/>
        </w:rPr>
      </w:pPr>
      <w:r>
        <w:rPr>
          <w:rFonts w:ascii="Calibri" w:hAnsi="Calibri" w:cs="Calibri"/>
        </w:rPr>
        <w:t>bladder capacity before treatment (&lt;300 ; ≥300 millilitres)</w:t>
      </w:r>
    </w:p>
    <w:p w14:paraId="0E38825F">
      <w:pPr>
        <w:pStyle w:val="3"/>
        <w:numPr>
          <w:ilvl w:val="1"/>
          <w:numId w:val="1"/>
        </w:numPr>
        <w:snapToGrid w:val="0"/>
        <w:jc w:val="both"/>
        <w:rPr>
          <w:rFonts w:ascii="Calibri" w:hAnsi="Calibri" w:cs="Calibri"/>
        </w:rPr>
      </w:pPr>
      <w:bookmarkStart w:id="33" w:name="3o7alnk" w:colFirst="0" w:colLast="0"/>
      <w:bookmarkEnd w:id="33"/>
      <w:bookmarkStart w:id="34" w:name="_Toc107238590"/>
      <w:r>
        <w:rPr>
          <w:rFonts w:ascii="Calibri" w:hAnsi="Calibri" w:cs="Calibri"/>
        </w:rPr>
        <w:t>Missing Data</w:t>
      </w:r>
      <w:bookmarkEnd w:id="34"/>
    </w:p>
    <w:p w14:paraId="543AB02A">
      <w:pPr>
        <w:widowControl/>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cs="Calibri"/>
        </w:rPr>
      </w:pPr>
      <w:r>
        <w:rPr>
          <w:rFonts w:hint="eastAsia" w:ascii="Calibri" w:hAnsi="Calibri" w:cs="Calibri"/>
        </w:rPr>
        <w:t>Last Observation Carried Forward (LOCF)</w:t>
      </w:r>
      <w:r>
        <w:rPr>
          <w:rFonts w:ascii="Calibri" w:hAnsi="Calibri" w:cs="Calibri"/>
        </w:rPr>
        <w:t xml:space="preserve"> </w:t>
      </w:r>
      <w:r>
        <w:rPr>
          <w:rFonts w:hint="eastAsia" w:ascii="Calibri" w:hAnsi="Calibri" w:cs="Calibri"/>
          <w:lang w:eastAsia="zh-CN"/>
        </w:rPr>
        <w:t>will</w:t>
      </w:r>
      <w:r>
        <w:rPr>
          <w:rFonts w:ascii="Calibri" w:hAnsi="Calibri" w:cs="Calibri"/>
          <w:lang w:eastAsia="zh-CN"/>
        </w:rPr>
        <w:t xml:space="preserve"> be employed</w:t>
      </w:r>
      <w:r>
        <w:rPr>
          <w:rFonts w:hint="eastAsia" w:ascii="Calibri" w:hAnsi="Calibri" w:cs="Calibri"/>
        </w:rPr>
        <w:t xml:space="preserve"> to the analysis of longitudinal repeated measures data where some follow-up observations may be missing. </w:t>
      </w:r>
    </w:p>
    <w:p w14:paraId="7163D62D">
      <w:pPr>
        <w:widowControl/>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cs="Calibri"/>
        </w:rPr>
      </w:pPr>
      <w:r>
        <w:rPr>
          <w:rFonts w:hint="eastAsia" w:ascii="Calibri" w:hAnsi="Calibri" w:cs="Calibri"/>
        </w:rPr>
        <w:t>In a LOCF</w:t>
      </w:r>
      <w:r>
        <w:rPr>
          <w:rFonts w:ascii="Calibri" w:hAnsi="Calibri" w:cs="Calibri"/>
        </w:rPr>
        <w:t xml:space="preserve"> </w:t>
      </w:r>
      <w:r>
        <w:rPr>
          <w:rFonts w:hint="eastAsia" w:ascii="Calibri" w:hAnsi="Calibri" w:cs="Calibri"/>
        </w:rPr>
        <w:t>analysis, a missing follow-up visit value is replaced by (imputed as) that subject</w:t>
      </w:r>
      <w:r>
        <w:rPr>
          <w:rFonts w:ascii="Calibri" w:hAnsi="Calibri" w:cs="Calibri"/>
          <w:lang w:eastAsia="zh-CN"/>
        </w:rPr>
        <w:t>’</w:t>
      </w:r>
      <w:r>
        <w:rPr>
          <w:rFonts w:hint="eastAsia" w:ascii="Calibri" w:hAnsi="Calibri" w:cs="Calibri"/>
        </w:rPr>
        <w:t>s previously observed value, i.e. the last observation is carried forward.</w:t>
      </w:r>
    </w:p>
    <w:p w14:paraId="3E6A0764">
      <w:pPr>
        <w:pStyle w:val="2"/>
        <w:numPr>
          <w:ilvl w:val="0"/>
          <w:numId w:val="1"/>
        </w:numPr>
        <w:snapToGrid w:val="0"/>
        <w:spacing w:before="0"/>
        <w:contextualSpacing w:val="0"/>
        <w:jc w:val="both"/>
        <w:rPr>
          <w:rFonts w:ascii="Calibri" w:hAnsi="Calibri" w:cs="Calibri"/>
        </w:rPr>
      </w:pPr>
      <w:bookmarkStart w:id="35" w:name="nmf14n" w:colFirst="0" w:colLast="0"/>
      <w:bookmarkEnd w:id="35"/>
      <w:r>
        <w:rPr>
          <w:rFonts w:ascii="Calibri" w:hAnsi="Calibri" w:cs="Calibri"/>
        </w:rPr>
        <w:t xml:space="preserve"> </w:t>
      </w:r>
      <w:bookmarkStart w:id="36" w:name="_Toc107238591"/>
      <w:r>
        <w:rPr>
          <w:rFonts w:ascii="Calibri" w:hAnsi="Calibri" w:cs="Calibri"/>
        </w:rPr>
        <w:t>Summary of Study Data</w:t>
      </w:r>
      <w:bookmarkEnd w:id="36"/>
    </w:p>
    <w:p w14:paraId="5493C286">
      <w:pPr>
        <w:snapToGrid w:val="0"/>
        <w:spacing w:line="276" w:lineRule="auto"/>
        <w:jc w:val="both"/>
        <w:rPr>
          <w:rFonts w:ascii="Calibri" w:hAnsi="Calibri" w:cs="Calibri"/>
        </w:rPr>
      </w:pPr>
      <w:r>
        <w:rPr>
          <w:rFonts w:ascii="Calibri" w:hAnsi="Calibri" w:cs="Calibri"/>
        </w:rPr>
        <w:t>All continuous variables will be summarized using the following descriptive statistics: n (non-missing sample size), mean, standard deviation, median, maximum and minimum. The frequency and percentages (based on the non-missing sample size) of observed levels will be reported for all categorical measures. In general, all data will be listed, sorted by site, treatment and subject, and when appropriate by visit number within subject. All summary tables will be structured with a column for each treatment in the order (sham rTMS, LF-rTMS ) and will be annotated with the total population size relevant to that table/treatment, including any missing observations.</w:t>
      </w:r>
    </w:p>
    <w:p w14:paraId="72836BCD">
      <w:pPr>
        <w:snapToGrid w:val="0"/>
        <w:spacing w:line="276" w:lineRule="auto"/>
        <w:jc w:val="both"/>
        <w:rPr>
          <w:rFonts w:ascii="Calibri" w:hAnsi="Calibri" w:cs="Calibri"/>
        </w:rPr>
      </w:pPr>
      <w:r>
        <w:rPr>
          <w:rFonts w:ascii="Calibri" w:hAnsi="Calibri" w:cs="Calibri"/>
        </w:rPr>
        <w:t>It may be worthwhile to document that the sample size of non-missing values for univariable summary statistics may be larger than the sample size of non-missing values in a complete-case analysis used in a typical primary regression analysis, as different patients may have missing values in different variables, such as baseline covariates and the endpoints. Generally, we would not want to exclude observations by repeating the summary statistics in a “complete case population.” Exclusions may imply the excluded observations are systematically different, thus contradicting a typical Missing At Random assumption, and could also be considered as a post-hoc subgroup analysis.</w:t>
      </w:r>
    </w:p>
    <w:p w14:paraId="1AF552AA">
      <w:pPr>
        <w:pStyle w:val="3"/>
        <w:numPr>
          <w:ilvl w:val="1"/>
          <w:numId w:val="1"/>
        </w:numPr>
        <w:snapToGrid w:val="0"/>
        <w:jc w:val="both"/>
        <w:rPr>
          <w:rFonts w:ascii="Calibri" w:hAnsi="Calibri" w:cs="Calibri"/>
        </w:rPr>
      </w:pPr>
      <w:bookmarkStart w:id="37" w:name="_Toc107238592"/>
      <w:r>
        <w:rPr>
          <w:rFonts w:ascii="Calibri" w:hAnsi="Calibri" w:cs="Calibri"/>
        </w:rPr>
        <w:t>Subject Disposition</w:t>
      </w:r>
      <w:bookmarkEnd w:id="37"/>
    </w:p>
    <w:p w14:paraId="25C08E82">
      <w:pPr>
        <w:snapToGrid w:val="0"/>
        <w:spacing w:line="276" w:lineRule="auto"/>
        <w:jc w:val="both"/>
        <w:rPr>
          <w:rFonts w:ascii="Calibri" w:hAnsi="Calibri" w:cs="Calibri"/>
        </w:rPr>
      </w:pPr>
      <w:r>
        <w:rPr>
          <w:rFonts w:ascii="Calibri" w:hAnsi="Calibri" w:cs="Calibri"/>
        </w:rPr>
        <w:t>Subject disposition will be tabulated using frequency and percent for all enrolled subjects. Subject disposition includes the number of subjects in the following populations by treatment arm: ITT, mITT, and safety populations.</w:t>
      </w:r>
    </w:p>
    <w:p w14:paraId="6727D884">
      <w:pPr>
        <w:snapToGrid w:val="0"/>
        <w:spacing w:line="276" w:lineRule="auto"/>
        <w:jc w:val="both"/>
        <w:rPr>
          <w:rFonts w:ascii="Calibri" w:hAnsi="Calibri" w:cs="Calibri"/>
        </w:rPr>
      </w:pPr>
      <w:r>
        <w:rPr>
          <w:rFonts w:ascii="Calibri" w:hAnsi="Calibri" w:cs="Calibri"/>
        </w:rPr>
        <w:t>Primary reasons for discontinuation from each study treatment will be collected on the CRF and will be listed in subject data listings as well as summarized, using frequency and percent, for all randomized subjects including the following categories:</w:t>
      </w:r>
    </w:p>
    <w:p w14:paraId="7EAA38BC">
      <w:pPr>
        <w:pStyle w:val="34"/>
        <w:numPr>
          <w:ilvl w:val="0"/>
          <w:numId w:val="11"/>
        </w:numPr>
        <w:snapToGrid w:val="0"/>
        <w:spacing w:line="276" w:lineRule="auto"/>
        <w:ind w:firstLineChars="0"/>
        <w:jc w:val="both"/>
        <w:rPr>
          <w:rFonts w:ascii="Calibri" w:hAnsi="Calibri" w:cs="Calibri"/>
        </w:rPr>
      </w:pPr>
      <w:r>
        <w:rPr>
          <w:rFonts w:ascii="Calibri" w:hAnsi="Calibri" w:cs="Calibri"/>
        </w:rPr>
        <w:t>Adverse event(s)</w:t>
      </w:r>
    </w:p>
    <w:p w14:paraId="634F7D01">
      <w:pPr>
        <w:pStyle w:val="34"/>
        <w:numPr>
          <w:ilvl w:val="0"/>
          <w:numId w:val="11"/>
        </w:numPr>
        <w:snapToGrid w:val="0"/>
        <w:spacing w:line="276" w:lineRule="auto"/>
        <w:ind w:firstLineChars="0"/>
        <w:jc w:val="both"/>
        <w:rPr>
          <w:rFonts w:ascii="Calibri" w:hAnsi="Calibri" w:cs="Calibri"/>
        </w:rPr>
      </w:pPr>
      <w:r>
        <w:rPr>
          <w:rFonts w:ascii="Calibri" w:hAnsi="Calibri" w:cs="Calibri"/>
        </w:rPr>
        <w:t>Withdrawal of consent</w:t>
      </w:r>
    </w:p>
    <w:p w14:paraId="7B7B812D">
      <w:pPr>
        <w:pStyle w:val="34"/>
        <w:numPr>
          <w:ilvl w:val="0"/>
          <w:numId w:val="11"/>
        </w:numPr>
        <w:snapToGrid w:val="0"/>
        <w:spacing w:line="276" w:lineRule="auto"/>
        <w:ind w:firstLineChars="0"/>
        <w:jc w:val="both"/>
        <w:rPr>
          <w:rFonts w:ascii="Calibri" w:hAnsi="Calibri" w:cs="Calibri"/>
        </w:rPr>
      </w:pPr>
      <w:r>
        <w:rPr>
          <w:rFonts w:ascii="Calibri" w:hAnsi="Calibri" w:cs="Calibri"/>
        </w:rPr>
        <w:t>Death</w:t>
      </w:r>
    </w:p>
    <w:p w14:paraId="4C17982E">
      <w:pPr>
        <w:pStyle w:val="34"/>
        <w:numPr>
          <w:ilvl w:val="0"/>
          <w:numId w:val="11"/>
        </w:numPr>
        <w:snapToGrid w:val="0"/>
        <w:spacing w:line="276" w:lineRule="auto"/>
        <w:ind w:firstLineChars="0"/>
        <w:jc w:val="both"/>
        <w:rPr>
          <w:rFonts w:ascii="Calibri" w:hAnsi="Calibri" w:cs="Calibri"/>
        </w:rPr>
      </w:pPr>
      <w:r>
        <w:rPr>
          <w:rFonts w:ascii="Calibri" w:hAnsi="Calibri" w:cs="Calibri"/>
        </w:rPr>
        <w:t>Lost to follow-up</w:t>
      </w:r>
    </w:p>
    <w:p w14:paraId="4035E7DD">
      <w:pPr>
        <w:pStyle w:val="34"/>
        <w:numPr>
          <w:ilvl w:val="0"/>
          <w:numId w:val="11"/>
        </w:numPr>
        <w:snapToGrid w:val="0"/>
        <w:spacing w:line="276" w:lineRule="auto"/>
        <w:ind w:firstLineChars="0"/>
        <w:jc w:val="both"/>
        <w:rPr>
          <w:rFonts w:ascii="Calibri" w:hAnsi="Calibri" w:cs="Calibri"/>
        </w:rPr>
      </w:pPr>
      <w:r>
        <w:rPr>
          <w:rFonts w:ascii="Calibri" w:hAnsi="Calibri" w:cs="Calibri"/>
        </w:rPr>
        <w:t>Protocol violation</w:t>
      </w:r>
    </w:p>
    <w:p w14:paraId="5D832802">
      <w:pPr>
        <w:pStyle w:val="34"/>
        <w:numPr>
          <w:ilvl w:val="0"/>
          <w:numId w:val="11"/>
        </w:numPr>
        <w:snapToGrid w:val="0"/>
        <w:spacing w:line="276" w:lineRule="auto"/>
        <w:ind w:firstLineChars="0"/>
        <w:jc w:val="both"/>
        <w:rPr>
          <w:rFonts w:ascii="Calibri" w:hAnsi="Calibri" w:cs="Calibri"/>
        </w:rPr>
      </w:pPr>
      <w:r>
        <w:rPr>
          <w:rFonts w:ascii="Calibri" w:hAnsi="Calibri" w:cs="Calibri"/>
        </w:rPr>
        <w:t>Other</w:t>
      </w:r>
    </w:p>
    <w:p w14:paraId="7F934E5B">
      <w:pPr>
        <w:snapToGrid w:val="0"/>
        <w:spacing w:line="276" w:lineRule="auto"/>
        <w:jc w:val="both"/>
        <w:rPr>
          <w:rFonts w:ascii="Calibri" w:hAnsi="Calibri" w:cs="Calibri"/>
        </w:rPr>
      </w:pPr>
      <w:r>
        <w:rPr>
          <w:rFonts w:ascii="Calibri" w:hAnsi="Calibri" w:cs="Calibri"/>
        </w:rPr>
        <w:t>Number of subjects who are ongoing in treatment, number of subjects who are ongoing in follow-up, and number of subjects who completed treatment will also be tabulated.</w:t>
      </w:r>
    </w:p>
    <w:p w14:paraId="5131F1C4">
      <w:pPr>
        <w:snapToGrid w:val="0"/>
        <w:spacing w:line="276" w:lineRule="auto"/>
        <w:jc w:val="both"/>
        <w:rPr>
          <w:rFonts w:ascii="Calibri" w:hAnsi="Calibri" w:cs="Calibri"/>
        </w:rPr>
      </w:pPr>
      <w:r>
        <w:rPr>
          <w:rFonts w:ascii="Calibri" w:hAnsi="Calibri" w:cs="Calibri"/>
        </w:rPr>
        <w:t>Number and percent of subjects who entered the follow-up phase with or without progression will be summarized. Primary reasons for study discontinuation will be collected on the CRF and will be listed in subject data listings as well as summarized, using frequency and percent, for all randomized subjects including the following categories:</w:t>
      </w:r>
    </w:p>
    <w:p w14:paraId="0414DE06">
      <w:pPr>
        <w:pStyle w:val="34"/>
        <w:numPr>
          <w:ilvl w:val="0"/>
          <w:numId w:val="12"/>
        </w:numPr>
        <w:snapToGrid w:val="0"/>
        <w:spacing w:line="276" w:lineRule="auto"/>
        <w:ind w:firstLineChars="0"/>
        <w:jc w:val="both"/>
        <w:rPr>
          <w:rFonts w:ascii="Calibri" w:hAnsi="Calibri" w:cs="Calibri"/>
        </w:rPr>
      </w:pPr>
      <w:r>
        <w:rPr>
          <w:rFonts w:ascii="Calibri" w:hAnsi="Calibri" w:cs="Calibri"/>
        </w:rPr>
        <w:t>Withdrawal of consent</w:t>
      </w:r>
    </w:p>
    <w:p w14:paraId="2F963C49">
      <w:pPr>
        <w:pStyle w:val="34"/>
        <w:numPr>
          <w:ilvl w:val="0"/>
          <w:numId w:val="12"/>
        </w:numPr>
        <w:snapToGrid w:val="0"/>
        <w:spacing w:line="276" w:lineRule="auto"/>
        <w:ind w:firstLineChars="0"/>
        <w:jc w:val="both"/>
        <w:rPr>
          <w:rFonts w:ascii="Calibri" w:hAnsi="Calibri" w:cs="Calibri"/>
        </w:rPr>
      </w:pPr>
      <w:r>
        <w:rPr>
          <w:rFonts w:ascii="Calibri" w:hAnsi="Calibri" w:cs="Calibri"/>
        </w:rPr>
        <w:t>Death</w:t>
      </w:r>
    </w:p>
    <w:p w14:paraId="31938786">
      <w:pPr>
        <w:pStyle w:val="34"/>
        <w:numPr>
          <w:ilvl w:val="0"/>
          <w:numId w:val="12"/>
        </w:numPr>
        <w:snapToGrid w:val="0"/>
        <w:spacing w:line="276" w:lineRule="auto"/>
        <w:ind w:firstLineChars="0"/>
        <w:jc w:val="both"/>
        <w:rPr>
          <w:rFonts w:ascii="Calibri" w:hAnsi="Calibri" w:cs="Calibri"/>
        </w:rPr>
      </w:pPr>
      <w:r>
        <w:rPr>
          <w:rFonts w:ascii="Calibri" w:hAnsi="Calibri" w:cs="Calibri"/>
        </w:rPr>
        <w:t>Lost to follow up</w:t>
      </w:r>
    </w:p>
    <w:p w14:paraId="03C2F2B4">
      <w:pPr>
        <w:pStyle w:val="34"/>
        <w:numPr>
          <w:ilvl w:val="0"/>
          <w:numId w:val="12"/>
        </w:numPr>
        <w:snapToGrid w:val="0"/>
        <w:spacing w:line="276" w:lineRule="auto"/>
        <w:ind w:firstLineChars="0"/>
        <w:jc w:val="both"/>
        <w:rPr>
          <w:rFonts w:ascii="Calibri" w:hAnsi="Calibri" w:cs="Calibri"/>
        </w:rPr>
      </w:pPr>
      <w:r>
        <w:rPr>
          <w:rFonts w:ascii="Calibri" w:hAnsi="Calibri" w:cs="Calibri"/>
        </w:rPr>
        <w:t>Protocol violation</w:t>
      </w:r>
    </w:p>
    <w:p w14:paraId="68E5A0C1">
      <w:pPr>
        <w:snapToGrid w:val="0"/>
        <w:spacing w:line="276" w:lineRule="auto"/>
        <w:jc w:val="both"/>
        <w:rPr>
          <w:rFonts w:ascii="Calibri" w:hAnsi="Calibri" w:cs="Calibri"/>
        </w:rPr>
      </w:pPr>
      <w:r>
        <w:rPr>
          <w:rFonts w:ascii="Calibri" w:hAnsi="Calibri" w:cs="Calibri"/>
        </w:rPr>
        <w:t>Duration of study participation, defined as from the date of randomization to the date of discontinuation of the study (or the date of the last visit), will be summarized.</w:t>
      </w:r>
    </w:p>
    <w:p w14:paraId="63C59EDE">
      <w:pPr>
        <w:snapToGrid w:val="0"/>
        <w:spacing w:line="276" w:lineRule="auto"/>
        <w:jc w:val="both"/>
        <w:rPr>
          <w:rFonts w:ascii="Calibri" w:hAnsi="Calibri" w:cs="Calibri"/>
        </w:rPr>
      </w:pPr>
      <w:r>
        <w:rPr>
          <w:rFonts w:ascii="Calibri" w:hAnsi="Calibri" w:cs="Calibri"/>
        </w:rPr>
        <w:t>Subject listings will be provided for randomized subjects, subjects discontinued from treatment, subjects discontinued from the study, and subjects who are excluded for a reason. The screen failures will be tabulated by unmet inclusion/exclusion criteria. A summary tabulation will be provided for subjects enrolled by study center.</w:t>
      </w:r>
    </w:p>
    <w:p w14:paraId="7F93F06C">
      <w:pPr>
        <w:pStyle w:val="3"/>
        <w:numPr>
          <w:ilvl w:val="1"/>
          <w:numId w:val="1"/>
        </w:numPr>
        <w:snapToGrid w:val="0"/>
        <w:jc w:val="both"/>
        <w:rPr>
          <w:rFonts w:ascii="Calibri" w:hAnsi="Calibri" w:cs="Calibri"/>
        </w:rPr>
      </w:pPr>
      <w:bookmarkStart w:id="38" w:name="_Toc107238593"/>
      <w:r>
        <w:rPr>
          <w:rFonts w:ascii="Calibri" w:hAnsi="Calibri" w:cs="Calibri"/>
        </w:rPr>
        <w:t>Protocol Deviations</w:t>
      </w:r>
      <w:bookmarkEnd w:id="38"/>
    </w:p>
    <w:p w14:paraId="55A7A915">
      <w:pPr>
        <w:snapToGrid w:val="0"/>
        <w:spacing w:line="276" w:lineRule="auto"/>
        <w:jc w:val="both"/>
        <w:rPr>
          <w:rFonts w:ascii="Calibri" w:hAnsi="Calibri" w:cs="Calibri"/>
        </w:rPr>
      </w:pPr>
      <w:r>
        <w:rPr>
          <w:rFonts w:ascii="Calibri" w:hAnsi="Calibri" w:cs="Calibri"/>
        </w:rPr>
        <w:t>Protocol deviations/violations are identified and assessed by the clinical research physician or designee following company standard operational procedure. The protocol violations will be summarized by treatment arm in the ITT population.</w:t>
      </w:r>
    </w:p>
    <w:p w14:paraId="1C0E7ACD">
      <w:pPr>
        <w:snapToGrid w:val="0"/>
        <w:spacing w:line="276" w:lineRule="auto"/>
        <w:jc w:val="both"/>
        <w:rPr>
          <w:rFonts w:ascii="Calibri" w:hAnsi="Calibri" w:cs="Calibri"/>
        </w:rPr>
      </w:pPr>
      <w:r>
        <w:rPr>
          <w:rFonts w:ascii="Calibri" w:hAnsi="Calibri" w:cs="Calibri"/>
        </w:rPr>
        <w:t>Protocol deviations will be summarized using frequency tabulations and listed under individual subject listings with no derivation as this information is from the clinical trial monitoring system.</w:t>
      </w:r>
    </w:p>
    <w:p w14:paraId="058653D6">
      <w:pPr>
        <w:snapToGrid w:val="0"/>
        <w:spacing w:line="276" w:lineRule="auto"/>
        <w:jc w:val="both"/>
        <w:rPr>
          <w:rFonts w:ascii="Calibri" w:hAnsi="Calibri" w:cs="Calibri"/>
        </w:rPr>
      </w:pPr>
      <w:r>
        <w:rPr>
          <w:rFonts w:ascii="Calibri" w:hAnsi="Calibri" w:cs="Calibri"/>
        </w:rPr>
        <w:t>A by-subject listing of subjects with protocol violations and deviations in the ITT population will be provided.</w:t>
      </w:r>
    </w:p>
    <w:p w14:paraId="5C5A1624">
      <w:pPr>
        <w:pStyle w:val="3"/>
        <w:numPr>
          <w:ilvl w:val="1"/>
          <w:numId w:val="1"/>
        </w:numPr>
        <w:snapToGrid w:val="0"/>
        <w:jc w:val="both"/>
        <w:rPr>
          <w:rFonts w:ascii="Calibri" w:hAnsi="Calibri" w:cs="Calibri"/>
        </w:rPr>
      </w:pPr>
      <w:bookmarkStart w:id="39" w:name="_Toc107238594"/>
      <w:r>
        <w:rPr>
          <w:rFonts w:ascii="Calibri" w:hAnsi="Calibri" w:cs="Calibri"/>
        </w:rPr>
        <w:t>Demographic and Baseline Variables</w:t>
      </w:r>
      <w:bookmarkEnd w:id="39"/>
    </w:p>
    <w:p w14:paraId="07105CD7">
      <w:pPr>
        <w:snapToGrid w:val="0"/>
        <w:spacing w:line="276" w:lineRule="auto"/>
        <w:jc w:val="both"/>
        <w:rPr>
          <w:rFonts w:ascii="Calibri" w:hAnsi="Calibri" w:cs="Calibri"/>
        </w:rPr>
      </w:pPr>
      <w:r>
        <w:rPr>
          <w:rFonts w:ascii="Calibri" w:hAnsi="Calibri" w:cs="Calibri"/>
        </w:rPr>
        <w:t>Subjects</w:t>
      </w:r>
      <w:r>
        <w:rPr>
          <w:rFonts w:ascii="Calibri" w:hAnsi="Calibri" w:cs="Calibri"/>
          <w:lang w:eastAsia="zh-CN"/>
        </w:rPr>
        <w:t>’</w:t>
      </w:r>
      <w:r>
        <w:rPr>
          <w:rFonts w:ascii="Calibri" w:hAnsi="Calibri" w:cs="Calibri"/>
        </w:rPr>
        <w:t xml:space="preserve"> age, height, weight, and other baseline characteristics (e.g., type of stroke, location of the lesion) will be summarized using descriptive statistics, while sex, and other categorical variables (e.g., baseline urodynamic testing results, the severity of the urine incontinence), will be provided using frequency tabulations. </w:t>
      </w:r>
    </w:p>
    <w:p w14:paraId="19C65DF4">
      <w:pPr>
        <w:snapToGrid w:val="0"/>
        <w:spacing w:line="276" w:lineRule="auto"/>
        <w:jc w:val="both"/>
        <w:rPr>
          <w:rFonts w:ascii="Calibri" w:hAnsi="Calibri" w:cs="Calibri"/>
        </w:rPr>
      </w:pPr>
      <w:r>
        <w:rPr>
          <w:rFonts w:ascii="Calibri" w:hAnsi="Calibri" w:cs="Calibri"/>
        </w:rPr>
        <w:t>The following items will be summarized by treatment arm.</w:t>
      </w:r>
    </w:p>
    <w:p w14:paraId="5BEB7AAC">
      <w:pPr>
        <w:pStyle w:val="34"/>
        <w:numPr>
          <w:ilvl w:val="0"/>
          <w:numId w:val="13"/>
        </w:numPr>
        <w:snapToGrid w:val="0"/>
        <w:spacing w:line="276" w:lineRule="auto"/>
        <w:ind w:firstLineChars="0"/>
        <w:jc w:val="both"/>
        <w:rPr>
          <w:rFonts w:ascii="Calibri" w:hAnsi="Calibri" w:cs="Calibri"/>
        </w:rPr>
      </w:pPr>
      <w:r>
        <w:rPr>
          <w:rFonts w:ascii="Calibri" w:hAnsi="Calibri" w:cs="Calibri"/>
        </w:rPr>
        <w:t>Bladder capacity</w:t>
      </w:r>
    </w:p>
    <w:p w14:paraId="42022888">
      <w:pPr>
        <w:pStyle w:val="34"/>
        <w:numPr>
          <w:ilvl w:val="0"/>
          <w:numId w:val="13"/>
        </w:numPr>
        <w:snapToGrid w:val="0"/>
        <w:spacing w:line="276" w:lineRule="auto"/>
        <w:ind w:firstLineChars="0"/>
        <w:jc w:val="both"/>
        <w:rPr>
          <w:rFonts w:ascii="Calibri" w:hAnsi="Calibri" w:cs="Calibri"/>
        </w:rPr>
      </w:pPr>
      <w:r>
        <w:rPr>
          <w:rFonts w:ascii="Calibri" w:hAnsi="Calibri" w:cs="Calibri"/>
        </w:rPr>
        <w:t xml:space="preserve">Detrusor pressure </w:t>
      </w:r>
    </w:p>
    <w:p w14:paraId="3EA4C5E6">
      <w:pPr>
        <w:pStyle w:val="34"/>
        <w:numPr>
          <w:ilvl w:val="0"/>
          <w:numId w:val="13"/>
        </w:numPr>
        <w:snapToGrid w:val="0"/>
        <w:spacing w:line="276" w:lineRule="auto"/>
        <w:ind w:firstLineChars="0"/>
        <w:jc w:val="both"/>
        <w:rPr>
          <w:rFonts w:ascii="Calibri" w:hAnsi="Calibri" w:cs="Calibri"/>
        </w:rPr>
      </w:pPr>
      <w:r>
        <w:rPr>
          <w:rFonts w:ascii="Calibri" w:hAnsi="Calibri" w:cs="Calibri"/>
        </w:rPr>
        <w:t>Residual volume</w:t>
      </w:r>
    </w:p>
    <w:p w14:paraId="34CFA1C4">
      <w:pPr>
        <w:pStyle w:val="34"/>
        <w:numPr>
          <w:ilvl w:val="0"/>
          <w:numId w:val="13"/>
        </w:numPr>
        <w:snapToGrid w:val="0"/>
        <w:spacing w:line="276" w:lineRule="auto"/>
        <w:ind w:firstLineChars="0"/>
        <w:jc w:val="both"/>
        <w:rPr>
          <w:rFonts w:ascii="Calibri" w:hAnsi="Calibri" w:cs="Calibri"/>
        </w:rPr>
      </w:pPr>
      <w:r>
        <w:rPr>
          <w:rFonts w:ascii="Calibri" w:hAnsi="Calibri" w:cs="Calibri"/>
        </w:rPr>
        <w:t>Maximum flow rate</w:t>
      </w:r>
    </w:p>
    <w:p w14:paraId="06F78C0D">
      <w:pPr>
        <w:pStyle w:val="34"/>
        <w:numPr>
          <w:ilvl w:val="0"/>
          <w:numId w:val="13"/>
        </w:numPr>
        <w:snapToGrid w:val="0"/>
        <w:spacing w:line="276" w:lineRule="auto"/>
        <w:ind w:firstLineChars="0"/>
        <w:jc w:val="both"/>
        <w:rPr>
          <w:rFonts w:ascii="Calibri" w:hAnsi="Calibri" w:cs="Calibri"/>
        </w:rPr>
      </w:pPr>
      <w:r>
        <w:rPr>
          <w:rFonts w:ascii="Calibri" w:hAnsi="Calibri" w:cs="Calibri"/>
        </w:rPr>
        <w:t>Score of ICIQ-UI SF</w:t>
      </w:r>
    </w:p>
    <w:p w14:paraId="2321605A">
      <w:pPr>
        <w:pStyle w:val="34"/>
        <w:numPr>
          <w:ilvl w:val="0"/>
          <w:numId w:val="13"/>
        </w:numPr>
        <w:snapToGrid w:val="0"/>
        <w:spacing w:line="276" w:lineRule="auto"/>
        <w:ind w:firstLineChars="0"/>
        <w:jc w:val="both"/>
        <w:rPr>
          <w:rFonts w:ascii="Calibri" w:hAnsi="Calibri" w:cs="Calibri"/>
        </w:rPr>
      </w:pPr>
      <w:r>
        <w:rPr>
          <w:rFonts w:ascii="Calibri" w:hAnsi="Calibri" w:cs="Calibri"/>
        </w:rPr>
        <w:t>OABSS</w:t>
      </w:r>
    </w:p>
    <w:p w14:paraId="5B9E6AB1">
      <w:pPr>
        <w:pStyle w:val="34"/>
        <w:numPr>
          <w:ilvl w:val="0"/>
          <w:numId w:val="13"/>
        </w:numPr>
        <w:snapToGrid w:val="0"/>
        <w:spacing w:line="276" w:lineRule="auto"/>
        <w:ind w:firstLineChars="0"/>
        <w:jc w:val="both"/>
        <w:rPr>
          <w:rFonts w:ascii="Calibri" w:hAnsi="Calibri" w:cs="Calibri"/>
        </w:rPr>
      </w:pPr>
      <w:r>
        <w:rPr>
          <w:rFonts w:ascii="Calibri" w:hAnsi="Calibri" w:cs="Calibri"/>
        </w:rPr>
        <w:t>pelvic floor muscle (PFM) activities(5-s maximum voluntary contractions)</w:t>
      </w:r>
    </w:p>
    <w:p w14:paraId="5FC47A91">
      <w:pPr>
        <w:pStyle w:val="3"/>
        <w:numPr>
          <w:ilvl w:val="1"/>
          <w:numId w:val="1"/>
        </w:numPr>
        <w:snapToGrid w:val="0"/>
        <w:jc w:val="both"/>
        <w:rPr>
          <w:rFonts w:ascii="Calibri" w:hAnsi="Calibri" w:cs="Calibri"/>
        </w:rPr>
      </w:pPr>
      <w:bookmarkStart w:id="40" w:name="_Toc107238595"/>
      <w:r>
        <w:rPr>
          <w:rFonts w:ascii="Calibri" w:hAnsi="Calibri" w:cs="Calibri"/>
        </w:rPr>
        <w:t>Concurrent Illnesses and Medical Conditions</w:t>
      </w:r>
      <w:bookmarkEnd w:id="40"/>
    </w:p>
    <w:p w14:paraId="0F9EFAC0">
      <w:pPr>
        <w:snapToGrid w:val="0"/>
        <w:spacing w:line="276" w:lineRule="auto"/>
        <w:jc w:val="both"/>
        <w:rPr>
          <w:rFonts w:ascii="Calibri" w:hAnsi="Calibri" w:cs="Calibri"/>
        </w:rPr>
      </w:pPr>
      <w:r>
        <w:rPr>
          <w:rFonts w:ascii="Calibri" w:hAnsi="Calibri" w:cs="Calibri"/>
        </w:rPr>
        <w:t>All medical history will be coded using the Medical Dictionary for Regulatory Activities (MedDRA®) Version 20.0 or later. The version of the MedDRA will be indicated in the footnote of relevant tables based on the current version used in the clinical data. A summary of the medical and surgical history will be presented by MedDRA system organ class (SOC) and preferred term (PT) in descending order of frequency by SOC, and then within each SOC by descending order of PT by the LF-rTMS group. By-subject listings will display medical history including all relevant data collected on the CRF.</w:t>
      </w:r>
    </w:p>
    <w:p w14:paraId="610644B5">
      <w:pPr>
        <w:pStyle w:val="3"/>
        <w:numPr>
          <w:ilvl w:val="1"/>
          <w:numId w:val="1"/>
        </w:numPr>
        <w:snapToGrid w:val="0"/>
        <w:jc w:val="both"/>
        <w:rPr>
          <w:rFonts w:ascii="Calibri" w:hAnsi="Calibri" w:cs="Calibri"/>
        </w:rPr>
      </w:pPr>
      <w:bookmarkStart w:id="41" w:name="_Toc107238596"/>
      <w:r>
        <w:rPr>
          <w:rFonts w:ascii="Calibri" w:hAnsi="Calibri" w:cs="Calibri"/>
        </w:rPr>
        <w:t>Treatment Compliance</w:t>
      </w:r>
      <w:bookmarkEnd w:id="41"/>
    </w:p>
    <w:p w14:paraId="4886ACFE">
      <w:pPr>
        <w:snapToGrid w:val="0"/>
        <w:spacing w:line="276" w:lineRule="auto"/>
        <w:jc w:val="both"/>
        <w:rPr>
          <w:rFonts w:ascii="Calibri" w:hAnsi="Calibri" w:cs="Calibri"/>
        </w:rPr>
      </w:pPr>
      <w:r>
        <w:rPr>
          <w:rFonts w:ascii="Calibri" w:hAnsi="Calibri" w:cs="Calibri"/>
        </w:rPr>
        <w:t>The table of tables document may be given as a reference to provide the finest level of detail needed to produce the report and to avoid duplication.</w:t>
      </w:r>
      <w:r>
        <w:rPr>
          <w:rFonts w:ascii="Calibri" w:hAnsi="Calibri" w:cs="Calibri"/>
          <w:lang w:eastAsia="zh-CN"/>
        </w:rPr>
        <w:t xml:space="preserve"> </w:t>
      </w:r>
      <w:r>
        <w:rPr>
          <w:rFonts w:ascii="Calibri" w:hAnsi="Calibri" w:cs="Calibri"/>
        </w:rPr>
        <w:t>The therapy records will be employed to measure treatment compliance. Those who accomplished over 20 times rTMS will be recognized as good compliance. The summary statistics will be produced in accordance with section 9.</w:t>
      </w:r>
    </w:p>
    <w:p w14:paraId="1252DE06">
      <w:pPr>
        <w:pStyle w:val="2"/>
        <w:numPr>
          <w:ilvl w:val="0"/>
          <w:numId w:val="1"/>
        </w:numPr>
        <w:snapToGrid w:val="0"/>
        <w:jc w:val="both"/>
        <w:rPr>
          <w:rFonts w:ascii="Calibri" w:hAnsi="Calibri" w:cs="Calibri"/>
        </w:rPr>
      </w:pPr>
      <w:bookmarkStart w:id="42" w:name="2zbgiuw" w:colFirst="0" w:colLast="0"/>
      <w:bookmarkEnd w:id="42"/>
      <w:bookmarkStart w:id="43" w:name="_Toc107238597"/>
      <w:r>
        <w:rPr>
          <w:rFonts w:ascii="Calibri" w:hAnsi="Calibri" w:cs="Calibri"/>
        </w:rPr>
        <w:t>Efficacy Analyses</w:t>
      </w:r>
      <w:bookmarkEnd w:id="43"/>
    </w:p>
    <w:p w14:paraId="3E373FBA">
      <w:pPr>
        <w:snapToGrid w:val="0"/>
        <w:spacing w:line="276" w:lineRule="auto"/>
        <w:jc w:val="both"/>
        <w:rPr>
          <w:rFonts w:ascii="Calibri" w:hAnsi="Calibri" w:cs="Calibri"/>
        </w:rPr>
      </w:pPr>
      <w:r>
        <w:rPr>
          <w:rFonts w:ascii="Calibri" w:hAnsi="Calibri" w:cs="Calibri"/>
        </w:rPr>
        <w:t xml:space="preserve">All efficacy analyses will be performed on the ITT population. Key efficacy analyses will be performed on the mITT population as supportive evidence and to assess the robustness of efficacy findings. Subjects will be analyzed according to randomized groups. Data will be summarized by treatment group. N, Mean, Standard Deviation, Minimum and Maximum will summarize continuous efficacy variables, whereas number and percent will summarize categorical efficacy variables. </w:t>
      </w:r>
    </w:p>
    <w:p w14:paraId="410BC96E">
      <w:pPr>
        <w:snapToGrid w:val="0"/>
        <w:spacing w:line="276" w:lineRule="auto"/>
        <w:jc w:val="both"/>
        <w:rPr>
          <w:rFonts w:ascii="Calibri" w:hAnsi="Calibri" w:cs="Calibri"/>
          <w:lang w:eastAsia="zh-CN"/>
        </w:rPr>
      </w:pPr>
      <w:r>
        <w:rPr>
          <w:rFonts w:ascii="Calibri" w:hAnsi="Calibri" w:cs="Calibri"/>
        </w:rPr>
        <w:t>All stratified analyses will be based on CRF data</w:t>
      </w:r>
      <w:r>
        <w:rPr>
          <w:rFonts w:ascii="Calibri" w:hAnsi="Calibri" w:cs="Calibri"/>
          <w:lang w:eastAsia="zh-CN"/>
        </w:rPr>
        <w:t>.</w:t>
      </w:r>
    </w:p>
    <w:p w14:paraId="3D2F0807">
      <w:pPr>
        <w:snapToGrid w:val="0"/>
        <w:spacing w:line="276" w:lineRule="auto"/>
        <w:jc w:val="both"/>
        <w:rPr>
          <w:rFonts w:ascii="Calibri" w:hAnsi="Calibri" w:cs="Calibri"/>
        </w:rPr>
      </w:pPr>
      <w:r>
        <w:rPr>
          <w:rFonts w:ascii="Calibri" w:hAnsi="Calibri" w:cs="Calibri"/>
        </w:rPr>
        <w:t xml:space="preserve">First, the comparison of the baseline data between the two groups will be performed using Student’s t test (e.g. bladder capacity), chi-squared test (e.g. type of stroke), or nonparametric test according to the type and distribution of variables. To verify the therapeutic efficacy of our intervention, comparisons of all the outcomes that are categorized as continuous variables and shown in mean scores will be included in the analysis by independent sample t-test (e.g. bladder capacity) or non-parametric test (Wilcoxon and Mann–Whitney U tests) depending on the distribution of the data. If the data are distributed normally and the variances are equal, independent samples t-tests will be used for comparisons of the before and after treatment changes between groups, including the mean differences between groups, with 95% CIs. </w:t>
      </w:r>
    </w:p>
    <w:p w14:paraId="21000227">
      <w:pPr>
        <w:snapToGrid w:val="0"/>
        <w:spacing w:line="276" w:lineRule="auto"/>
        <w:jc w:val="both"/>
        <w:rPr>
          <w:rFonts w:ascii="Calibri" w:hAnsi="Calibri" w:cs="Calibri"/>
        </w:rPr>
      </w:pPr>
      <w:r>
        <w:rPr>
          <w:rFonts w:ascii="Calibri" w:hAnsi="Calibri" w:cs="Calibri"/>
        </w:rPr>
        <w:t>Treatment groups will be tested at the 2-sided 5% significance level.</w:t>
      </w:r>
    </w:p>
    <w:p w14:paraId="43376CF2">
      <w:pPr>
        <w:pStyle w:val="3"/>
        <w:numPr>
          <w:ilvl w:val="1"/>
          <w:numId w:val="1"/>
        </w:numPr>
        <w:snapToGrid w:val="0"/>
        <w:jc w:val="both"/>
        <w:rPr>
          <w:rFonts w:ascii="Calibri" w:hAnsi="Calibri" w:cs="Calibri"/>
        </w:rPr>
      </w:pPr>
      <w:bookmarkStart w:id="44" w:name="3ygebqi" w:colFirst="0" w:colLast="0"/>
      <w:bookmarkEnd w:id="44"/>
      <w:bookmarkStart w:id="45" w:name="_Toc107238598"/>
      <w:r>
        <w:rPr>
          <w:rFonts w:ascii="Calibri" w:hAnsi="Calibri" w:cs="Calibri"/>
        </w:rPr>
        <w:t>Primary Efficacy Analysis</w:t>
      </w:r>
      <w:bookmarkEnd w:id="45"/>
    </w:p>
    <w:p w14:paraId="76A03C57">
      <w:pPr>
        <w:snapToGrid w:val="0"/>
        <w:spacing w:line="276" w:lineRule="auto"/>
        <w:jc w:val="both"/>
        <w:rPr>
          <w:rFonts w:ascii="Calibri" w:hAnsi="Calibri" w:cs="Calibri"/>
        </w:rPr>
      </w:pPr>
      <w:r>
        <w:rPr>
          <w:rFonts w:ascii="Calibri" w:hAnsi="Calibri" w:cs="Calibri"/>
        </w:rPr>
        <w:t xml:space="preserve">The primary analysis will be performed to compare the efficacy of LF-rTMS versus sham rTMS on bladder capacity in subjects with post-stroke urinary incontinence. The experimental arm will be declared superior if the double-sided p-value from the t-test is &lt; 0.05. </w:t>
      </w:r>
    </w:p>
    <w:p w14:paraId="3A102781">
      <w:pPr>
        <w:snapToGrid w:val="0"/>
        <w:spacing w:line="276" w:lineRule="auto"/>
        <w:jc w:val="both"/>
        <w:rPr>
          <w:rFonts w:ascii="Calibri" w:hAnsi="Calibri" w:cs="Calibri"/>
        </w:rPr>
      </w:pPr>
      <w:r>
        <w:rPr>
          <w:rFonts w:ascii="Calibri" w:hAnsi="Calibri" w:cs="Calibri"/>
        </w:rPr>
        <w:t>Our hypothesis is that real rTMS stimulation will elicit greater changes in balder capacity than sham rTMS stimulation. Therefore, the main analysis is the comparison of changes between groups, measured pre- and post-intervention. If significant differences are found before and after treatment changes between groups, we may conclude the efficacy of rTMS to participants with PSI.</w:t>
      </w:r>
    </w:p>
    <w:p w14:paraId="70D2DE93">
      <w:pPr>
        <w:snapToGrid w:val="0"/>
        <w:spacing w:line="276" w:lineRule="auto"/>
        <w:jc w:val="both"/>
        <w:rPr>
          <w:rFonts w:ascii="Calibri" w:hAnsi="Calibri" w:cs="Calibri"/>
        </w:rPr>
      </w:pPr>
      <w:r>
        <w:rPr>
          <w:rFonts w:ascii="Calibri" w:hAnsi="Calibri" w:cs="Calibri"/>
        </w:rPr>
        <w:t>Other parameters, such as detrusor contraction, bladder compliance, the sensation of bladder filling, any leakage, bladder capacity, detrusor pressure at maximum flow, maximum flow rate, and postvoid residual urine volume will also be considered in the comparison.</w:t>
      </w:r>
    </w:p>
    <w:p w14:paraId="0C106CF8">
      <w:pPr>
        <w:pStyle w:val="3"/>
        <w:numPr>
          <w:ilvl w:val="1"/>
          <w:numId w:val="1"/>
        </w:numPr>
        <w:snapToGrid w:val="0"/>
        <w:jc w:val="both"/>
        <w:rPr>
          <w:rFonts w:ascii="Calibri" w:hAnsi="Calibri" w:cs="Calibri"/>
        </w:rPr>
      </w:pPr>
      <w:r>
        <w:rPr>
          <w:rFonts w:ascii="Calibri" w:hAnsi="Calibri" w:cs="Calibri"/>
        </w:rPr>
        <w:t xml:space="preserve"> </w:t>
      </w:r>
      <w:bookmarkStart w:id="46" w:name="_Toc107238599"/>
      <w:r>
        <w:rPr>
          <w:rFonts w:ascii="Calibri" w:hAnsi="Calibri" w:cs="Calibri"/>
        </w:rPr>
        <w:t>Secondary Efficacy Analyses</w:t>
      </w:r>
      <w:bookmarkEnd w:id="46"/>
    </w:p>
    <w:p w14:paraId="2BDCCCF0">
      <w:pPr>
        <w:snapToGrid w:val="0"/>
        <w:spacing w:line="276" w:lineRule="auto"/>
        <w:jc w:val="both"/>
        <w:rPr>
          <w:rFonts w:ascii="Calibri" w:hAnsi="Calibri" w:cs="Calibri"/>
        </w:rPr>
      </w:pPr>
      <w:r>
        <w:rPr>
          <w:rFonts w:ascii="Calibri" w:hAnsi="Calibri" w:cs="Calibri"/>
        </w:rPr>
        <w:t>The secondary efficacy analyses will be performed to compare the efficacy of LF-rTMS versus sham rTMS on ICIQ-UI SF, OABSS and surface EMG of the pelvic floor muscles (PFM) activities in subjects with post-stroke urinary incontinence.  The experimental arm will be declared superior if the double-sided p-value from the t-test is &lt; 0.05 in favour of the experimental (LF-rTMS) arm.</w:t>
      </w:r>
      <w:bookmarkStart w:id="47" w:name="_ydoa6h5hhckh" w:colFirst="0" w:colLast="0"/>
      <w:bookmarkEnd w:id="47"/>
      <w:bookmarkStart w:id="48" w:name="_b706uihp3c0c" w:colFirst="0" w:colLast="0"/>
      <w:bookmarkEnd w:id="48"/>
    </w:p>
    <w:p w14:paraId="50AECEFB">
      <w:pPr>
        <w:pStyle w:val="3"/>
        <w:numPr>
          <w:ilvl w:val="1"/>
          <w:numId w:val="1"/>
        </w:numPr>
        <w:snapToGrid w:val="0"/>
        <w:jc w:val="both"/>
        <w:rPr>
          <w:rFonts w:ascii="Calibri" w:hAnsi="Calibri" w:cs="Calibri"/>
        </w:rPr>
      </w:pPr>
      <w:r>
        <w:rPr>
          <w:rFonts w:ascii="Calibri" w:hAnsi="Calibri" w:cs="Calibri"/>
        </w:rPr>
        <w:t xml:space="preserve"> </w:t>
      </w:r>
      <w:bookmarkStart w:id="49" w:name="_Toc107238600"/>
      <w:r>
        <w:rPr>
          <w:rFonts w:ascii="Calibri" w:hAnsi="Calibri" w:cs="Calibri"/>
        </w:rPr>
        <w:t>Exploratory Efficacy Analyses</w:t>
      </w:r>
      <w:bookmarkEnd w:id="49"/>
    </w:p>
    <w:p w14:paraId="5D474B13">
      <w:pPr>
        <w:snapToGrid w:val="0"/>
        <w:spacing w:line="276" w:lineRule="auto"/>
        <w:jc w:val="both"/>
        <w:rPr>
          <w:rFonts w:ascii="Calibri" w:hAnsi="Calibri" w:cs="Calibri"/>
        </w:rPr>
      </w:pPr>
      <w:r>
        <w:rPr>
          <w:rFonts w:ascii="Calibri" w:hAnsi="Calibri" w:cs="Calibri"/>
        </w:rPr>
        <w:t>The summary statistics will be produced in accordance with section 8.</w:t>
      </w:r>
    </w:p>
    <w:p w14:paraId="1317F438">
      <w:pPr>
        <w:pStyle w:val="2"/>
        <w:numPr>
          <w:ilvl w:val="0"/>
          <w:numId w:val="1"/>
        </w:numPr>
        <w:snapToGrid w:val="0"/>
        <w:jc w:val="both"/>
        <w:rPr>
          <w:rFonts w:ascii="Calibri" w:hAnsi="Calibri" w:cs="Calibri"/>
        </w:rPr>
      </w:pPr>
      <w:bookmarkStart w:id="50" w:name="1rvwp1q" w:colFirst="0" w:colLast="0"/>
      <w:bookmarkEnd w:id="50"/>
      <w:bookmarkStart w:id="51" w:name="_Toc107238601"/>
      <w:r>
        <w:rPr>
          <w:rFonts w:ascii="Calibri" w:hAnsi="Calibri" w:cs="Calibri"/>
        </w:rPr>
        <w:t>Safety Analyses</w:t>
      </w:r>
      <w:bookmarkEnd w:id="51"/>
    </w:p>
    <w:p w14:paraId="783F8677">
      <w:pPr>
        <w:snapToGrid w:val="0"/>
        <w:spacing w:line="276" w:lineRule="auto"/>
        <w:contextualSpacing/>
        <w:jc w:val="both"/>
        <w:rPr>
          <w:rFonts w:ascii="Calibri" w:hAnsi="Calibri" w:cs="Calibri"/>
        </w:rPr>
      </w:pPr>
      <w:r>
        <w:rPr>
          <w:rFonts w:ascii="Calibri" w:hAnsi="Calibri" w:cs="Calibri"/>
        </w:rPr>
        <w:t xml:space="preserve">All subjects who receive at least one dose of study </w:t>
      </w:r>
      <w:r>
        <w:rPr>
          <w:rFonts w:ascii="Calibri" w:hAnsi="Calibri" w:cs="Calibri"/>
          <w:lang w:eastAsia="zh-CN"/>
        </w:rPr>
        <w:t>treatment(rTMS)</w:t>
      </w:r>
      <w:r>
        <w:rPr>
          <w:rFonts w:ascii="Calibri" w:hAnsi="Calibri" w:cs="Calibri"/>
        </w:rPr>
        <w:t xml:space="preserve"> will be included in the safety analyses.</w:t>
      </w:r>
    </w:p>
    <w:p w14:paraId="6AA84B15">
      <w:pPr>
        <w:pStyle w:val="3"/>
        <w:numPr>
          <w:ilvl w:val="1"/>
          <w:numId w:val="1"/>
        </w:numPr>
        <w:snapToGrid w:val="0"/>
        <w:jc w:val="both"/>
        <w:rPr>
          <w:rFonts w:ascii="Calibri" w:hAnsi="Calibri" w:cs="Calibri"/>
        </w:rPr>
      </w:pPr>
      <w:bookmarkStart w:id="52" w:name="_Toc107238602"/>
      <w:r>
        <w:rPr>
          <w:rFonts w:ascii="Calibri" w:hAnsi="Calibri" w:cs="Calibri"/>
        </w:rPr>
        <w:t>Adverse Events</w:t>
      </w:r>
      <w:bookmarkEnd w:id="52"/>
    </w:p>
    <w:p w14:paraId="28AFFAAC">
      <w:pPr>
        <w:snapToGrid w:val="0"/>
        <w:spacing w:line="276" w:lineRule="auto"/>
        <w:jc w:val="both"/>
        <w:rPr>
          <w:rFonts w:ascii="Calibri" w:hAnsi="Calibri" w:cs="Calibri"/>
        </w:rPr>
      </w:pPr>
      <w:r>
        <w:rPr>
          <w:rFonts w:ascii="Calibri" w:hAnsi="Calibri" w:cs="Calibri"/>
        </w:rPr>
        <w:t>AEs will be graded according to the criteria in this table, which is from the NCI CTCAE version 4.03 Table for Grading the Severity of Adult Adverse Events.</w:t>
      </w:r>
    </w:p>
    <w:tbl>
      <w:tblPr>
        <w:tblStyle w:val="19"/>
        <w:tblW w:w="0" w:type="auto"/>
        <w:tblInd w:w="0" w:type="dxa"/>
        <w:tblBorders>
          <w:top w:val="single" w:color="auto" w:sz="2" w:space="0"/>
          <w:left w:val="none" w:color="auto" w:sz="0" w:space="0"/>
          <w:bottom w:val="single" w:color="auto" w:sz="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89"/>
        <w:gridCol w:w="283"/>
        <w:gridCol w:w="6044"/>
      </w:tblGrid>
      <w:tr w14:paraId="47D546DE">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89" w:type="dxa"/>
            <w:tcBorders>
              <w:top w:val="single" w:color="auto" w:sz="2" w:space="0"/>
              <w:bottom w:val="single" w:color="auto" w:sz="2" w:space="0"/>
            </w:tcBorders>
            <w:vAlign w:val="center"/>
          </w:tcPr>
          <w:p w14:paraId="03076698">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Grade</w:t>
            </w:r>
          </w:p>
        </w:tc>
        <w:tc>
          <w:tcPr>
            <w:tcW w:w="283" w:type="dxa"/>
            <w:tcBorders>
              <w:top w:val="single" w:color="auto" w:sz="2" w:space="0"/>
              <w:bottom w:val="single" w:color="auto" w:sz="2" w:space="0"/>
            </w:tcBorders>
            <w:vAlign w:val="center"/>
          </w:tcPr>
          <w:p w14:paraId="4DF78938">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6044" w:type="dxa"/>
            <w:tcBorders>
              <w:top w:val="single" w:color="auto" w:sz="2" w:space="0"/>
              <w:bottom w:val="single" w:color="auto" w:sz="2" w:space="0"/>
            </w:tcBorders>
            <w:vAlign w:val="center"/>
          </w:tcPr>
          <w:p w14:paraId="2C58056F">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Description</w:t>
            </w:r>
          </w:p>
        </w:tc>
      </w:tr>
      <w:tr w14:paraId="5D7D48BF">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89" w:type="dxa"/>
            <w:tcBorders>
              <w:top w:val="single" w:color="auto" w:sz="2" w:space="0"/>
            </w:tcBorders>
            <w:vAlign w:val="center"/>
          </w:tcPr>
          <w:p w14:paraId="5C0CA0CB">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Grade 1 (mild)</w:t>
            </w:r>
          </w:p>
        </w:tc>
        <w:tc>
          <w:tcPr>
            <w:tcW w:w="283" w:type="dxa"/>
            <w:tcBorders>
              <w:top w:val="single" w:color="auto" w:sz="2" w:space="0"/>
            </w:tcBorders>
            <w:vAlign w:val="center"/>
          </w:tcPr>
          <w:p w14:paraId="6B816608">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6044" w:type="dxa"/>
            <w:tcBorders>
              <w:top w:val="single" w:color="auto" w:sz="2" w:space="0"/>
            </w:tcBorders>
            <w:vAlign w:val="center"/>
          </w:tcPr>
          <w:p w14:paraId="5E343C63">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Asymptomatic or mild symptoms; clinical or diagnostic</w:t>
            </w:r>
          </w:p>
          <w:p w14:paraId="14FD88FF">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observations only; intervention not indicated</w:t>
            </w:r>
          </w:p>
        </w:tc>
      </w:tr>
      <w:tr w14:paraId="2D44DA40">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89" w:type="dxa"/>
            <w:vAlign w:val="center"/>
          </w:tcPr>
          <w:p w14:paraId="2A5CA460">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Grade 2 (moderate)</w:t>
            </w:r>
          </w:p>
        </w:tc>
        <w:tc>
          <w:tcPr>
            <w:tcW w:w="283" w:type="dxa"/>
            <w:vAlign w:val="center"/>
          </w:tcPr>
          <w:p w14:paraId="3F1ABA50">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6044" w:type="dxa"/>
            <w:vAlign w:val="center"/>
          </w:tcPr>
          <w:p w14:paraId="7F6A54D1">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Minimal, local or non-invasive intervention indicated; limiting age-appropriate instrumental ADL</w:t>
            </w:r>
          </w:p>
        </w:tc>
      </w:tr>
      <w:tr w14:paraId="27754C57">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89" w:type="dxa"/>
            <w:vAlign w:val="center"/>
          </w:tcPr>
          <w:p w14:paraId="45759AB2">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Grade 3 (severe)</w:t>
            </w:r>
          </w:p>
        </w:tc>
        <w:tc>
          <w:tcPr>
            <w:tcW w:w="283" w:type="dxa"/>
            <w:vAlign w:val="center"/>
          </w:tcPr>
          <w:p w14:paraId="4BBC8983">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6044" w:type="dxa"/>
            <w:vAlign w:val="center"/>
          </w:tcPr>
          <w:p w14:paraId="1AF4412E">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Medically significant but not immediately life-threatening; hospitalization or prolongation of hospitalization indicated; disabling; limiting self-care ADL</w:t>
            </w:r>
          </w:p>
        </w:tc>
      </w:tr>
      <w:tr w14:paraId="31FC3489">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89" w:type="dxa"/>
            <w:vAlign w:val="center"/>
          </w:tcPr>
          <w:p w14:paraId="59FE7C25">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Grade 4 (life-threatening)</w:t>
            </w:r>
          </w:p>
        </w:tc>
        <w:tc>
          <w:tcPr>
            <w:tcW w:w="283" w:type="dxa"/>
            <w:vAlign w:val="center"/>
          </w:tcPr>
          <w:p w14:paraId="12ED8FC8">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6044" w:type="dxa"/>
            <w:vAlign w:val="center"/>
          </w:tcPr>
          <w:p w14:paraId="3EB19431">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Life-threatening consequences; urgent intervention</w:t>
            </w:r>
          </w:p>
          <w:p w14:paraId="3D8EFFE8">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indicated</w:t>
            </w:r>
          </w:p>
        </w:tc>
      </w:tr>
      <w:tr w14:paraId="2F4B9C04">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89" w:type="dxa"/>
            <w:vAlign w:val="center"/>
          </w:tcPr>
          <w:p w14:paraId="337829A9">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Grade 5 (death)</w:t>
            </w:r>
          </w:p>
        </w:tc>
        <w:tc>
          <w:tcPr>
            <w:tcW w:w="283" w:type="dxa"/>
            <w:vAlign w:val="center"/>
          </w:tcPr>
          <w:p w14:paraId="23E31396">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6044" w:type="dxa"/>
            <w:vAlign w:val="center"/>
          </w:tcPr>
          <w:p w14:paraId="59731724">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r>
              <w:rPr>
                <w:rFonts w:ascii="Calibri" w:hAnsi="Calibri" w:cs="Calibri"/>
              </w:rPr>
              <w:t>Death related to AE</w:t>
            </w:r>
          </w:p>
        </w:tc>
      </w:tr>
    </w:tbl>
    <w:p w14:paraId="4A37CBB2">
      <w:pPr>
        <w:snapToGrid w:val="0"/>
        <w:spacing w:line="276" w:lineRule="auto"/>
        <w:jc w:val="both"/>
        <w:rPr>
          <w:rFonts w:ascii="Calibri" w:hAnsi="Calibri" w:cs="Calibri"/>
          <w:sz w:val="21"/>
          <w:szCs w:val="21"/>
        </w:rPr>
      </w:pPr>
      <w:r>
        <w:rPr>
          <w:rFonts w:ascii="Calibri" w:hAnsi="Calibri" w:cs="Calibri"/>
          <w:sz w:val="21"/>
          <w:szCs w:val="21"/>
        </w:rPr>
        <w:t>ADL, activities of daily living; AE, adverse event; CTCAE, Common Terminology Criteria for</w:t>
      </w:r>
      <w:r>
        <w:rPr>
          <w:rFonts w:ascii="Calibri" w:hAnsi="Calibri" w:cs="Calibri"/>
          <w:sz w:val="21"/>
          <w:szCs w:val="21"/>
          <w:lang w:eastAsia="zh-CN"/>
        </w:rPr>
        <w:t xml:space="preserve"> </w:t>
      </w:r>
      <w:r>
        <w:rPr>
          <w:rFonts w:ascii="Calibri" w:hAnsi="Calibri" w:cs="Calibri"/>
          <w:sz w:val="21"/>
          <w:szCs w:val="21"/>
        </w:rPr>
        <w:t>Adverse Events; NCI, National Cancer Institute.</w:t>
      </w:r>
    </w:p>
    <w:p w14:paraId="02305A0D">
      <w:pPr>
        <w:snapToGrid w:val="0"/>
        <w:spacing w:line="276" w:lineRule="auto"/>
        <w:jc w:val="both"/>
        <w:rPr>
          <w:rFonts w:ascii="Calibri" w:hAnsi="Calibri" w:cs="Calibri"/>
        </w:rPr>
      </w:pPr>
      <w:r>
        <w:rPr>
          <w:rFonts w:ascii="Calibri" w:hAnsi="Calibri" w:cs="Calibri"/>
        </w:rPr>
        <w:t xml:space="preserve">When calculating the incidence of adverse events, or any sub-classification thereof by treatment, time period, severity, etc., each subject will only be counted once and any repetitions of adverse events will be ignored; the denominator will be the total population size. </w:t>
      </w:r>
    </w:p>
    <w:p w14:paraId="13FB55BB">
      <w:pPr>
        <w:snapToGrid w:val="0"/>
        <w:spacing w:line="276" w:lineRule="auto"/>
        <w:jc w:val="both"/>
        <w:rPr>
          <w:rFonts w:ascii="Calibri" w:hAnsi="Calibri" w:cs="Calibri"/>
        </w:rPr>
      </w:pPr>
      <w:r>
        <w:rPr>
          <w:rFonts w:ascii="Calibri" w:hAnsi="Calibri" w:cs="Calibri"/>
        </w:rPr>
        <w:t>A treatment-emergent adverse events (TEAEs) are is defined as any AE occurring or worsening on or after the first rTMS treatment of the study  and  after the last treatment of the study</w:t>
      </w:r>
    </w:p>
    <w:p w14:paraId="2C149279">
      <w:pPr>
        <w:snapToGrid w:val="0"/>
        <w:spacing w:line="276" w:lineRule="auto"/>
        <w:jc w:val="both"/>
        <w:rPr>
          <w:rFonts w:ascii="Calibri" w:hAnsi="Calibri" w:cs="Calibri"/>
        </w:rPr>
      </w:pPr>
      <w:r>
        <w:rPr>
          <w:rFonts w:ascii="Calibri" w:hAnsi="Calibri" w:cs="Calibri"/>
        </w:rPr>
        <w:t>If a subject experienced the same rTMS multiple times then the subject will be counted only once within the particular treatment and by greatest severity.  The following TEAEs will be summarized by rTMS and Sham for each group: TEAEs leading to study treatment discontinuation, TEAEs leading to rTMS intensity reduction,  TEAEs related to study medication, severe TEAEs, serious TEAEs related to study treatment, serious TEAEs leading to study medication discontinuation, NCI-CTCAE Grade 3 or and 4 TEAEs, Grade 3 and 4 TEAEs leading to study treatment discontinuation, Grade 5 TEAEs and AEs of particular interest.</w:t>
      </w:r>
    </w:p>
    <w:p w14:paraId="2C43E488">
      <w:pPr>
        <w:snapToGrid w:val="0"/>
        <w:spacing w:line="276" w:lineRule="auto"/>
        <w:jc w:val="both"/>
        <w:rPr>
          <w:rFonts w:ascii="Calibri" w:hAnsi="Calibri" w:cs="Calibri"/>
        </w:rPr>
      </w:pPr>
      <w:r>
        <w:rPr>
          <w:rFonts w:ascii="Calibri" w:hAnsi="Calibri" w:cs="Calibri"/>
        </w:rPr>
        <w:t>Adverse events of special interest include:</w:t>
      </w:r>
    </w:p>
    <w:p w14:paraId="43A2EE34">
      <w:pPr>
        <w:pStyle w:val="34"/>
        <w:numPr>
          <w:ilvl w:val="0"/>
          <w:numId w:val="14"/>
        </w:numPr>
        <w:snapToGrid w:val="0"/>
        <w:spacing w:line="276" w:lineRule="auto"/>
        <w:ind w:firstLineChars="0"/>
        <w:jc w:val="both"/>
        <w:rPr>
          <w:rFonts w:ascii="Calibri" w:hAnsi="Calibri" w:cs="Calibri"/>
        </w:rPr>
      </w:pPr>
      <w:r>
        <w:rPr>
          <w:rFonts w:ascii="Calibri" w:hAnsi="Calibri" w:cs="Calibri"/>
        </w:rPr>
        <w:t>epilepsy</w:t>
      </w:r>
    </w:p>
    <w:p w14:paraId="5C990E97">
      <w:pPr>
        <w:pStyle w:val="34"/>
        <w:numPr>
          <w:ilvl w:val="0"/>
          <w:numId w:val="14"/>
        </w:numPr>
        <w:snapToGrid w:val="0"/>
        <w:spacing w:line="276" w:lineRule="auto"/>
        <w:ind w:firstLineChars="0"/>
        <w:jc w:val="both"/>
        <w:rPr>
          <w:rFonts w:ascii="Calibri" w:hAnsi="Calibri" w:cs="Calibri"/>
        </w:rPr>
      </w:pPr>
      <w:r>
        <w:rPr>
          <w:rFonts w:ascii="Calibri" w:hAnsi="Calibri" w:cs="Calibri"/>
        </w:rPr>
        <w:t xml:space="preserve">fatigue </w:t>
      </w:r>
    </w:p>
    <w:p w14:paraId="76D19E8E">
      <w:pPr>
        <w:pStyle w:val="34"/>
        <w:numPr>
          <w:ilvl w:val="0"/>
          <w:numId w:val="14"/>
        </w:numPr>
        <w:snapToGrid w:val="0"/>
        <w:spacing w:line="276" w:lineRule="auto"/>
        <w:ind w:firstLineChars="0"/>
        <w:jc w:val="both"/>
        <w:rPr>
          <w:rFonts w:ascii="Calibri" w:hAnsi="Calibri" w:cs="Calibri"/>
        </w:rPr>
      </w:pPr>
      <w:r>
        <w:rPr>
          <w:rFonts w:ascii="Calibri" w:hAnsi="Calibri" w:cs="Calibri"/>
        </w:rPr>
        <w:t>dizziness</w:t>
      </w:r>
    </w:p>
    <w:p w14:paraId="694335E8">
      <w:pPr>
        <w:pStyle w:val="34"/>
        <w:numPr>
          <w:ilvl w:val="0"/>
          <w:numId w:val="14"/>
        </w:numPr>
        <w:snapToGrid w:val="0"/>
        <w:spacing w:line="276" w:lineRule="auto"/>
        <w:ind w:firstLineChars="0"/>
        <w:jc w:val="both"/>
        <w:rPr>
          <w:rFonts w:ascii="Calibri" w:hAnsi="Calibri" w:cs="Calibri"/>
        </w:rPr>
      </w:pPr>
      <w:r>
        <w:rPr>
          <w:rFonts w:ascii="Calibri" w:hAnsi="Calibri" w:cs="Calibri"/>
        </w:rPr>
        <w:t>headache</w:t>
      </w:r>
    </w:p>
    <w:p w14:paraId="7472D0E4">
      <w:pPr>
        <w:pStyle w:val="3"/>
        <w:numPr>
          <w:ilvl w:val="1"/>
          <w:numId w:val="1"/>
        </w:numPr>
        <w:rPr>
          <w:rFonts w:ascii="Calibri" w:hAnsi="Calibri" w:cs="Calibri"/>
        </w:rPr>
      </w:pPr>
      <w:bookmarkStart w:id="53" w:name="_Toc493157953"/>
      <w:bookmarkStart w:id="54" w:name="_Toc107238603"/>
      <w:r>
        <w:rPr>
          <w:rFonts w:ascii="Calibri" w:hAnsi="Calibri" w:cs="Calibri"/>
        </w:rPr>
        <w:t>Clinical Laboratory Evaluations</w:t>
      </w:r>
      <w:bookmarkEnd w:id="53"/>
      <w:bookmarkEnd w:id="54"/>
    </w:p>
    <w:p w14:paraId="17B429DD">
      <w:pPr>
        <w:snapToGrid w:val="0"/>
        <w:spacing w:line="276" w:lineRule="auto"/>
        <w:jc w:val="both"/>
        <w:rPr>
          <w:rFonts w:ascii="Calibri" w:hAnsi="Calibri" w:cs="Calibri"/>
        </w:rPr>
      </w:pPr>
      <w:r>
        <w:rPr>
          <w:rFonts w:ascii="Calibri" w:hAnsi="Calibri" w:cs="Calibri"/>
        </w:rPr>
        <w:t>Clinical laboratory values will be graded according to NCI CTCAE Version 4.0 for applicable tests. Shift from baseline to worst severity grade observed during the treatment will be displayed by treatment. Normal ranges will be used to determine the categories if High, Low, and Normal for lab tests that have no severity grade.</w:t>
      </w:r>
    </w:p>
    <w:p w14:paraId="0BB9FF0D">
      <w:pPr>
        <w:snapToGrid w:val="0"/>
        <w:spacing w:line="276" w:lineRule="auto"/>
        <w:jc w:val="both"/>
        <w:rPr>
          <w:rFonts w:ascii="Calibri" w:hAnsi="Calibri" w:cs="Calibri"/>
        </w:rPr>
      </w:pPr>
      <w:r>
        <w:rPr>
          <w:rFonts w:ascii="Calibri" w:hAnsi="Calibri" w:cs="Calibri"/>
        </w:rPr>
        <w:t>Listings of clinical laboratory data with abnormal flags will be provided by subject and test.</w:t>
      </w:r>
    </w:p>
    <w:p w14:paraId="04C9E572">
      <w:pPr>
        <w:pStyle w:val="3"/>
        <w:numPr>
          <w:ilvl w:val="1"/>
          <w:numId w:val="1"/>
        </w:numPr>
        <w:rPr>
          <w:rFonts w:ascii="Calibri" w:hAnsi="Calibri" w:cs="Calibri"/>
        </w:rPr>
      </w:pPr>
      <w:bookmarkStart w:id="55" w:name="_Toc107238604"/>
      <w:r>
        <w:rPr>
          <w:rFonts w:ascii="Calibri" w:hAnsi="Calibri" w:cs="Calibri"/>
          <w:bCs/>
          <w:lang w:eastAsia="zh-CN"/>
        </w:rPr>
        <w:t>Vital Sign Measurements</w:t>
      </w:r>
      <w:bookmarkEnd w:id="55"/>
    </w:p>
    <w:p w14:paraId="1719D8F4">
      <w:pPr>
        <w:snapToGrid w:val="0"/>
        <w:spacing w:line="276" w:lineRule="auto"/>
        <w:jc w:val="both"/>
        <w:rPr>
          <w:rFonts w:ascii="Calibri" w:hAnsi="Calibri" w:cs="Calibri"/>
        </w:rPr>
      </w:pPr>
      <w:r>
        <w:rPr>
          <w:rFonts w:ascii="Calibri" w:hAnsi="Calibri" w:cs="Calibri"/>
        </w:rPr>
        <w:t>Vital signs will be presented in a listing, within and above the normal ranges, will be displayed in the listing for each treatment. Normal ranges are defined as follows:</w:t>
      </w:r>
    </w:p>
    <w:p w14:paraId="2D89D958">
      <w:pPr>
        <w:pStyle w:val="34"/>
        <w:numPr>
          <w:ilvl w:val="0"/>
          <w:numId w:val="15"/>
        </w:numPr>
        <w:snapToGrid w:val="0"/>
        <w:spacing w:line="276" w:lineRule="auto"/>
        <w:ind w:firstLineChars="0"/>
        <w:jc w:val="both"/>
        <w:rPr>
          <w:rFonts w:ascii="Calibri" w:hAnsi="Calibri" w:cs="Calibri"/>
        </w:rPr>
      </w:pPr>
      <w:r>
        <w:rPr>
          <w:rFonts w:ascii="Calibri" w:hAnsi="Calibri" w:cs="Calibri"/>
        </w:rPr>
        <w:t>Systolic BP Normal (90 through 119 mmHg, inclusive)</w:t>
      </w:r>
    </w:p>
    <w:p w14:paraId="1C63DD50">
      <w:pPr>
        <w:pStyle w:val="34"/>
        <w:numPr>
          <w:ilvl w:val="0"/>
          <w:numId w:val="15"/>
        </w:numPr>
        <w:snapToGrid w:val="0"/>
        <w:spacing w:line="276" w:lineRule="auto"/>
        <w:ind w:firstLineChars="0"/>
        <w:jc w:val="both"/>
        <w:rPr>
          <w:rFonts w:ascii="Calibri" w:hAnsi="Calibri" w:cs="Calibri"/>
        </w:rPr>
      </w:pPr>
      <w:r>
        <w:rPr>
          <w:rFonts w:ascii="Calibri" w:hAnsi="Calibri" w:cs="Calibri"/>
        </w:rPr>
        <w:t>Diastolic BP Normal (60 through 79 mmHg, inclusive)</w:t>
      </w:r>
    </w:p>
    <w:p w14:paraId="3E2DFF75">
      <w:pPr>
        <w:pStyle w:val="34"/>
        <w:numPr>
          <w:ilvl w:val="0"/>
          <w:numId w:val="15"/>
        </w:numPr>
        <w:snapToGrid w:val="0"/>
        <w:spacing w:line="276" w:lineRule="auto"/>
        <w:ind w:firstLineChars="0"/>
        <w:jc w:val="both"/>
        <w:rPr>
          <w:rFonts w:ascii="Calibri" w:hAnsi="Calibri" w:cs="Calibri"/>
        </w:rPr>
      </w:pPr>
      <w:r>
        <w:rPr>
          <w:rFonts w:ascii="Calibri" w:hAnsi="Calibri" w:cs="Calibri"/>
        </w:rPr>
        <w:t>Body Temperature Normal (36.1 through 37.8°C, inclusive)</w:t>
      </w:r>
    </w:p>
    <w:p w14:paraId="2CAD027D">
      <w:pPr>
        <w:pStyle w:val="34"/>
        <w:numPr>
          <w:ilvl w:val="0"/>
          <w:numId w:val="15"/>
        </w:numPr>
        <w:snapToGrid w:val="0"/>
        <w:spacing w:line="276" w:lineRule="auto"/>
        <w:ind w:firstLineChars="0"/>
        <w:jc w:val="both"/>
        <w:rPr>
          <w:rFonts w:ascii="Calibri" w:hAnsi="Calibri" w:cs="Calibri"/>
        </w:rPr>
      </w:pPr>
      <w:r>
        <w:rPr>
          <w:rFonts w:ascii="Calibri" w:hAnsi="Calibri" w:cs="Calibri"/>
        </w:rPr>
        <w:t>Pulse Normal (60 through 100 bpm, inclusive)</w:t>
      </w:r>
    </w:p>
    <w:p w14:paraId="23D88E90">
      <w:pPr>
        <w:pStyle w:val="3"/>
        <w:numPr>
          <w:ilvl w:val="1"/>
          <w:numId w:val="1"/>
        </w:numPr>
        <w:rPr>
          <w:rFonts w:ascii="Calibri" w:hAnsi="Calibri" w:cs="Calibri"/>
        </w:rPr>
      </w:pPr>
      <w:bookmarkStart w:id="56" w:name="_Toc107238605"/>
      <w:bookmarkStart w:id="57" w:name="_Toc493157952"/>
      <w:r>
        <w:rPr>
          <w:rFonts w:ascii="Calibri" w:hAnsi="Calibri" w:cs="Calibri"/>
        </w:rPr>
        <w:t xml:space="preserve">Physical Examination </w:t>
      </w:r>
      <w:r>
        <w:rPr>
          <w:rFonts w:ascii="Calibri" w:hAnsi="Calibri" w:cs="Calibri"/>
          <w:lang w:eastAsia="zh-CN"/>
        </w:rPr>
        <w:t xml:space="preserve">and </w:t>
      </w:r>
      <w:r>
        <w:rPr>
          <w:rFonts w:ascii="Calibri" w:hAnsi="Calibri" w:cs="Calibri"/>
        </w:rPr>
        <w:t>Pregnancies</w:t>
      </w:r>
      <w:bookmarkEnd w:id="56"/>
      <w:r>
        <w:rPr>
          <w:rFonts w:ascii="Calibri" w:hAnsi="Calibri" w:cs="Calibri"/>
        </w:rPr>
        <w:t xml:space="preserve"> </w:t>
      </w:r>
      <w:bookmarkEnd w:id="57"/>
    </w:p>
    <w:p w14:paraId="496E6670">
      <w:pPr>
        <w:pStyle w:val="35"/>
        <w:spacing w:line="276" w:lineRule="auto"/>
        <w:rPr>
          <w:rFonts w:ascii="Calibri" w:hAnsi="Calibri" w:cs="Calibri"/>
          <w:sz w:val="22"/>
          <w:szCs w:val="22"/>
        </w:rPr>
      </w:pPr>
      <w:r>
        <w:rPr>
          <w:rFonts w:ascii="Calibri" w:hAnsi="Calibri" w:cs="Calibri"/>
          <w:sz w:val="22"/>
          <w:szCs w:val="22"/>
        </w:rPr>
        <w:t xml:space="preserve">The physical examinations will be summarized by each visit. </w:t>
      </w:r>
    </w:p>
    <w:p w14:paraId="7A664DAC">
      <w:pPr>
        <w:snapToGrid w:val="0"/>
        <w:spacing w:line="276" w:lineRule="auto"/>
        <w:jc w:val="both"/>
        <w:rPr>
          <w:rFonts w:ascii="Calibri" w:hAnsi="Calibri" w:cs="Calibri"/>
        </w:rPr>
      </w:pPr>
      <w:r>
        <w:rPr>
          <w:rFonts w:ascii="Calibri" w:hAnsi="Calibri" w:cs="Calibri"/>
        </w:rPr>
        <w:t>Pregnancy testing results for female subjects of childbearing potential will be summarized by visit.</w:t>
      </w:r>
    </w:p>
    <w:p w14:paraId="6B95DC53">
      <w:pPr>
        <w:pStyle w:val="2"/>
        <w:numPr>
          <w:ilvl w:val="0"/>
          <w:numId w:val="1"/>
        </w:numPr>
        <w:snapToGrid w:val="0"/>
        <w:jc w:val="both"/>
        <w:rPr>
          <w:rFonts w:ascii="Calibri" w:hAnsi="Calibri" w:cs="Calibri"/>
        </w:rPr>
      </w:pPr>
      <w:bookmarkStart w:id="58" w:name="xvir7l" w:colFirst="0" w:colLast="0"/>
      <w:bookmarkEnd w:id="58"/>
      <w:bookmarkStart w:id="59" w:name="_Toc107238606"/>
      <w:r>
        <w:rPr>
          <w:rFonts w:ascii="Calibri" w:hAnsi="Calibri" w:cs="Calibri"/>
        </w:rPr>
        <w:t>Reporting Conventions</w:t>
      </w:r>
      <w:bookmarkEnd w:id="59"/>
    </w:p>
    <w:p w14:paraId="4EE80FC6">
      <w:pPr>
        <w:snapToGrid w:val="0"/>
        <w:spacing w:line="276" w:lineRule="auto"/>
        <w:jc w:val="both"/>
        <w:rPr>
          <w:rFonts w:ascii="Calibri" w:hAnsi="Calibri" w:cs="Calibri"/>
        </w:rPr>
      </w:pPr>
      <w:r>
        <w:rPr>
          <w:rFonts w:ascii="Calibri" w:hAnsi="Calibri" w:cs="Calibri"/>
        </w:rPr>
        <w:t xml:space="preserve">P-values ≥0.001 will be reported to 3 decimal places; p-values less than 0.001 will be reported as “&lt;0.001”. The mean, standard deviation, and any other statistics other than quantiles, will be reported to one decimal place greater than the original data. Quantiles, such as median, or minimum and maximum will use the same number of decimal places as the original data. Estimated parameters, not on the same scale as raw observations (e.g. regression coefficients) will be reported to 3 significant figures. </w:t>
      </w:r>
    </w:p>
    <w:p w14:paraId="5B8D4500">
      <w:pPr>
        <w:pStyle w:val="2"/>
        <w:numPr>
          <w:ilvl w:val="0"/>
          <w:numId w:val="1"/>
        </w:numPr>
        <w:snapToGrid w:val="0"/>
        <w:jc w:val="both"/>
        <w:rPr>
          <w:rFonts w:ascii="Calibri" w:hAnsi="Calibri" w:cs="Calibri"/>
        </w:rPr>
      </w:pPr>
      <w:bookmarkStart w:id="60" w:name="1baon6m" w:colFirst="0" w:colLast="0"/>
      <w:bookmarkEnd w:id="60"/>
      <w:bookmarkStart w:id="61" w:name="_Toc107238607"/>
      <w:r>
        <w:rPr>
          <w:rFonts w:ascii="Calibri" w:hAnsi="Calibri" w:cs="Calibri"/>
        </w:rPr>
        <w:t>References</w:t>
      </w:r>
      <w:bookmarkEnd w:id="61"/>
      <w:r>
        <w:rPr>
          <w:rFonts w:ascii="Calibri" w:hAnsi="Calibri" w:cs="Calibri"/>
        </w:rPr>
        <w:t xml:space="preserve">  </w:t>
      </w:r>
    </w:p>
    <w:p w14:paraId="66E2568B">
      <w:pPr>
        <w:snapToGrid w:val="0"/>
        <w:spacing w:line="276" w:lineRule="auto"/>
        <w:jc w:val="both"/>
        <w:rPr>
          <w:rFonts w:ascii="Calibri" w:hAnsi="Calibri" w:cs="Calibri"/>
        </w:rPr>
      </w:pPr>
      <w:r>
        <w:rPr>
          <w:rFonts w:ascii="Calibri" w:hAnsi="Calibri" w:cs="Calibri"/>
        </w:rPr>
        <w:t>White IR and Thompson SG (2005). Adjusting for partially missing baseline measurements in randomized trials. Statistics in Medicine, 24, 993-1007.</w:t>
      </w:r>
    </w:p>
    <w:p w14:paraId="18C66E17">
      <w:pPr>
        <w:snapToGrid w:val="0"/>
        <w:spacing w:line="276" w:lineRule="auto"/>
        <w:jc w:val="both"/>
        <w:rPr>
          <w:rFonts w:ascii="Calibri" w:hAnsi="Calibri" w:cs="Calibri"/>
        </w:rPr>
      </w:pPr>
      <w:r>
        <w:rPr>
          <w:rFonts w:ascii="Calibri" w:hAnsi="Calibri" w:cs="Calibri"/>
        </w:rPr>
        <w:t>US Department of Health and Human Services. Common terminology criteria for adverse events (CTCAE) version 4.03. 2010[J]. USA: National Institutes of Health, National Cancer Institute, 2016.</w:t>
      </w:r>
    </w:p>
    <w:p w14:paraId="25807E71">
      <w:pPr>
        <w:snapToGrid w:val="0"/>
        <w:spacing w:line="276" w:lineRule="auto"/>
        <w:jc w:val="both"/>
        <w:rPr>
          <w:rFonts w:ascii="Calibri" w:hAnsi="Calibri" w:cs="Calibri"/>
        </w:rPr>
      </w:pPr>
      <w:r>
        <w:rPr>
          <w:rFonts w:ascii="Calibri" w:hAnsi="Calibri" w:cs="Calibri"/>
        </w:rPr>
        <w:t>Wang S, Lv J, Feng X, et al. Efficacy of electrical pudendal nerve stimulation versus transvaginal electrical stimulation in treating female idiopathic urgency urinary incontinence[J]. The Journal of Urology, 2017, 197(6): 1496-1501.</w:t>
      </w:r>
    </w:p>
    <w:p w14:paraId="3D3E9797">
      <w:pPr>
        <w:snapToGrid w:val="0"/>
        <w:spacing w:line="276" w:lineRule="auto"/>
        <w:jc w:val="both"/>
        <w:rPr>
          <w:rFonts w:ascii="Calibri" w:hAnsi="Calibri" w:cs="Calibri"/>
        </w:rPr>
      </w:pPr>
      <w:r>
        <w:rPr>
          <w:rFonts w:ascii="Calibri" w:hAnsi="Calibri" w:cs="Calibri"/>
        </w:rPr>
        <w:t>Chan A W, Tetzlaff J M, Gøtzsche P C, et al. SPIRIT 2013 explanation and elaboration: guidance for protocols of clinical trials[J]. Bmj, 2013, 346.</w:t>
      </w:r>
    </w:p>
    <w:p w14:paraId="35BE05D1">
      <w:pPr>
        <w:pStyle w:val="2"/>
        <w:numPr>
          <w:ilvl w:val="0"/>
          <w:numId w:val="1"/>
        </w:numPr>
        <w:rPr>
          <w:rFonts w:ascii="Calibri" w:hAnsi="Calibri" w:cs="Calibri"/>
        </w:rPr>
      </w:pPr>
      <w:bookmarkStart w:id="62" w:name="_Toc107238608"/>
      <w:bookmarkStart w:id="63" w:name="_Toc493157965"/>
      <w:r>
        <w:rPr>
          <w:rFonts w:ascii="Calibri" w:hAnsi="Calibri" w:cs="Calibri"/>
        </w:rPr>
        <w:t>Listing of Tables, Listings and Figures</w:t>
      </w:r>
      <w:bookmarkEnd w:id="62"/>
      <w:bookmarkEnd w:id="63"/>
    </w:p>
    <w:p w14:paraId="351EAAAA">
      <w:pPr>
        <w:spacing w:line="276" w:lineRule="auto"/>
        <w:rPr>
          <w:rFonts w:ascii="Calibri" w:hAnsi="Calibri" w:cs="Calibri"/>
          <w:sz w:val="24"/>
        </w:rPr>
      </w:pPr>
      <w:r>
        <w:rPr>
          <w:rFonts w:ascii="Calibri" w:hAnsi="Calibri" w:cs="Calibri"/>
          <w:sz w:val="24"/>
        </w:rPr>
        <w:t>Table 1. Clinical characteristics of the subjects in both groups.</w:t>
      </w:r>
    </w:p>
    <w:tbl>
      <w:tblPr>
        <w:tblStyle w:val="18"/>
        <w:tblpPr w:leftFromText="180" w:rightFromText="180" w:vertAnchor="text" w:horzAnchor="page" w:tblpX="1579" w:tblpY="186"/>
        <w:tblOverlap w:val="never"/>
        <w:tblW w:w="9178" w:type="dxa"/>
        <w:tblInd w:w="0" w:type="dxa"/>
        <w:tblLayout w:type="fixed"/>
        <w:tblCellMar>
          <w:top w:w="0" w:type="dxa"/>
          <w:left w:w="0" w:type="dxa"/>
          <w:bottom w:w="0" w:type="dxa"/>
          <w:right w:w="0" w:type="dxa"/>
        </w:tblCellMar>
      </w:tblPr>
      <w:tblGrid>
        <w:gridCol w:w="2036"/>
        <w:gridCol w:w="2662"/>
        <w:gridCol w:w="2610"/>
        <w:gridCol w:w="1870"/>
      </w:tblGrid>
      <w:tr w14:paraId="25F01E4D">
        <w:tblPrEx>
          <w:tblCellMar>
            <w:top w:w="0" w:type="dxa"/>
            <w:left w:w="0" w:type="dxa"/>
            <w:bottom w:w="0" w:type="dxa"/>
            <w:right w:w="0" w:type="dxa"/>
          </w:tblCellMar>
        </w:tblPrEx>
        <w:trPr>
          <w:trHeight w:val="561" w:hRule="atLeast"/>
        </w:trPr>
        <w:tc>
          <w:tcPr>
            <w:tcW w:w="2036" w:type="dxa"/>
            <w:tcBorders>
              <w:top w:val="single" w:color="000000" w:sz="8" w:space="0"/>
              <w:left w:val="nil"/>
              <w:bottom w:val="single" w:color="000000" w:sz="8" w:space="0"/>
              <w:right w:val="nil"/>
            </w:tcBorders>
            <w:tcMar>
              <w:top w:w="15" w:type="dxa"/>
              <w:left w:w="15" w:type="dxa"/>
              <w:right w:w="15" w:type="dxa"/>
            </w:tcMar>
          </w:tcPr>
          <w:p w14:paraId="74861080">
            <w:pPr>
              <w:widowControl/>
              <w:snapToGrid w:val="0"/>
              <w:spacing w:before="60" w:beforeLines="25" w:after="60" w:afterLines="25" w:line="276" w:lineRule="auto"/>
              <w:textAlignment w:val="center"/>
              <w:rPr>
                <w:rFonts w:ascii="Calibri" w:hAnsi="Calibri" w:cs="Calibri"/>
                <w:bCs/>
                <w:sz w:val="24"/>
                <w:lang w:bidi="ar"/>
              </w:rPr>
            </w:pPr>
          </w:p>
        </w:tc>
        <w:tc>
          <w:tcPr>
            <w:tcW w:w="2662" w:type="dxa"/>
            <w:tcBorders>
              <w:top w:val="single" w:color="000000" w:sz="8" w:space="0"/>
              <w:left w:val="nil"/>
              <w:bottom w:val="single" w:color="000000" w:sz="8" w:space="0"/>
              <w:right w:val="nil"/>
            </w:tcBorders>
            <w:tcMar>
              <w:top w:w="15" w:type="dxa"/>
              <w:left w:w="15" w:type="dxa"/>
              <w:right w:w="15" w:type="dxa"/>
            </w:tcMar>
          </w:tcPr>
          <w:p w14:paraId="5633E90C">
            <w:pPr>
              <w:widowControl/>
              <w:snapToGrid w:val="0"/>
              <w:spacing w:before="60" w:beforeLines="25" w:after="60" w:afterLines="25" w:line="276" w:lineRule="auto"/>
              <w:textAlignment w:val="center"/>
              <w:rPr>
                <w:rFonts w:ascii="Calibri" w:hAnsi="Calibri" w:cs="Calibri"/>
                <w:bCs/>
                <w:sz w:val="24"/>
                <w:lang w:bidi="ar"/>
              </w:rPr>
            </w:pPr>
            <w:r>
              <w:rPr>
                <w:rFonts w:ascii="Calibri" w:hAnsi="Calibri" w:cs="Calibri"/>
                <w:bCs/>
                <w:sz w:val="24"/>
                <w:lang w:eastAsia="zh-CN" w:bidi="ar"/>
              </w:rPr>
              <w:t>rTMS</w:t>
            </w:r>
            <w:r>
              <w:rPr>
                <w:rFonts w:ascii="Calibri" w:hAnsi="Calibri" w:cs="Calibri"/>
                <w:bCs/>
                <w:sz w:val="24"/>
                <w:lang w:bidi="ar"/>
              </w:rPr>
              <w:t xml:space="preserve"> group (</w:t>
            </w:r>
            <w:r>
              <w:rPr>
                <w:rFonts w:ascii="Calibri" w:hAnsi="Calibri" w:cs="Calibri"/>
                <w:bCs/>
                <w:i/>
                <w:iCs/>
                <w:sz w:val="24"/>
                <w:lang w:bidi="ar"/>
              </w:rPr>
              <w:t>n</w:t>
            </w:r>
            <w:r>
              <w:rPr>
                <w:rFonts w:ascii="Calibri" w:hAnsi="Calibri" w:cs="Calibri"/>
                <w:bCs/>
                <w:sz w:val="24"/>
                <w:lang w:bidi="ar"/>
              </w:rPr>
              <w:t>=)</w:t>
            </w:r>
          </w:p>
        </w:tc>
        <w:tc>
          <w:tcPr>
            <w:tcW w:w="2610" w:type="dxa"/>
            <w:tcBorders>
              <w:top w:val="single" w:color="000000" w:sz="8" w:space="0"/>
              <w:left w:val="nil"/>
              <w:bottom w:val="single" w:color="000000" w:sz="8" w:space="0"/>
              <w:right w:val="nil"/>
            </w:tcBorders>
            <w:tcMar>
              <w:top w:w="15" w:type="dxa"/>
              <w:left w:w="15" w:type="dxa"/>
              <w:right w:w="15" w:type="dxa"/>
            </w:tcMar>
          </w:tcPr>
          <w:p w14:paraId="20805697">
            <w:pPr>
              <w:widowControl/>
              <w:snapToGrid w:val="0"/>
              <w:spacing w:before="60" w:beforeLines="25" w:after="60" w:afterLines="25" w:line="276" w:lineRule="auto"/>
              <w:textAlignment w:val="center"/>
              <w:rPr>
                <w:rFonts w:ascii="Calibri" w:hAnsi="Calibri" w:cs="Calibri"/>
                <w:bCs/>
                <w:sz w:val="24"/>
                <w:lang w:bidi="ar"/>
              </w:rPr>
            </w:pPr>
            <w:r>
              <w:rPr>
                <w:rFonts w:ascii="Calibri" w:hAnsi="Calibri" w:cs="Calibri"/>
                <w:bCs/>
                <w:sz w:val="24"/>
                <w:lang w:eastAsia="zh-CN" w:bidi="ar"/>
              </w:rPr>
              <w:t>sham</w:t>
            </w:r>
            <w:r>
              <w:rPr>
                <w:rFonts w:ascii="Calibri" w:hAnsi="Calibri" w:cs="Calibri"/>
                <w:bCs/>
                <w:sz w:val="24"/>
                <w:lang w:bidi="ar"/>
              </w:rPr>
              <w:t xml:space="preserve"> group (</w:t>
            </w:r>
            <w:r>
              <w:rPr>
                <w:rFonts w:ascii="Calibri" w:hAnsi="Calibri" w:cs="Calibri"/>
                <w:bCs/>
                <w:i/>
                <w:iCs/>
                <w:sz w:val="24"/>
                <w:lang w:bidi="ar"/>
              </w:rPr>
              <w:t>n</w:t>
            </w:r>
            <w:r>
              <w:rPr>
                <w:rFonts w:ascii="Calibri" w:hAnsi="Calibri" w:cs="Calibri"/>
                <w:bCs/>
                <w:sz w:val="24"/>
                <w:lang w:bidi="ar"/>
              </w:rPr>
              <w:t>=)</w:t>
            </w:r>
          </w:p>
        </w:tc>
        <w:tc>
          <w:tcPr>
            <w:tcW w:w="1870" w:type="dxa"/>
            <w:tcBorders>
              <w:top w:val="single" w:color="000000" w:sz="8" w:space="0"/>
              <w:left w:val="nil"/>
              <w:bottom w:val="single" w:color="000000" w:sz="8" w:space="0"/>
              <w:right w:val="nil"/>
            </w:tcBorders>
            <w:tcMar>
              <w:top w:w="15" w:type="dxa"/>
              <w:left w:w="15" w:type="dxa"/>
              <w:right w:w="15" w:type="dxa"/>
            </w:tcMar>
          </w:tcPr>
          <w:p w14:paraId="7686A18A">
            <w:pPr>
              <w:widowControl/>
              <w:snapToGrid w:val="0"/>
              <w:spacing w:before="60" w:beforeLines="25" w:after="60" w:afterLines="25" w:line="276" w:lineRule="auto"/>
              <w:textAlignment w:val="center"/>
              <w:rPr>
                <w:rFonts w:ascii="Calibri" w:hAnsi="Calibri" w:cs="Calibri"/>
                <w:bCs/>
                <w:sz w:val="24"/>
                <w:lang w:bidi="ar"/>
              </w:rPr>
            </w:pPr>
            <w:r>
              <w:rPr>
                <w:rFonts w:ascii="Calibri" w:hAnsi="Calibri" w:cs="Calibri"/>
                <w:bCs/>
                <w:i/>
                <w:iCs/>
                <w:sz w:val="24"/>
                <w:lang w:bidi="ar"/>
              </w:rPr>
              <w:t>p</w:t>
            </w:r>
            <w:r>
              <w:rPr>
                <w:rFonts w:ascii="Calibri" w:hAnsi="Calibri" w:cs="Calibri"/>
                <w:bCs/>
                <w:sz w:val="24"/>
                <w:lang w:bidi="ar"/>
              </w:rPr>
              <w:t>-value</w:t>
            </w:r>
          </w:p>
        </w:tc>
      </w:tr>
      <w:tr w14:paraId="781D7923">
        <w:tblPrEx>
          <w:tblCellMar>
            <w:top w:w="0" w:type="dxa"/>
            <w:left w:w="0" w:type="dxa"/>
            <w:bottom w:w="0" w:type="dxa"/>
            <w:right w:w="0" w:type="dxa"/>
          </w:tblCellMar>
        </w:tblPrEx>
        <w:trPr>
          <w:trHeight w:val="500" w:hRule="atLeast"/>
        </w:trPr>
        <w:tc>
          <w:tcPr>
            <w:tcW w:w="2036" w:type="dxa"/>
            <w:tcBorders>
              <w:top w:val="nil"/>
              <w:left w:val="nil"/>
              <w:bottom w:val="nil"/>
              <w:right w:val="nil"/>
            </w:tcBorders>
            <w:tcMar>
              <w:top w:w="15" w:type="dxa"/>
              <w:left w:w="15" w:type="dxa"/>
              <w:right w:w="15" w:type="dxa"/>
            </w:tcMar>
          </w:tcPr>
          <w:p w14:paraId="07C72A7F">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Age</w:t>
            </w:r>
          </w:p>
        </w:tc>
        <w:tc>
          <w:tcPr>
            <w:tcW w:w="2662" w:type="dxa"/>
            <w:tcBorders>
              <w:top w:val="nil"/>
              <w:left w:val="nil"/>
              <w:bottom w:val="nil"/>
              <w:right w:val="nil"/>
            </w:tcBorders>
            <w:tcMar>
              <w:top w:w="15" w:type="dxa"/>
              <w:left w:w="15" w:type="dxa"/>
              <w:right w:w="15" w:type="dxa"/>
            </w:tcMar>
          </w:tcPr>
          <w:p w14:paraId="7EB5F84A">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26032AE4">
            <w:pPr>
              <w:widowControl/>
              <w:snapToGrid w:val="0"/>
              <w:spacing w:before="60" w:beforeLines="25" w:after="60" w:afterLines="25" w:line="276" w:lineRule="auto"/>
              <w:textAlignment w:val="center"/>
              <w:rPr>
                <w:rFonts w:ascii="Calibri" w:hAnsi="Calibri" w:cs="Calibri"/>
                <w:bCs/>
                <w:sz w:val="24"/>
                <w:lang w:bidi="ar"/>
              </w:rPr>
            </w:pPr>
          </w:p>
        </w:tc>
        <w:tc>
          <w:tcPr>
            <w:tcW w:w="1870" w:type="dxa"/>
            <w:tcBorders>
              <w:top w:val="nil"/>
              <w:left w:val="nil"/>
              <w:bottom w:val="nil"/>
              <w:right w:val="nil"/>
            </w:tcBorders>
            <w:tcMar>
              <w:top w:w="15" w:type="dxa"/>
              <w:left w:w="15" w:type="dxa"/>
              <w:right w:w="15" w:type="dxa"/>
            </w:tcMar>
            <w:vAlign w:val="center"/>
          </w:tcPr>
          <w:p w14:paraId="629137FB">
            <w:pPr>
              <w:widowControl/>
              <w:snapToGrid w:val="0"/>
              <w:spacing w:before="60" w:beforeLines="25" w:after="60" w:afterLines="25" w:line="276" w:lineRule="auto"/>
              <w:textAlignment w:val="center"/>
              <w:rPr>
                <w:rFonts w:ascii="Calibri" w:hAnsi="Calibri" w:cs="Calibri"/>
                <w:bCs/>
                <w:sz w:val="24"/>
                <w:lang w:bidi="ar"/>
              </w:rPr>
            </w:pPr>
          </w:p>
        </w:tc>
      </w:tr>
      <w:tr w14:paraId="17AE10E0">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1DBD3591">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 xml:space="preserve">Sex, </w:t>
            </w:r>
            <w:r>
              <w:rPr>
                <w:rFonts w:ascii="Calibri" w:hAnsi="Calibri" w:cs="Calibri"/>
                <w:bCs/>
                <w:i/>
                <w:iCs/>
                <w:sz w:val="24"/>
                <w:lang w:bidi="ar"/>
              </w:rPr>
              <w:t>n</w:t>
            </w:r>
            <w:r>
              <w:rPr>
                <w:rFonts w:ascii="Calibri" w:hAnsi="Calibri" w:cs="Calibri"/>
                <w:bCs/>
                <w:sz w:val="24"/>
                <w:lang w:bidi="ar"/>
              </w:rPr>
              <w:t xml:space="preserve"> (%)</w:t>
            </w:r>
          </w:p>
        </w:tc>
        <w:tc>
          <w:tcPr>
            <w:tcW w:w="2662" w:type="dxa"/>
            <w:tcBorders>
              <w:top w:val="nil"/>
              <w:left w:val="nil"/>
              <w:bottom w:val="nil"/>
              <w:right w:val="nil"/>
            </w:tcBorders>
            <w:tcMar>
              <w:top w:w="15" w:type="dxa"/>
              <w:left w:w="15" w:type="dxa"/>
              <w:right w:w="15" w:type="dxa"/>
            </w:tcMar>
          </w:tcPr>
          <w:p w14:paraId="7EBCCD45">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2C1BC8DA">
            <w:pPr>
              <w:widowControl/>
              <w:snapToGrid w:val="0"/>
              <w:spacing w:before="60" w:beforeLines="25" w:after="60" w:afterLines="25" w:line="276" w:lineRule="auto"/>
              <w:textAlignment w:val="center"/>
              <w:rPr>
                <w:rFonts w:ascii="Calibri" w:hAnsi="Calibri" w:cs="Calibri"/>
                <w:bCs/>
                <w:sz w:val="24"/>
                <w:lang w:bidi="ar"/>
              </w:rPr>
            </w:pPr>
          </w:p>
        </w:tc>
        <w:tc>
          <w:tcPr>
            <w:tcW w:w="1870" w:type="dxa"/>
            <w:tcBorders>
              <w:top w:val="nil"/>
              <w:left w:val="nil"/>
              <w:bottom w:val="nil"/>
              <w:right w:val="nil"/>
            </w:tcBorders>
            <w:tcMar>
              <w:top w:w="15" w:type="dxa"/>
              <w:left w:w="15" w:type="dxa"/>
              <w:right w:w="15" w:type="dxa"/>
            </w:tcMar>
            <w:vAlign w:val="center"/>
          </w:tcPr>
          <w:p w14:paraId="40F5258B">
            <w:pPr>
              <w:widowControl/>
              <w:snapToGrid w:val="0"/>
              <w:spacing w:before="60" w:beforeLines="25" w:after="60" w:afterLines="25" w:line="276" w:lineRule="auto"/>
              <w:textAlignment w:val="center"/>
              <w:rPr>
                <w:rFonts w:ascii="Calibri" w:hAnsi="Calibri" w:cs="Calibri"/>
                <w:bCs/>
                <w:sz w:val="24"/>
                <w:lang w:bidi="ar"/>
              </w:rPr>
            </w:pPr>
          </w:p>
        </w:tc>
      </w:tr>
      <w:tr w14:paraId="35EDAEAE">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0BCA30E1">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Male</w:t>
            </w:r>
          </w:p>
        </w:tc>
        <w:tc>
          <w:tcPr>
            <w:tcW w:w="2662" w:type="dxa"/>
            <w:tcBorders>
              <w:top w:val="nil"/>
              <w:left w:val="nil"/>
              <w:bottom w:val="nil"/>
              <w:right w:val="nil"/>
            </w:tcBorders>
            <w:tcMar>
              <w:top w:w="15" w:type="dxa"/>
              <w:left w:w="15" w:type="dxa"/>
              <w:right w:w="15" w:type="dxa"/>
            </w:tcMar>
          </w:tcPr>
          <w:p w14:paraId="66C1D07F">
            <w:pPr>
              <w:widowControl/>
              <w:snapToGrid w:val="0"/>
              <w:spacing w:before="60" w:beforeLines="25" w:after="60" w:afterLines="25" w:line="276" w:lineRule="auto"/>
              <w:textAlignment w:val="center"/>
              <w:rPr>
                <w:rFonts w:ascii="Calibri" w:hAnsi="Calibri" w:cs="Calibri"/>
                <w:bCs/>
                <w:sz w:val="24"/>
                <w:lang w:eastAsia="zh-CN" w:bidi="ar"/>
              </w:rPr>
            </w:pPr>
            <w:r>
              <w:rPr>
                <w:rFonts w:ascii="Calibri" w:hAnsi="Calibri" w:cs="Calibri"/>
                <w:bCs/>
                <w:sz w:val="24"/>
                <w:lang w:eastAsia="zh-CN" w:bidi="ar"/>
              </w:rPr>
              <w:t xml:space="preserve"> </w:t>
            </w:r>
          </w:p>
        </w:tc>
        <w:tc>
          <w:tcPr>
            <w:tcW w:w="2610" w:type="dxa"/>
            <w:tcBorders>
              <w:top w:val="nil"/>
              <w:left w:val="nil"/>
              <w:bottom w:val="nil"/>
              <w:right w:val="nil"/>
            </w:tcBorders>
            <w:tcMar>
              <w:top w:w="15" w:type="dxa"/>
              <w:left w:w="15" w:type="dxa"/>
              <w:right w:w="15" w:type="dxa"/>
            </w:tcMar>
          </w:tcPr>
          <w:p w14:paraId="34689126">
            <w:pPr>
              <w:widowControl/>
              <w:snapToGrid w:val="0"/>
              <w:spacing w:before="60" w:beforeLines="25" w:after="60" w:afterLines="25" w:line="276" w:lineRule="auto"/>
              <w:textAlignment w:val="center"/>
              <w:rPr>
                <w:rFonts w:ascii="Calibri" w:hAnsi="Calibri" w:cs="Calibri"/>
                <w:bCs/>
                <w:sz w:val="24"/>
                <w:lang w:bidi="ar"/>
              </w:rPr>
            </w:pPr>
          </w:p>
        </w:tc>
        <w:tc>
          <w:tcPr>
            <w:tcW w:w="1870" w:type="dxa"/>
            <w:vMerge w:val="restart"/>
            <w:tcBorders>
              <w:top w:val="nil"/>
              <w:left w:val="nil"/>
              <w:bottom w:val="nil"/>
              <w:right w:val="nil"/>
            </w:tcBorders>
            <w:tcMar>
              <w:top w:w="15" w:type="dxa"/>
              <w:left w:w="15" w:type="dxa"/>
              <w:right w:w="15" w:type="dxa"/>
            </w:tcMar>
            <w:vAlign w:val="center"/>
          </w:tcPr>
          <w:p w14:paraId="2A951FB2">
            <w:pPr>
              <w:widowControl/>
              <w:snapToGrid w:val="0"/>
              <w:spacing w:before="60" w:beforeLines="25" w:after="60" w:afterLines="25" w:line="276" w:lineRule="auto"/>
              <w:textAlignment w:val="center"/>
              <w:rPr>
                <w:rFonts w:ascii="Calibri" w:hAnsi="Calibri" w:cs="Calibri"/>
                <w:bCs/>
                <w:sz w:val="24"/>
                <w:lang w:bidi="ar"/>
              </w:rPr>
            </w:pPr>
          </w:p>
        </w:tc>
      </w:tr>
      <w:tr w14:paraId="506D16D1">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7A5319D5">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Female</w:t>
            </w:r>
          </w:p>
        </w:tc>
        <w:tc>
          <w:tcPr>
            <w:tcW w:w="2662" w:type="dxa"/>
            <w:tcBorders>
              <w:top w:val="nil"/>
              <w:left w:val="nil"/>
              <w:bottom w:val="nil"/>
              <w:right w:val="nil"/>
            </w:tcBorders>
            <w:tcMar>
              <w:top w:w="15" w:type="dxa"/>
              <w:left w:w="15" w:type="dxa"/>
              <w:right w:w="15" w:type="dxa"/>
            </w:tcMar>
          </w:tcPr>
          <w:p w14:paraId="6112EB4D">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2DD9CA9B">
            <w:pPr>
              <w:widowControl/>
              <w:snapToGrid w:val="0"/>
              <w:spacing w:before="60" w:beforeLines="25" w:after="60" w:afterLines="25" w:line="276" w:lineRule="auto"/>
              <w:textAlignment w:val="center"/>
              <w:rPr>
                <w:rFonts w:ascii="Calibri" w:hAnsi="Calibri" w:cs="Calibri"/>
                <w:bCs/>
                <w:sz w:val="24"/>
                <w:lang w:bidi="ar"/>
              </w:rPr>
            </w:pPr>
          </w:p>
        </w:tc>
        <w:tc>
          <w:tcPr>
            <w:tcW w:w="1870" w:type="dxa"/>
            <w:vMerge w:val="continue"/>
            <w:tcBorders>
              <w:top w:val="nil"/>
              <w:left w:val="nil"/>
              <w:bottom w:val="nil"/>
              <w:right w:val="nil"/>
            </w:tcBorders>
            <w:tcMar>
              <w:top w:w="15" w:type="dxa"/>
              <w:left w:w="15" w:type="dxa"/>
              <w:right w:w="15" w:type="dxa"/>
            </w:tcMar>
            <w:vAlign w:val="center"/>
          </w:tcPr>
          <w:p w14:paraId="173E69CA">
            <w:pPr>
              <w:widowControl/>
              <w:snapToGrid w:val="0"/>
              <w:spacing w:before="60" w:beforeLines="25" w:after="60" w:afterLines="25" w:line="276" w:lineRule="auto"/>
              <w:textAlignment w:val="center"/>
              <w:rPr>
                <w:rFonts w:ascii="Calibri" w:hAnsi="Calibri" w:cs="Calibri"/>
                <w:bCs/>
                <w:sz w:val="24"/>
                <w:lang w:bidi="ar"/>
              </w:rPr>
            </w:pPr>
          </w:p>
        </w:tc>
      </w:tr>
      <w:tr w14:paraId="0649987A">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04111EC1">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 xml:space="preserve">Stroke type, </w:t>
            </w:r>
            <w:r>
              <w:rPr>
                <w:rFonts w:ascii="Calibri" w:hAnsi="Calibri" w:cs="Calibri"/>
                <w:bCs/>
                <w:i/>
                <w:iCs/>
                <w:sz w:val="24"/>
                <w:lang w:bidi="ar"/>
              </w:rPr>
              <w:t>n</w:t>
            </w:r>
            <w:r>
              <w:rPr>
                <w:rFonts w:ascii="Calibri" w:hAnsi="Calibri" w:cs="Calibri"/>
                <w:bCs/>
                <w:sz w:val="24"/>
                <w:lang w:bidi="ar"/>
              </w:rPr>
              <w:t xml:space="preserve"> (%)</w:t>
            </w:r>
          </w:p>
        </w:tc>
        <w:tc>
          <w:tcPr>
            <w:tcW w:w="2662" w:type="dxa"/>
            <w:tcBorders>
              <w:top w:val="nil"/>
              <w:left w:val="nil"/>
              <w:bottom w:val="nil"/>
              <w:right w:val="nil"/>
            </w:tcBorders>
            <w:tcMar>
              <w:top w:w="15" w:type="dxa"/>
              <w:left w:w="15" w:type="dxa"/>
              <w:right w:w="15" w:type="dxa"/>
            </w:tcMar>
          </w:tcPr>
          <w:p w14:paraId="1FD588E3">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5DF13DD6">
            <w:pPr>
              <w:widowControl/>
              <w:snapToGrid w:val="0"/>
              <w:spacing w:before="60" w:beforeLines="25" w:after="60" w:afterLines="25" w:line="276" w:lineRule="auto"/>
              <w:textAlignment w:val="center"/>
              <w:rPr>
                <w:rFonts w:ascii="Calibri" w:hAnsi="Calibri" w:cs="Calibri"/>
                <w:bCs/>
                <w:sz w:val="24"/>
                <w:lang w:bidi="ar"/>
              </w:rPr>
            </w:pPr>
          </w:p>
        </w:tc>
        <w:tc>
          <w:tcPr>
            <w:tcW w:w="1870" w:type="dxa"/>
            <w:tcBorders>
              <w:top w:val="nil"/>
              <w:left w:val="nil"/>
              <w:bottom w:val="nil"/>
              <w:right w:val="nil"/>
            </w:tcBorders>
            <w:tcMar>
              <w:top w:w="15" w:type="dxa"/>
              <w:left w:w="15" w:type="dxa"/>
              <w:right w:w="15" w:type="dxa"/>
            </w:tcMar>
            <w:vAlign w:val="center"/>
          </w:tcPr>
          <w:p w14:paraId="0ADE1EA0">
            <w:pPr>
              <w:widowControl/>
              <w:snapToGrid w:val="0"/>
              <w:spacing w:before="60" w:beforeLines="25" w:after="60" w:afterLines="25" w:line="276" w:lineRule="auto"/>
              <w:textAlignment w:val="center"/>
              <w:rPr>
                <w:rFonts w:ascii="Calibri" w:hAnsi="Calibri" w:cs="Calibri"/>
                <w:bCs/>
                <w:sz w:val="24"/>
                <w:lang w:bidi="ar"/>
              </w:rPr>
            </w:pPr>
          </w:p>
        </w:tc>
      </w:tr>
      <w:tr w14:paraId="0681AF7F">
        <w:tblPrEx>
          <w:tblCellMar>
            <w:top w:w="0" w:type="dxa"/>
            <w:left w:w="0" w:type="dxa"/>
            <w:bottom w:w="0" w:type="dxa"/>
            <w:right w:w="0" w:type="dxa"/>
          </w:tblCellMar>
        </w:tblPrEx>
        <w:trPr>
          <w:trHeight w:val="438" w:hRule="atLeast"/>
        </w:trPr>
        <w:tc>
          <w:tcPr>
            <w:tcW w:w="2036" w:type="dxa"/>
            <w:tcBorders>
              <w:top w:val="nil"/>
              <w:left w:val="nil"/>
              <w:bottom w:val="nil"/>
              <w:right w:val="nil"/>
            </w:tcBorders>
            <w:tcMar>
              <w:top w:w="15" w:type="dxa"/>
              <w:left w:w="15" w:type="dxa"/>
              <w:right w:w="15" w:type="dxa"/>
            </w:tcMar>
          </w:tcPr>
          <w:p w14:paraId="506B2436">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eastAsia="zh-CN" w:bidi="ar"/>
              </w:rPr>
              <w:t>I</w:t>
            </w:r>
            <w:r>
              <w:rPr>
                <w:rFonts w:ascii="Calibri" w:hAnsi="Calibri" w:cs="Calibri"/>
                <w:bCs/>
                <w:sz w:val="24"/>
                <w:lang w:bidi="ar"/>
              </w:rPr>
              <w:t>nfarction</w:t>
            </w:r>
          </w:p>
        </w:tc>
        <w:tc>
          <w:tcPr>
            <w:tcW w:w="2662" w:type="dxa"/>
            <w:tcBorders>
              <w:top w:val="nil"/>
              <w:left w:val="nil"/>
              <w:bottom w:val="nil"/>
              <w:right w:val="nil"/>
            </w:tcBorders>
            <w:tcMar>
              <w:top w:w="15" w:type="dxa"/>
              <w:left w:w="15" w:type="dxa"/>
              <w:right w:w="15" w:type="dxa"/>
            </w:tcMar>
          </w:tcPr>
          <w:p w14:paraId="395905AF">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273BCACA">
            <w:pPr>
              <w:widowControl/>
              <w:snapToGrid w:val="0"/>
              <w:spacing w:before="60" w:beforeLines="25" w:after="60" w:afterLines="25" w:line="276" w:lineRule="auto"/>
              <w:textAlignment w:val="center"/>
              <w:rPr>
                <w:rFonts w:ascii="Calibri" w:hAnsi="Calibri" w:cs="Calibri"/>
                <w:bCs/>
                <w:sz w:val="24"/>
                <w:lang w:bidi="ar"/>
              </w:rPr>
            </w:pPr>
          </w:p>
        </w:tc>
        <w:tc>
          <w:tcPr>
            <w:tcW w:w="1870" w:type="dxa"/>
            <w:vMerge w:val="restart"/>
            <w:tcBorders>
              <w:top w:val="nil"/>
              <w:left w:val="nil"/>
              <w:bottom w:val="nil"/>
              <w:right w:val="nil"/>
            </w:tcBorders>
            <w:tcMar>
              <w:top w:w="15" w:type="dxa"/>
              <w:left w:w="15" w:type="dxa"/>
              <w:right w:w="15" w:type="dxa"/>
            </w:tcMar>
            <w:vAlign w:val="center"/>
          </w:tcPr>
          <w:p w14:paraId="3BDF7469">
            <w:pPr>
              <w:widowControl/>
              <w:snapToGrid w:val="0"/>
              <w:spacing w:before="60" w:beforeLines="25" w:after="60" w:afterLines="25" w:line="276" w:lineRule="auto"/>
              <w:textAlignment w:val="center"/>
              <w:rPr>
                <w:rFonts w:ascii="Calibri" w:hAnsi="Calibri" w:cs="Calibri"/>
                <w:bCs/>
                <w:sz w:val="24"/>
                <w:lang w:bidi="ar"/>
              </w:rPr>
            </w:pPr>
          </w:p>
        </w:tc>
      </w:tr>
      <w:tr w14:paraId="75659C66">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38365C53">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Hemorrhage</w:t>
            </w:r>
          </w:p>
        </w:tc>
        <w:tc>
          <w:tcPr>
            <w:tcW w:w="2662" w:type="dxa"/>
            <w:tcBorders>
              <w:top w:val="nil"/>
              <w:left w:val="nil"/>
              <w:bottom w:val="nil"/>
              <w:right w:val="nil"/>
            </w:tcBorders>
            <w:tcMar>
              <w:top w:w="15" w:type="dxa"/>
              <w:left w:w="15" w:type="dxa"/>
              <w:right w:w="15" w:type="dxa"/>
            </w:tcMar>
          </w:tcPr>
          <w:p w14:paraId="1880B70B">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1CFAE123">
            <w:pPr>
              <w:widowControl/>
              <w:snapToGrid w:val="0"/>
              <w:spacing w:before="60" w:beforeLines="25" w:after="60" w:afterLines="25" w:line="276" w:lineRule="auto"/>
              <w:textAlignment w:val="center"/>
              <w:rPr>
                <w:rFonts w:ascii="Calibri" w:hAnsi="Calibri" w:cs="Calibri"/>
                <w:bCs/>
                <w:sz w:val="24"/>
                <w:lang w:bidi="ar"/>
              </w:rPr>
            </w:pPr>
          </w:p>
        </w:tc>
        <w:tc>
          <w:tcPr>
            <w:tcW w:w="1870" w:type="dxa"/>
            <w:vMerge w:val="continue"/>
            <w:tcBorders>
              <w:top w:val="nil"/>
              <w:left w:val="nil"/>
              <w:bottom w:val="nil"/>
              <w:right w:val="nil"/>
            </w:tcBorders>
            <w:tcMar>
              <w:top w:w="15" w:type="dxa"/>
              <w:left w:w="15" w:type="dxa"/>
              <w:right w:w="15" w:type="dxa"/>
            </w:tcMar>
            <w:vAlign w:val="center"/>
          </w:tcPr>
          <w:p w14:paraId="5F9BC1C5">
            <w:pPr>
              <w:widowControl/>
              <w:snapToGrid w:val="0"/>
              <w:spacing w:before="60" w:beforeLines="25" w:after="60" w:afterLines="25" w:line="276" w:lineRule="auto"/>
              <w:textAlignment w:val="center"/>
              <w:rPr>
                <w:rFonts w:ascii="Calibri" w:hAnsi="Calibri" w:cs="Calibri"/>
                <w:bCs/>
                <w:sz w:val="24"/>
                <w:lang w:bidi="ar"/>
              </w:rPr>
            </w:pPr>
          </w:p>
        </w:tc>
      </w:tr>
      <w:tr w14:paraId="503A6A8A">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562DDC3B">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eastAsia="zh-CN" w:bidi="ar"/>
              </w:rPr>
              <w:t>Lesion</w:t>
            </w:r>
            <w:r>
              <w:rPr>
                <w:rFonts w:ascii="Calibri" w:hAnsi="Calibri" w:cs="Calibri"/>
                <w:bCs/>
                <w:sz w:val="24"/>
                <w:lang w:bidi="ar"/>
              </w:rPr>
              <w:t xml:space="preserve"> side</w:t>
            </w:r>
          </w:p>
        </w:tc>
        <w:tc>
          <w:tcPr>
            <w:tcW w:w="2662" w:type="dxa"/>
            <w:tcBorders>
              <w:top w:val="nil"/>
              <w:left w:val="nil"/>
              <w:bottom w:val="nil"/>
              <w:right w:val="nil"/>
            </w:tcBorders>
            <w:tcMar>
              <w:top w:w="15" w:type="dxa"/>
              <w:left w:w="15" w:type="dxa"/>
              <w:right w:w="15" w:type="dxa"/>
            </w:tcMar>
          </w:tcPr>
          <w:p w14:paraId="3866A1EB">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545E9015">
            <w:pPr>
              <w:widowControl/>
              <w:snapToGrid w:val="0"/>
              <w:spacing w:before="60" w:beforeLines="25" w:after="60" w:afterLines="25" w:line="276" w:lineRule="auto"/>
              <w:textAlignment w:val="center"/>
              <w:rPr>
                <w:rFonts w:ascii="Calibri" w:hAnsi="Calibri" w:cs="Calibri"/>
                <w:bCs/>
                <w:sz w:val="24"/>
                <w:lang w:bidi="ar"/>
              </w:rPr>
            </w:pPr>
          </w:p>
        </w:tc>
        <w:tc>
          <w:tcPr>
            <w:tcW w:w="1870" w:type="dxa"/>
            <w:tcBorders>
              <w:top w:val="nil"/>
              <w:left w:val="nil"/>
              <w:bottom w:val="nil"/>
              <w:right w:val="nil"/>
            </w:tcBorders>
            <w:tcMar>
              <w:top w:w="15" w:type="dxa"/>
              <w:left w:w="15" w:type="dxa"/>
              <w:right w:w="15" w:type="dxa"/>
            </w:tcMar>
            <w:vAlign w:val="center"/>
          </w:tcPr>
          <w:p w14:paraId="4ACA5C0E">
            <w:pPr>
              <w:widowControl/>
              <w:snapToGrid w:val="0"/>
              <w:spacing w:before="60" w:beforeLines="25" w:after="60" w:afterLines="25" w:line="276" w:lineRule="auto"/>
              <w:textAlignment w:val="center"/>
              <w:rPr>
                <w:rFonts w:ascii="Calibri" w:hAnsi="Calibri" w:cs="Calibri"/>
                <w:bCs/>
                <w:sz w:val="24"/>
                <w:lang w:bidi="ar"/>
              </w:rPr>
            </w:pPr>
          </w:p>
        </w:tc>
      </w:tr>
      <w:tr w14:paraId="091C64EB">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6C1607B9">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Left</w:t>
            </w:r>
          </w:p>
        </w:tc>
        <w:tc>
          <w:tcPr>
            <w:tcW w:w="2662" w:type="dxa"/>
            <w:tcBorders>
              <w:top w:val="nil"/>
              <w:left w:val="nil"/>
              <w:bottom w:val="nil"/>
              <w:right w:val="nil"/>
            </w:tcBorders>
            <w:tcMar>
              <w:top w:w="15" w:type="dxa"/>
              <w:left w:w="15" w:type="dxa"/>
              <w:right w:w="15" w:type="dxa"/>
            </w:tcMar>
          </w:tcPr>
          <w:p w14:paraId="24332B03">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5A05CDA8">
            <w:pPr>
              <w:widowControl/>
              <w:snapToGrid w:val="0"/>
              <w:spacing w:before="60" w:beforeLines="25" w:after="60" w:afterLines="25" w:line="276" w:lineRule="auto"/>
              <w:textAlignment w:val="center"/>
              <w:rPr>
                <w:rFonts w:ascii="Calibri" w:hAnsi="Calibri" w:cs="Calibri"/>
                <w:bCs/>
                <w:sz w:val="24"/>
                <w:lang w:bidi="ar"/>
              </w:rPr>
            </w:pPr>
          </w:p>
        </w:tc>
        <w:tc>
          <w:tcPr>
            <w:tcW w:w="1870" w:type="dxa"/>
            <w:vMerge w:val="restart"/>
            <w:tcBorders>
              <w:top w:val="nil"/>
              <w:left w:val="nil"/>
              <w:bottom w:val="nil"/>
              <w:right w:val="nil"/>
            </w:tcBorders>
            <w:tcMar>
              <w:top w:w="15" w:type="dxa"/>
              <w:left w:w="15" w:type="dxa"/>
              <w:right w:w="15" w:type="dxa"/>
            </w:tcMar>
            <w:vAlign w:val="center"/>
          </w:tcPr>
          <w:p w14:paraId="2BAF8F62">
            <w:pPr>
              <w:widowControl/>
              <w:snapToGrid w:val="0"/>
              <w:spacing w:before="60" w:beforeLines="25" w:after="60" w:afterLines="25" w:line="276" w:lineRule="auto"/>
              <w:textAlignment w:val="center"/>
              <w:rPr>
                <w:rFonts w:ascii="Calibri" w:hAnsi="Calibri" w:cs="Calibri"/>
                <w:bCs/>
                <w:sz w:val="24"/>
                <w:lang w:bidi="ar"/>
              </w:rPr>
            </w:pPr>
          </w:p>
        </w:tc>
      </w:tr>
      <w:tr w14:paraId="307E14FF">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21583555">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Right</w:t>
            </w:r>
          </w:p>
        </w:tc>
        <w:tc>
          <w:tcPr>
            <w:tcW w:w="2662" w:type="dxa"/>
            <w:tcBorders>
              <w:top w:val="nil"/>
              <w:left w:val="nil"/>
              <w:bottom w:val="nil"/>
              <w:right w:val="nil"/>
            </w:tcBorders>
            <w:tcMar>
              <w:top w:w="15" w:type="dxa"/>
              <w:left w:w="15" w:type="dxa"/>
              <w:right w:w="15" w:type="dxa"/>
            </w:tcMar>
          </w:tcPr>
          <w:p w14:paraId="5002CCED">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167C9224">
            <w:pPr>
              <w:widowControl/>
              <w:snapToGrid w:val="0"/>
              <w:spacing w:before="60" w:beforeLines="25" w:after="60" w:afterLines="25" w:line="276" w:lineRule="auto"/>
              <w:textAlignment w:val="center"/>
              <w:rPr>
                <w:rFonts w:ascii="Calibri" w:hAnsi="Calibri" w:cs="Calibri"/>
                <w:bCs/>
                <w:sz w:val="24"/>
                <w:lang w:bidi="ar"/>
              </w:rPr>
            </w:pPr>
          </w:p>
        </w:tc>
        <w:tc>
          <w:tcPr>
            <w:tcW w:w="1870" w:type="dxa"/>
            <w:vMerge w:val="continue"/>
            <w:tcBorders>
              <w:top w:val="nil"/>
              <w:left w:val="nil"/>
              <w:bottom w:val="nil"/>
              <w:right w:val="nil"/>
            </w:tcBorders>
            <w:tcMar>
              <w:top w:w="15" w:type="dxa"/>
              <w:left w:w="15" w:type="dxa"/>
              <w:right w:w="15" w:type="dxa"/>
            </w:tcMar>
            <w:vAlign w:val="center"/>
          </w:tcPr>
          <w:p w14:paraId="43FF3416">
            <w:pPr>
              <w:widowControl/>
              <w:snapToGrid w:val="0"/>
              <w:spacing w:before="60" w:beforeLines="25" w:after="60" w:afterLines="25" w:line="276" w:lineRule="auto"/>
              <w:textAlignment w:val="center"/>
              <w:rPr>
                <w:rFonts w:ascii="Calibri" w:hAnsi="Calibri" w:cs="Calibri"/>
                <w:bCs/>
                <w:sz w:val="24"/>
                <w:lang w:bidi="ar"/>
              </w:rPr>
            </w:pPr>
          </w:p>
        </w:tc>
      </w:tr>
      <w:tr w14:paraId="151B400A">
        <w:tblPrEx>
          <w:tblCellMar>
            <w:top w:w="0" w:type="dxa"/>
            <w:left w:w="0" w:type="dxa"/>
            <w:bottom w:w="0" w:type="dxa"/>
            <w:right w:w="0" w:type="dxa"/>
          </w:tblCellMar>
        </w:tblPrEx>
        <w:trPr>
          <w:trHeight w:val="437" w:hRule="atLeast"/>
        </w:trPr>
        <w:tc>
          <w:tcPr>
            <w:tcW w:w="2036" w:type="dxa"/>
            <w:tcBorders>
              <w:top w:val="nil"/>
              <w:left w:val="nil"/>
              <w:bottom w:val="nil"/>
              <w:right w:val="nil"/>
            </w:tcBorders>
            <w:tcMar>
              <w:top w:w="15" w:type="dxa"/>
              <w:left w:w="15" w:type="dxa"/>
              <w:right w:w="15" w:type="dxa"/>
            </w:tcMar>
          </w:tcPr>
          <w:p w14:paraId="6FF84EC7">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HAMD</w:t>
            </w:r>
          </w:p>
        </w:tc>
        <w:tc>
          <w:tcPr>
            <w:tcW w:w="2662" w:type="dxa"/>
            <w:tcBorders>
              <w:top w:val="nil"/>
              <w:left w:val="nil"/>
              <w:bottom w:val="nil"/>
              <w:right w:val="nil"/>
            </w:tcBorders>
            <w:tcMar>
              <w:top w:w="15" w:type="dxa"/>
              <w:left w:w="15" w:type="dxa"/>
              <w:right w:w="15" w:type="dxa"/>
            </w:tcMar>
          </w:tcPr>
          <w:p w14:paraId="23F327D3">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nil"/>
              <w:right w:val="nil"/>
            </w:tcBorders>
            <w:tcMar>
              <w:top w:w="15" w:type="dxa"/>
              <w:left w:w="15" w:type="dxa"/>
              <w:right w:w="15" w:type="dxa"/>
            </w:tcMar>
          </w:tcPr>
          <w:p w14:paraId="424B831F">
            <w:pPr>
              <w:widowControl/>
              <w:snapToGrid w:val="0"/>
              <w:spacing w:before="60" w:beforeLines="25" w:after="60" w:afterLines="25" w:line="276" w:lineRule="auto"/>
              <w:textAlignment w:val="center"/>
              <w:rPr>
                <w:rFonts w:ascii="Calibri" w:hAnsi="Calibri" w:cs="Calibri"/>
                <w:bCs/>
                <w:sz w:val="24"/>
                <w:lang w:bidi="ar"/>
              </w:rPr>
            </w:pPr>
          </w:p>
        </w:tc>
        <w:tc>
          <w:tcPr>
            <w:tcW w:w="1870" w:type="dxa"/>
            <w:tcBorders>
              <w:top w:val="nil"/>
              <w:left w:val="nil"/>
              <w:bottom w:val="nil"/>
              <w:right w:val="nil"/>
            </w:tcBorders>
            <w:tcMar>
              <w:top w:w="15" w:type="dxa"/>
              <w:left w:w="15" w:type="dxa"/>
              <w:right w:w="15" w:type="dxa"/>
            </w:tcMar>
            <w:vAlign w:val="center"/>
          </w:tcPr>
          <w:p w14:paraId="65F22250">
            <w:pPr>
              <w:widowControl/>
              <w:snapToGrid w:val="0"/>
              <w:spacing w:before="60" w:beforeLines="25" w:after="60" w:afterLines="25" w:line="276" w:lineRule="auto"/>
              <w:textAlignment w:val="center"/>
              <w:rPr>
                <w:rFonts w:ascii="Calibri" w:hAnsi="Calibri" w:cs="Calibri"/>
                <w:bCs/>
                <w:sz w:val="24"/>
                <w:lang w:bidi="ar"/>
              </w:rPr>
            </w:pPr>
          </w:p>
        </w:tc>
      </w:tr>
      <w:tr w14:paraId="642A69B3">
        <w:tblPrEx>
          <w:tblCellMar>
            <w:top w:w="0" w:type="dxa"/>
            <w:left w:w="0" w:type="dxa"/>
            <w:bottom w:w="0" w:type="dxa"/>
            <w:right w:w="0" w:type="dxa"/>
          </w:tblCellMar>
        </w:tblPrEx>
        <w:trPr>
          <w:trHeight w:val="744" w:hRule="atLeast"/>
        </w:trPr>
        <w:tc>
          <w:tcPr>
            <w:tcW w:w="2036" w:type="dxa"/>
            <w:tcBorders>
              <w:top w:val="nil"/>
              <w:left w:val="nil"/>
              <w:bottom w:val="single" w:color="000000" w:sz="8" w:space="0"/>
              <w:right w:val="nil"/>
            </w:tcBorders>
            <w:tcMar>
              <w:top w:w="15" w:type="dxa"/>
              <w:left w:w="15" w:type="dxa"/>
              <w:right w:w="15" w:type="dxa"/>
            </w:tcMar>
          </w:tcPr>
          <w:p w14:paraId="2530DE0A">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 xml:space="preserve">Stroke onset, </w:t>
            </w:r>
          </w:p>
          <w:p w14:paraId="51748577">
            <w:pPr>
              <w:widowControl/>
              <w:snapToGrid w:val="0"/>
              <w:spacing w:before="60" w:beforeLines="25" w:after="60" w:afterLines="25" w:line="276" w:lineRule="auto"/>
              <w:textAlignment w:val="top"/>
              <w:rPr>
                <w:rFonts w:ascii="Calibri" w:hAnsi="Calibri" w:cs="Calibri"/>
                <w:bCs/>
                <w:sz w:val="24"/>
                <w:lang w:bidi="ar"/>
              </w:rPr>
            </w:pPr>
            <w:r>
              <w:rPr>
                <w:rFonts w:ascii="Calibri" w:hAnsi="Calibri" w:cs="Calibri"/>
                <w:bCs/>
                <w:sz w:val="24"/>
                <w:lang w:bidi="ar"/>
              </w:rPr>
              <w:t>month</w:t>
            </w:r>
          </w:p>
        </w:tc>
        <w:tc>
          <w:tcPr>
            <w:tcW w:w="2662" w:type="dxa"/>
            <w:tcBorders>
              <w:top w:val="nil"/>
              <w:left w:val="nil"/>
              <w:bottom w:val="single" w:color="000000" w:sz="8" w:space="0"/>
              <w:right w:val="nil"/>
            </w:tcBorders>
            <w:tcMar>
              <w:top w:w="15" w:type="dxa"/>
              <w:left w:w="15" w:type="dxa"/>
              <w:right w:w="15" w:type="dxa"/>
            </w:tcMar>
            <w:vAlign w:val="center"/>
          </w:tcPr>
          <w:p w14:paraId="7E310B28">
            <w:pPr>
              <w:widowControl/>
              <w:snapToGrid w:val="0"/>
              <w:spacing w:before="60" w:beforeLines="25" w:after="60" w:afterLines="25" w:line="276" w:lineRule="auto"/>
              <w:textAlignment w:val="center"/>
              <w:rPr>
                <w:rFonts w:ascii="Calibri" w:hAnsi="Calibri" w:cs="Calibri"/>
                <w:bCs/>
                <w:sz w:val="24"/>
                <w:lang w:bidi="ar"/>
              </w:rPr>
            </w:pPr>
          </w:p>
        </w:tc>
        <w:tc>
          <w:tcPr>
            <w:tcW w:w="2610" w:type="dxa"/>
            <w:tcBorders>
              <w:top w:val="nil"/>
              <w:left w:val="nil"/>
              <w:bottom w:val="single" w:color="000000" w:sz="8" w:space="0"/>
              <w:right w:val="nil"/>
            </w:tcBorders>
            <w:tcMar>
              <w:top w:w="15" w:type="dxa"/>
              <w:left w:w="15" w:type="dxa"/>
              <w:right w:w="15" w:type="dxa"/>
            </w:tcMar>
            <w:vAlign w:val="center"/>
          </w:tcPr>
          <w:p w14:paraId="3A85F112">
            <w:pPr>
              <w:widowControl/>
              <w:snapToGrid w:val="0"/>
              <w:spacing w:before="60" w:beforeLines="25" w:after="60" w:afterLines="25" w:line="276" w:lineRule="auto"/>
              <w:textAlignment w:val="center"/>
              <w:rPr>
                <w:rFonts w:ascii="Calibri" w:hAnsi="Calibri" w:cs="Calibri"/>
                <w:bCs/>
                <w:sz w:val="24"/>
                <w:lang w:bidi="ar"/>
              </w:rPr>
            </w:pPr>
          </w:p>
        </w:tc>
        <w:tc>
          <w:tcPr>
            <w:tcW w:w="1870" w:type="dxa"/>
            <w:tcBorders>
              <w:top w:val="nil"/>
              <w:left w:val="nil"/>
              <w:bottom w:val="single" w:color="000000" w:sz="8" w:space="0"/>
              <w:right w:val="nil"/>
            </w:tcBorders>
            <w:tcMar>
              <w:top w:w="15" w:type="dxa"/>
              <w:left w:w="15" w:type="dxa"/>
              <w:right w:w="15" w:type="dxa"/>
            </w:tcMar>
            <w:vAlign w:val="center"/>
          </w:tcPr>
          <w:p w14:paraId="3F7E1CFA">
            <w:pPr>
              <w:widowControl/>
              <w:snapToGrid w:val="0"/>
              <w:spacing w:before="60" w:beforeLines="25" w:after="60" w:afterLines="25" w:line="276" w:lineRule="auto"/>
              <w:textAlignment w:val="center"/>
              <w:rPr>
                <w:rFonts w:ascii="Calibri" w:hAnsi="Calibri" w:cs="Calibri"/>
                <w:bCs/>
                <w:sz w:val="24"/>
                <w:lang w:bidi="ar"/>
              </w:rPr>
            </w:pPr>
          </w:p>
        </w:tc>
      </w:tr>
    </w:tbl>
    <w:p w14:paraId="687D9735">
      <w:pPr>
        <w:spacing w:line="276" w:lineRule="auto"/>
        <w:rPr>
          <w:rFonts w:ascii="Calibri" w:hAnsi="Calibri" w:cs="Calibri"/>
        </w:rPr>
      </w:pPr>
    </w:p>
    <w:p w14:paraId="66E1E68A">
      <w:pPr>
        <w:spacing w:line="276" w:lineRule="auto"/>
        <w:rPr>
          <w:rFonts w:ascii="Calibri" w:hAnsi="Calibri" w:cs="Calibri"/>
        </w:rPr>
      </w:pPr>
      <w:r>
        <w:rPr>
          <w:rFonts w:ascii="Calibri" w:hAnsi="Calibri" w:cs="Calibri"/>
          <w:sz w:val="24"/>
          <w:szCs w:val="32"/>
        </w:rPr>
        <w:t>Table 2. Trial results for the primary and secondary outcomes</w:t>
      </w:r>
    </w:p>
    <w:tbl>
      <w:tblPr>
        <w:tblStyle w:val="19"/>
        <w:tblW w:w="10233" w:type="dxa"/>
        <w:tblInd w:w="-479" w:type="dxa"/>
        <w:tblBorders>
          <w:top w:val="single" w:color="auto" w:sz="2" w:space="0"/>
          <w:left w:val="none" w:color="auto" w:sz="0" w:space="0"/>
          <w:bottom w:val="single" w:color="auto" w:sz="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9"/>
        <w:gridCol w:w="2022"/>
        <w:gridCol w:w="851"/>
        <w:gridCol w:w="852"/>
        <w:gridCol w:w="851"/>
        <w:gridCol w:w="852"/>
        <w:gridCol w:w="851"/>
        <w:gridCol w:w="852"/>
        <w:gridCol w:w="851"/>
        <w:gridCol w:w="852"/>
      </w:tblGrid>
      <w:tr w14:paraId="636BBB6C">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399" w:type="dxa"/>
            <w:tcBorders>
              <w:bottom w:val="nil"/>
            </w:tcBorders>
          </w:tcPr>
          <w:p w14:paraId="2175BB23">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2022" w:type="dxa"/>
            <w:tcBorders>
              <w:bottom w:val="nil"/>
            </w:tcBorders>
          </w:tcPr>
          <w:p w14:paraId="2F73980C">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b/>
                <w:bCs/>
                <w:sz w:val="20"/>
                <w:szCs w:val="20"/>
              </w:rPr>
            </w:pPr>
          </w:p>
        </w:tc>
        <w:tc>
          <w:tcPr>
            <w:tcW w:w="1703" w:type="dxa"/>
            <w:gridSpan w:val="2"/>
            <w:tcBorders>
              <w:top w:val="single" w:color="auto" w:sz="2" w:space="0"/>
              <w:bottom w:val="single" w:color="auto" w:sz="2" w:space="0"/>
            </w:tcBorders>
          </w:tcPr>
          <w:p w14:paraId="554809D1">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rPr>
            </w:pPr>
            <w:r>
              <w:rPr>
                <w:rFonts w:ascii="Calibri" w:hAnsi="Calibri" w:cs="Calibri"/>
                <w:b/>
                <w:bCs/>
                <w:sz w:val="20"/>
                <w:szCs w:val="20"/>
              </w:rPr>
              <w:t>Baseline</w:t>
            </w:r>
          </w:p>
        </w:tc>
        <w:tc>
          <w:tcPr>
            <w:tcW w:w="1703" w:type="dxa"/>
            <w:gridSpan w:val="2"/>
            <w:tcBorders>
              <w:top w:val="single" w:color="auto" w:sz="2" w:space="0"/>
              <w:bottom w:val="single" w:color="auto" w:sz="2" w:space="0"/>
            </w:tcBorders>
          </w:tcPr>
          <w:p w14:paraId="6749D8A7">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ascii="Calibri" w:hAnsi="Calibri" w:cs="Calibri"/>
                <w:lang w:eastAsia="zh-CN"/>
              </w:rPr>
              <w:t>2W</w:t>
            </w:r>
          </w:p>
        </w:tc>
        <w:tc>
          <w:tcPr>
            <w:tcW w:w="1703" w:type="dxa"/>
            <w:gridSpan w:val="2"/>
            <w:tcBorders>
              <w:top w:val="single" w:color="auto" w:sz="2" w:space="0"/>
              <w:bottom w:val="single" w:color="auto" w:sz="2" w:space="0"/>
            </w:tcBorders>
          </w:tcPr>
          <w:p w14:paraId="5FEAFE7D">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ascii="Calibri" w:hAnsi="Calibri" w:cs="Calibri"/>
                <w:lang w:eastAsia="zh-CN"/>
              </w:rPr>
              <w:t>4W</w:t>
            </w:r>
          </w:p>
        </w:tc>
        <w:tc>
          <w:tcPr>
            <w:tcW w:w="1703" w:type="dxa"/>
            <w:gridSpan w:val="2"/>
            <w:tcBorders>
              <w:top w:val="single" w:color="auto" w:sz="2" w:space="0"/>
              <w:bottom w:val="single" w:color="auto" w:sz="2" w:space="0"/>
            </w:tcBorders>
          </w:tcPr>
          <w:p w14:paraId="7530925C">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ascii="Calibri" w:hAnsi="Calibri" w:cs="Calibri"/>
                <w:lang w:eastAsia="zh-CN"/>
              </w:rPr>
              <w:t>Follow-up</w:t>
            </w:r>
          </w:p>
        </w:tc>
      </w:tr>
      <w:tr w14:paraId="018F3580">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399" w:type="dxa"/>
            <w:tcBorders>
              <w:top w:val="nil"/>
              <w:bottom w:val="single" w:color="auto" w:sz="2" w:space="0"/>
            </w:tcBorders>
          </w:tcPr>
          <w:p w14:paraId="1FBF52CE">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2022" w:type="dxa"/>
            <w:tcBorders>
              <w:top w:val="nil"/>
              <w:bottom w:val="single" w:color="auto" w:sz="2" w:space="0"/>
            </w:tcBorders>
          </w:tcPr>
          <w:p w14:paraId="1D587874">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sz w:val="20"/>
                <w:szCs w:val="20"/>
                <w:lang w:eastAsia="zh-CN"/>
              </w:rPr>
            </w:pPr>
          </w:p>
        </w:tc>
        <w:tc>
          <w:tcPr>
            <w:tcW w:w="851" w:type="dxa"/>
            <w:tcBorders>
              <w:top w:val="single" w:color="auto" w:sz="2" w:space="0"/>
              <w:bottom w:val="single" w:color="auto" w:sz="2" w:space="0"/>
            </w:tcBorders>
          </w:tcPr>
          <w:p w14:paraId="48D9F312">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sz w:val="20"/>
                <w:szCs w:val="20"/>
                <w:lang w:eastAsia="zh-CN"/>
              </w:rPr>
            </w:pPr>
            <w:r>
              <w:rPr>
                <w:rFonts w:hint="eastAsia" w:ascii="Calibri" w:hAnsi="Calibri" w:cs="Calibri"/>
                <w:sz w:val="20"/>
                <w:szCs w:val="20"/>
                <w:lang w:eastAsia="zh-CN"/>
              </w:rPr>
              <w:t>rTMS</w:t>
            </w:r>
            <w:r>
              <w:rPr>
                <w:rFonts w:ascii="Calibri" w:hAnsi="Calibri" w:cs="Calibri"/>
                <w:sz w:val="20"/>
                <w:szCs w:val="20"/>
                <w:lang w:eastAsia="zh-CN"/>
              </w:rPr>
              <w:t xml:space="preserve"> </w:t>
            </w:r>
            <w:r>
              <w:rPr>
                <w:rFonts w:hint="eastAsia" w:ascii="Calibri" w:hAnsi="Calibri" w:cs="Calibri"/>
                <w:sz w:val="20"/>
                <w:szCs w:val="20"/>
                <w:lang w:eastAsia="zh-CN"/>
              </w:rPr>
              <w:t>group</w:t>
            </w:r>
          </w:p>
        </w:tc>
        <w:tc>
          <w:tcPr>
            <w:tcW w:w="851" w:type="dxa"/>
            <w:tcBorders>
              <w:top w:val="single" w:color="auto" w:sz="2" w:space="0"/>
              <w:bottom w:val="single" w:color="auto" w:sz="2" w:space="0"/>
            </w:tcBorders>
          </w:tcPr>
          <w:p w14:paraId="539061EB">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sz w:val="20"/>
                <w:szCs w:val="20"/>
                <w:lang w:eastAsia="zh-CN"/>
              </w:rPr>
            </w:pPr>
            <w:r>
              <w:rPr>
                <w:rFonts w:ascii="Calibri" w:hAnsi="Calibri" w:cs="Calibri"/>
                <w:sz w:val="20"/>
                <w:szCs w:val="20"/>
                <w:lang w:eastAsia="zh-CN"/>
              </w:rPr>
              <w:t>Sham</w:t>
            </w:r>
          </w:p>
          <w:p w14:paraId="6C4ECCA2">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sz w:val="20"/>
                <w:szCs w:val="20"/>
                <w:lang w:eastAsia="zh-CN"/>
              </w:rPr>
            </w:pPr>
            <w:r>
              <w:rPr>
                <w:rFonts w:ascii="Calibri" w:hAnsi="Calibri" w:cs="Calibri"/>
                <w:sz w:val="20"/>
                <w:szCs w:val="20"/>
                <w:lang w:eastAsia="zh-CN"/>
              </w:rPr>
              <w:t>group</w:t>
            </w:r>
          </w:p>
        </w:tc>
        <w:tc>
          <w:tcPr>
            <w:tcW w:w="851" w:type="dxa"/>
            <w:tcBorders>
              <w:top w:val="single" w:color="auto" w:sz="2" w:space="0"/>
              <w:bottom w:val="single" w:color="auto" w:sz="2" w:space="0"/>
            </w:tcBorders>
          </w:tcPr>
          <w:p w14:paraId="260D4D8D">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hint="eastAsia" w:ascii="Calibri" w:hAnsi="Calibri" w:cs="Calibri"/>
                <w:sz w:val="20"/>
                <w:szCs w:val="20"/>
                <w:lang w:eastAsia="zh-CN"/>
              </w:rPr>
              <w:t>rTMS</w:t>
            </w:r>
            <w:r>
              <w:rPr>
                <w:rFonts w:ascii="Calibri" w:hAnsi="Calibri" w:cs="Calibri"/>
                <w:sz w:val="20"/>
                <w:szCs w:val="20"/>
                <w:lang w:eastAsia="zh-CN"/>
              </w:rPr>
              <w:t xml:space="preserve"> </w:t>
            </w:r>
            <w:r>
              <w:rPr>
                <w:rFonts w:hint="eastAsia" w:ascii="Calibri" w:hAnsi="Calibri" w:cs="Calibri"/>
                <w:sz w:val="20"/>
                <w:szCs w:val="20"/>
                <w:lang w:eastAsia="zh-CN"/>
              </w:rPr>
              <w:t>group</w:t>
            </w:r>
          </w:p>
        </w:tc>
        <w:tc>
          <w:tcPr>
            <w:tcW w:w="851" w:type="dxa"/>
            <w:tcBorders>
              <w:top w:val="single" w:color="auto" w:sz="2" w:space="0"/>
              <w:bottom w:val="single" w:color="auto" w:sz="2" w:space="0"/>
            </w:tcBorders>
          </w:tcPr>
          <w:p w14:paraId="43EA8178">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sz w:val="20"/>
                <w:szCs w:val="20"/>
                <w:lang w:eastAsia="zh-CN"/>
              </w:rPr>
            </w:pPr>
            <w:r>
              <w:rPr>
                <w:rFonts w:ascii="Calibri" w:hAnsi="Calibri" w:cs="Calibri"/>
                <w:sz w:val="20"/>
                <w:szCs w:val="20"/>
                <w:lang w:eastAsia="zh-CN"/>
              </w:rPr>
              <w:t>Sham</w:t>
            </w:r>
          </w:p>
          <w:p w14:paraId="6764E6DF">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ascii="Calibri" w:hAnsi="Calibri" w:cs="Calibri"/>
                <w:sz w:val="20"/>
                <w:szCs w:val="20"/>
                <w:lang w:eastAsia="zh-CN"/>
              </w:rPr>
              <w:t>group</w:t>
            </w:r>
          </w:p>
        </w:tc>
        <w:tc>
          <w:tcPr>
            <w:tcW w:w="851" w:type="dxa"/>
            <w:tcBorders>
              <w:top w:val="single" w:color="auto" w:sz="2" w:space="0"/>
              <w:bottom w:val="single" w:color="auto" w:sz="2" w:space="0"/>
            </w:tcBorders>
          </w:tcPr>
          <w:p w14:paraId="24F9F23F">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hint="eastAsia" w:ascii="Calibri" w:hAnsi="Calibri" w:cs="Calibri"/>
                <w:sz w:val="20"/>
                <w:szCs w:val="20"/>
                <w:lang w:eastAsia="zh-CN"/>
              </w:rPr>
              <w:t>rTMS</w:t>
            </w:r>
            <w:r>
              <w:rPr>
                <w:rFonts w:ascii="Calibri" w:hAnsi="Calibri" w:cs="Calibri"/>
                <w:sz w:val="20"/>
                <w:szCs w:val="20"/>
                <w:lang w:eastAsia="zh-CN"/>
              </w:rPr>
              <w:t xml:space="preserve"> </w:t>
            </w:r>
            <w:r>
              <w:rPr>
                <w:rFonts w:hint="eastAsia" w:ascii="Calibri" w:hAnsi="Calibri" w:cs="Calibri"/>
                <w:sz w:val="20"/>
                <w:szCs w:val="20"/>
                <w:lang w:eastAsia="zh-CN"/>
              </w:rPr>
              <w:t>group</w:t>
            </w:r>
          </w:p>
        </w:tc>
        <w:tc>
          <w:tcPr>
            <w:tcW w:w="851" w:type="dxa"/>
            <w:tcBorders>
              <w:top w:val="single" w:color="auto" w:sz="2" w:space="0"/>
              <w:bottom w:val="single" w:color="auto" w:sz="2" w:space="0"/>
            </w:tcBorders>
          </w:tcPr>
          <w:p w14:paraId="56EFCF42">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sz w:val="20"/>
                <w:szCs w:val="20"/>
                <w:lang w:eastAsia="zh-CN"/>
              </w:rPr>
            </w:pPr>
            <w:r>
              <w:rPr>
                <w:rFonts w:ascii="Calibri" w:hAnsi="Calibri" w:cs="Calibri"/>
                <w:sz w:val="20"/>
                <w:szCs w:val="20"/>
                <w:lang w:eastAsia="zh-CN"/>
              </w:rPr>
              <w:t>Sham</w:t>
            </w:r>
          </w:p>
          <w:p w14:paraId="23CF30AF">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ascii="Calibri" w:hAnsi="Calibri" w:cs="Calibri"/>
                <w:sz w:val="20"/>
                <w:szCs w:val="20"/>
                <w:lang w:eastAsia="zh-CN"/>
              </w:rPr>
              <w:t>group</w:t>
            </w:r>
          </w:p>
        </w:tc>
        <w:tc>
          <w:tcPr>
            <w:tcW w:w="851" w:type="dxa"/>
            <w:tcBorders>
              <w:top w:val="single" w:color="auto" w:sz="2" w:space="0"/>
              <w:bottom w:val="single" w:color="auto" w:sz="2" w:space="0"/>
            </w:tcBorders>
          </w:tcPr>
          <w:p w14:paraId="5E8B5C39">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hint="eastAsia" w:ascii="Calibri" w:hAnsi="Calibri" w:cs="Calibri"/>
                <w:sz w:val="20"/>
                <w:szCs w:val="20"/>
                <w:lang w:eastAsia="zh-CN"/>
              </w:rPr>
              <w:t>rTMS</w:t>
            </w:r>
            <w:r>
              <w:rPr>
                <w:rFonts w:ascii="Calibri" w:hAnsi="Calibri" w:cs="Calibri"/>
                <w:sz w:val="20"/>
                <w:szCs w:val="20"/>
                <w:lang w:eastAsia="zh-CN"/>
              </w:rPr>
              <w:t xml:space="preserve"> </w:t>
            </w:r>
            <w:r>
              <w:rPr>
                <w:rFonts w:hint="eastAsia" w:ascii="Calibri" w:hAnsi="Calibri" w:cs="Calibri"/>
                <w:sz w:val="20"/>
                <w:szCs w:val="20"/>
                <w:lang w:eastAsia="zh-CN"/>
              </w:rPr>
              <w:t>group</w:t>
            </w:r>
          </w:p>
        </w:tc>
        <w:tc>
          <w:tcPr>
            <w:tcW w:w="851" w:type="dxa"/>
            <w:tcBorders>
              <w:top w:val="single" w:color="auto" w:sz="2" w:space="0"/>
              <w:bottom w:val="single" w:color="auto" w:sz="2" w:space="0"/>
            </w:tcBorders>
          </w:tcPr>
          <w:p w14:paraId="51A3BF24">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sz w:val="20"/>
                <w:szCs w:val="20"/>
                <w:lang w:eastAsia="zh-CN"/>
              </w:rPr>
            </w:pPr>
            <w:r>
              <w:rPr>
                <w:rFonts w:ascii="Calibri" w:hAnsi="Calibri" w:cs="Calibri"/>
                <w:sz w:val="20"/>
                <w:szCs w:val="20"/>
                <w:lang w:eastAsia="zh-CN"/>
              </w:rPr>
              <w:t>Sham</w:t>
            </w:r>
          </w:p>
          <w:p w14:paraId="3150BDD4">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ascii="Calibri" w:hAnsi="Calibri" w:cs="Calibri"/>
                <w:sz w:val="20"/>
                <w:szCs w:val="20"/>
                <w:lang w:eastAsia="zh-CN"/>
              </w:rPr>
              <w:t>group</w:t>
            </w:r>
          </w:p>
        </w:tc>
      </w:tr>
      <w:tr w14:paraId="0EF4C17C">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1399" w:type="dxa"/>
            <w:vMerge w:val="restart"/>
            <w:tcBorders>
              <w:top w:val="single" w:color="auto" w:sz="2" w:space="0"/>
            </w:tcBorders>
            <w:vAlign w:val="center"/>
          </w:tcPr>
          <w:p w14:paraId="3701FC92">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lang w:eastAsia="zh-CN"/>
              </w:rPr>
            </w:pPr>
            <w:r>
              <w:rPr>
                <w:rFonts w:ascii="Calibri" w:hAnsi="Calibri" w:cs="Calibri"/>
                <w:lang w:eastAsia="zh-CN"/>
              </w:rPr>
              <w:t>P</w:t>
            </w:r>
            <w:r>
              <w:rPr>
                <w:rFonts w:hint="eastAsia" w:ascii="Calibri" w:hAnsi="Calibri" w:cs="Calibri"/>
                <w:lang w:eastAsia="zh-CN"/>
              </w:rPr>
              <w:t>rimary</w:t>
            </w:r>
            <w:r>
              <w:rPr>
                <w:rFonts w:ascii="Calibri" w:hAnsi="Calibri" w:cs="Calibri"/>
                <w:lang w:eastAsia="zh-CN"/>
              </w:rPr>
              <w:t xml:space="preserve"> </w:t>
            </w:r>
            <w:r>
              <w:rPr>
                <w:rFonts w:hint="eastAsia" w:ascii="Calibri" w:hAnsi="Calibri" w:cs="Calibri"/>
                <w:lang w:eastAsia="zh-CN"/>
              </w:rPr>
              <w:t>outcome</w:t>
            </w:r>
          </w:p>
        </w:tc>
        <w:tc>
          <w:tcPr>
            <w:tcW w:w="2022" w:type="dxa"/>
            <w:tcBorders>
              <w:top w:val="single" w:color="auto" w:sz="2" w:space="0"/>
            </w:tcBorders>
          </w:tcPr>
          <w:p w14:paraId="4E838BFA">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r>
              <w:rPr>
                <w:rFonts w:ascii="Calibri" w:hAnsi="Calibri" w:cs="Calibri"/>
                <w:lang w:eastAsia="zh-CN"/>
              </w:rPr>
              <w:t>Bladder capacity</w:t>
            </w:r>
          </w:p>
        </w:tc>
        <w:tc>
          <w:tcPr>
            <w:tcW w:w="851" w:type="dxa"/>
            <w:tcBorders>
              <w:top w:val="single" w:color="auto" w:sz="2" w:space="0"/>
            </w:tcBorders>
          </w:tcPr>
          <w:p w14:paraId="62433AD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Borders>
              <w:top w:val="single" w:color="auto" w:sz="2" w:space="0"/>
            </w:tcBorders>
          </w:tcPr>
          <w:p w14:paraId="48342C3B">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Borders>
              <w:top w:val="single" w:color="auto" w:sz="2" w:space="0"/>
            </w:tcBorders>
          </w:tcPr>
          <w:p w14:paraId="1491B824">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Borders>
              <w:top w:val="single" w:color="auto" w:sz="2" w:space="0"/>
            </w:tcBorders>
          </w:tcPr>
          <w:p w14:paraId="3551F55A">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Borders>
              <w:top w:val="single" w:color="auto" w:sz="2" w:space="0"/>
            </w:tcBorders>
          </w:tcPr>
          <w:p w14:paraId="243E40F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Borders>
              <w:top w:val="single" w:color="auto" w:sz="2" w:space="0"/>
            </w:tcBorders>
          </w:tcPr>
          <w:p w14:paraId="034FBB5F">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Borders>
              <w:top w:val="single" w:color="auto" w:sz="2" w:space="0"/>
            </w:tcBorders>
          </w:tcPr>
          <w:p w14:paraId="24D3EB5A">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Borders>
              <w:top w:val="single" w:color="auto" w:sz="2" w:space="0"/>
            </w:tcBorders>
          </w:tcPr>
          <w:p w14:paraId="70F8AC3E">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r>
      <w:tr w14:paraId="37ECD12C">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1399" w:type="dxa"/>
            <w:vMerge w:val="continue"/>
            <w:vAlign w:val="center"/>
          </w:tcPr>
          <w:p w14:paraId="5EAF685E">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2022" w:type="dxa"/>
          </w:tcPr>
          <w:p w14:paraId="6E3CA0A8">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r>
              <w:rPr>
                <w:rFonts w:ascii="Calibri" w:hAnsi="Calibri" w:cs="Calibri"/>
              </w:rPr>
              <w:t xml:space="preserve">Detrusor pressure </w:t>
            </w:r>
          </w:p>
        </w:tc>
        <w:tc>
          <w:tcPr>
            <w:tcW w:w="851" w:type="dxa"/>
          </w:tcPr>
          <w:p w14:paraId="0A43D271">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66ECE8EE">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29B0CEED">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7EFF131D">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1A8D4882">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39235834">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1BFB867A">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1B62CA05">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r>
      <w:tr w14:paraId="63FF3973">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1399" w:type="dxa"/>
            <w:vMerge w:val="continue"/>
            <w:vAlign w:val="center"/>
          </w:tcPr>
          <w:p w14:paraId="13215709">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2022" w:type="dxa"/>
          </w:tcPr>
          <w:p w14:paraId="4FBE06C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r>
              <w:rPr>
                <w:rFonts w:ascii="Calibri" w:hAnsi="Calibri" w:cs="Calibri"/>
              </w:rPr>
              <w:t>Residual volume</w:t>
            </w:r>
          </w:p>
        </w:tc>
        <w:tc>
          <w:tcPr>
            <w:tcW w:w="851" w:type="dxa"/>
          </w:tcPr>
          <w:p w14:paraId="0114A3C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0FDBC2EB">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7CD158A2">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06422B1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337BC056">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2D8E78D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4DBD87A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7B0AAF9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r>
      <w:tr w14:paraId="7187574F">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1399" w:type="dxa"/>
            <w:vMerge w:val="continue"/>
            <w:vAlign w:val="center"/>
          </w:tcPr>
          <w:p w14:paraId="514BEBE2">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rPr>
            </w:pPr>
          </w:p>
        </w:tc>
        <w:tc>
          <w:tcPr>
            <w:tcW w:w="2022" w:type="dxa"/>
          </w:tcPr>
          <w:p w14:paraId="09AD725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r>
              <w:rPr>
                <w:rFonts w:ascii="Calibri" w:hAnsi="Calibri" w:cs="Calibri"/>
              </w:rPr>
              <w:t>Maximum flow rate</w:t>
            </w:r>
          </w:p>
        </w:tc>
        <w:tc>
          <w:tcPr>
            <w:tcW w:w="851" w:type="dxa"/>
          </w:tcPr>
          <w:p w14:paraId="68A527A6">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22EEF063">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4388BAB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6F6FD386">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30129BBD">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54ED766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34E437F8">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3243E3CF">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r>
      <w:tr w14:paraId="1D968EC4">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9" w:type="dxa"/>
            <w:vMerge w:val="restart"/>
            <w:vAlign w:val="center"/>
          </w:tcPr>
          <w:p w14:paraId="702D6D1A">
            <w:pPr>
              <w:pBdr>
                <w:top w:val="none" w:color="auto" w:sz="0" w:space="0"/>
                <w:left w:val="none" w:color="auto" w:sz="0" w:space="0"/>
                <w:bottom w:val="none" w:color="auto" w:sz="0" w:space="0"/>
                <w:right w:val="none" w:color="auto" w:sz="0" w:space="0"/>
                <w:between w:val="none" w:color="auto" w:sz="0" w:space="0"/>
              </w:pBdr>
              <w:snapToGrid w:val="0"/>
              <w:spacing w:line="276" w:lineRule="auto"/>
              <w:rPr>
                <w:rFonts w:ascii="Calibri" w:hAnsi="Calibri" w:cs="Calibri"/>
                <w:lang w:eastAsia="zh-CN"/>
              </w:rPr>
            </w:pPr>
            <w:r>
              <w:rPr>
                <w:rFonts w:ascii="Calibri" w:hAnsi="Calibri" w:cs="Calibri"/>
                <w:lang w:eastAsia="zh-CN"/>
              </w:rPr>
              <w:t>S</w:t>
            </w:r>
            <w:r>
              <w:rPr>
                <w:rFonts w:hint="eastAsia" w:ascii="Calibri" w:hAnsi="Calibri" w:cs="Calibri"/>
                <w:lang w:eastAsia="zh-CN"/>
              </w:rPr>
              <w:t>econdary</w:t>
            </w:r>
            <w:r>
              <w:rPr>
                <w:rFonts w:ascii="Calibri" w:hAnsi="Calibri" w:cs="Calibri"/>
                <w:lang w:eastAsia="zh-CN"/>
              </w:rPr>
              <w:t xml:space="preserve"> </w:t>
            </w:r>
            <w:r>
              <w:rPr>
                <w:rFonts w:hint="eastAsia" w:ascii="Calibri" w:hAnsi="Calibri" w:cs="Calibri"/>
                <w:lang w:eastAsia="zh-CN"/>
              </w:rPr>
              <w:t>outcome</w:t>
            </w:r>
          </w:p>
        </w:tc>
        <w:tc>
          <w:tcPr>
            <w:tcW w:w="2022" w:type="dxa"/>
            <w:vAlign w:val="center"/>
          </w:tcPr>
          <w:p w14:paraId="51CE4F1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r>
              <w:rPr>
                <w:rFonts w:ascii="Calibri" w:hAnsi="Calibri" w:cs="Calibri"/>
                <w:sz w:val="24"/>
                <w:lang w:val="en-GB"/>
              </w:rPr>
              <w:t>ICIQ-UI SF</w:t>
            </w:r>
          </w:p>
        </w:tc>
        <w:tc>
          <w:tcPr>
            <w:tcW w:w="851" w:type="dxa"/>
          </w:tcPr>
          <w:p w14:paraId="19BF84F2">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635BED3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58A729E5">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1FFF1FC5">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1972796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57A8E831">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05E0965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13F448B9">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r>
      <w:tr w14:paraId="3D364C5A">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9" w:type="dxa"/>
            <w:vMerge w:val="continue"/>
            <w:vAlign w:val="center"/>
          </w:tcPr>
          <w:p w14:paraId="33EFB97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2022" w:type="dxa"/>
            <w:vAlign w:val="center"/>
          </w:tcPr>
          <w:p w14:paraId="560D248D">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r>
              <w:rPr>
                <w:rFonts w:ascii="Calibri" w:hAnsi="Calibri" w:cs="Calibri"/>
                <w:sz w:val="24"/>
                <w:lang w:val="en-GB"/>
              </w:rPr>
              <w:t>OABSS</w:t>
            </w:r>
          </w:p>
        </w:tc>
        <w:tc>
          <w:tcPr>
            <w:tcW w:w="851" w:type="dxa"/>
          </w:tcPr>
          <w:p w14:paraId="0EAACFEB">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49F71B0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27D3A46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7D57796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1FD97123">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73D603F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7463C431">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326A908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r>
      <w:tr w14:paraId="32587A8A">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9" w:type="dxa"/>
            <w:vMerge w:val="continue"/>
            <w:vAlign w:val="center"/>
          </w:tcPr>
          <w:p w14:paraId="671BE7F8">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2022" w:type="dxa"/>
            <w:vAlign w:val="center"/>
          </w:tcPr>
          <w:p w14:paraId="259F3BA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r>
              <w:rPr>
                <w:rFonts w:ascii="Calibri" w:hAnsi="Calibri" w:cs="Calibri"/>
                <w:sz w:val="24"/>
                <w:lang w:val="en-GB"/>
              </w:rPr>
              <w:t>surface EMG</w:t>
            </w:r>
          </w:p>
        </w:tc>
        <w:tc>
          <w:tcPr>
            <w:tcW w:w="851" w:type="dxa"/>
          </w:tcPr>
          <w:p w14:paraId="349EF5AD">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5143CCDB">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3116D3B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53C3D084">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1A234008">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555C31D8">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4CF11B7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c>
          <w:tcPr>
            <w:tcW w:w="851" w:type="dxa"/>
          </w:tcPr>
          <w:p w14:paraId="58B85317">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rPr>
            </w:pPr>
          </w:p>
        </w:tc>
      </w:tr>
    </w:tbl>
    <w:p w14:paraId="1B5043B5">
      <w:pPr>
        <w:snapToGrid w:val="0"/>
        <w:spacing w:line="276" w:lineRule="auto"/>
        <w:jc w:val="both"/>
        <w:rPr>
          <w:rFonts w:ascii="Calibri" w:hAnsi="Calibri" w:cs="Calibri"/>
        </w:rPr>
      </w:pPr>
    </w:p>
    <w:p w14:paraId="3B1469F8">
      <w:pPr>
        <w:snapToGrid w:val="0"/>
        <w:spacing w:line="276" w:lineRule="auto"/>
        <w:jc w:val="both"/>
        <w:rPr>
          <w:rFonts w:ascii="Calibri" w:hAnsi="Calibri" w:cs="Calibri"/>
          <w:lang w:eastAsia="zh-CN"/>
        </w:rPr>
      </w:pPr>
      <w:r>
        <w:rPr>
          <w:rFonts w:hint="eastAsia" w:ascii="Calibri" w:hAnsi="Calibri" w:cs="Calibri"/>
          <w:lang w:eastAsia="zh-CN"/>
        </w:rPr>
        <w:t>Table</w:t>
      </w:r>
      <w:r>
        <w:rPr>
          <w:rFonts w:ascii="Calibri" w:hAnsi="Calibri" w:cs="Calibri"/>
          <w:lang w:eastAsia="zh-CN"/>
        </w:rPr>
        <w:t xml:space="preserve"> 3. </w:t>
      </w:r>
      <w:r>
        <w:rPr>
          <w:rFonts w:hint="eastAsia" w:ascii="Calibri" w:hAnsi="Calibri" w:cs="Calibri"/>
          <w:lang w:eastAsia="zh-CN"/>
        </w:rPr>
        <w:t>Safety</w:t>
      </w:r>
      <w:r>
        <w:rPr>
          <w:rFonts w:ascii="Calibri" w:hAnsi="Calibri" w:cs="Calibri"/>
          <w:lang w:eastAsia="zh-CN"/>
        </w:rPr>
        <w:t xml:space="preserve"> </w:t>
      </w:r>
      <w:r>
        <w:rPr>
          <w:rFonts w:hint="eastAsia" w:ascii="Calibri" w:hAnsi="Calibri" w:cs="Calibri"/>
          <w:lang w:eastAsia="zh-CN"/>
        </w:rPr>
        <w:t>outcomes</w:t>
      </w:r>
      <w:r>
        <w:rPr>
          <w:rFonts w:ascii="Calibri" w:hAnsi="Calibri" w:cs="Calibri"/>
          <w:lang w:eastAsia="zh-CN"/>
        </w:rPr>
        <w:t xml:space="preserve"> </w:t>
      </w:r>
      <w:r>
        <w:rPr>
          <w:rFonts w:hint="eastAsia" w:ascii="Calibri" w:hAnsi="Calibri" w:cs="Calibri"/>
          <w:lang w:eastAsia="zh-CN"/>
        </w:rPr>
        <w:t>in</w:t>
      </w:r>
      <w:r>
        <w:rPr>
          <w:rFonts w:ascii="Calibri" w:hAnsi="Calibri" w:cs="Calibri"/>
          <w:lang w:eastAsia="zh-CN"/>
        </w:rPr>
        <w:t xml:space="preserve"> both groups</w:t>
      </w:r>
    </w:p>
    <w:tbl>
      <w:tblPr>
        <w:tblStyle w:val="19"/>
        <w:tblW w:w="0" w:type="auto"/>
        <w:tblInd w:w="0" w:type="dxa"/>
        <w:tblBorders>
          <w:top w:val="single" w:color="auto" w:sz="2" w:space="0"/>
          <w:left w:val="none" w:color="auto" w:sz="0" w:space="0"/>
          <w:bottom w:val="single" w:color="auto" w:sz="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0"/>
        <w:gridCol w:w="1139"/>
        <w:gridCol w:w="2245"/>
        <w:gridCol w:w="2566"/>
      </w:tblGrid>
      <w:tr w14:paraId="0CAD2D5D">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Borders>
              <w:top w:val="single" w:color="auto" w:sz="2" w:space="0"/>
              <w:bottom w:val="single" w:color="auto" w:sz="2" w:space="0"/>
            </w:tcBorders>
          </w:tcPr>
          <w:p w14:paraId="170BEF41">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1139" w:type="dxa"/>
            <w:tcBorders>
              <w:top w:val="single" w:color="auto" w:sz="2" w:space="0"/>
              <w:bottom w:val="single" w:color="auto" w:sz="2" w:space="0"/>
            </w:tcBorders>
          </w:tcPr>
          <w:p w14:paraId="3FE651E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p>
        </w:tc>
        <w:tc>
          <w:tcPr>
            <w:tcW w:w="2245" w:type="dxa"/>
            <w:tcBorders>
              <w:top w:val="single" w:color="auto" w:sz="2" w:space="0"/>
              <w:bottom w:val="single" w:color="auto" w:sz="2" w:space="0"/>
            </w:tcBorders>
            <w:vAlign w:val="center"/>
          </w:tcPr>
          <w:p w14:paraId="01DFE03C">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r>
              <w:rPr>
                <w:rFonts w:hint="eastAsia" w:ascii="Calibri" w:hAnsi="Calibri" w:cs="Calibri"/>
                <w:sz w:val="20"/>
                <w:szCs w:val="20"/>
                <w:lang w:eastAsia="zh-CN"/>
              </w:rPr>
              <w:t>rTMS</w:t>
            </w:r>
            <w:r>
              <w:rPr>
                <w:rFonts w:ascii="Calibri" w:hAnsi="Calibri" w:cs="Calibri"/>
                <w:sz w:val="20"/>
                <w:szCs w:val="20"/>
                <w:lang w:eastAsia="zh-CN"/>
              </w:rPr>
              <w:t xml:space="preserve"> </w:t>
            </w:r>
            <w:r>
              <w:rPr>
                <w:rFonts w:hint="eastAsia" w:ascii="Calibri" w:hAnsi="Calibri" w:cs="Calibri"/>
                <w:sz w:val="20"/>
                <w:szCs w:val="20"/>
                <w:lang w:eastAsia="zh-CN"/>
              </w:rPr>
              <w:t>group</w:t>
            </w:r>
          </w:p>
        </w:tc>
        <w:tc>
          <w:tcPr>
            <w:tcW w:w="2566" w:type="dxa"/>
            <w:tcBorders>
              <w:top w:val="single" w:color="auto" w:sz="2" w:space="0"/>
              <w:bottom w:val="single" w:color="auto" w:sz="2" w:space="0"/>
            </w:tcBorders>
            <w:vAlign w:val="center"/>
          </w:tcPr>
          <w:p w14:paraId="04AA19D2">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sz w:val="20"/>
                <w:szCs w:val="20"/>
                <w:lang w:eastAsia="zh-CN"/>
              </w:rPr>
            </w:pPr>
            <w:r>
              <w:rPr>
                <w:rFonts w:ascii="Calibri" w:hAnsi="Calibri" w:cs="Calibri"/>
                <w:sz w:val="20"/>
                <w:szCs w:val="20"/>
                <w:lang w:eastAsia="zh-CN"/>
              </w:rPr>
              <w:t>Sham</w:t>
            </w:r>
            <w:r>
              <w:rPr>
                <w:rFonts w:hint="eastAsia" w:ascii="Calibri" w:hAnsi="Calibri" w:cs="Calibri"/>
                <w:sz w:val="20"/>
                <w:szCs w:val="20"/>
                <w:lang w:eastAsia="zh-CN"/>
              </w:rPr>
              <w:t xml:space="preserve"> </w:t>
            </w:r>
            <w:r>
              <w:rPr>
                <w:rFonts w:ascii="Calibri" w:hAnsi="Calibri" w:cs="Calibri"/>
                <w:sz w:val="20"/>
                <w:szCs w:val="20"/>
                <w:lang w:eastAsia="zh-CN"/>
              </w:rPr>
              <w:t>group</w:t>
            </w:r>
          </w:p>
        </w:tc>
      </w:tr>
      <w:tr w14:paraId="7EEA2248">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2550" w:type="dxa"/>
            <w:tcBorders>
              <w:top w:val="single" w:color="auto" w:sz="2" w:space="0"/>
            </w:tcBorders>
          </w:tcPr>
          <w:p w14:paraId="6AB2095D">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Randomize</w:t>
            </w:r>
          </w:p>
        </w:tc>
        <w:tc>
          <w:tcPr>
            <w:tcW w:w="1139" w:type="dxa"/>
            <w:tcBorders>
              <w:top w:val="single" w:color="auto" w:sz="2" w:space="0"/>
            </w:tcBorders>
          </w:tcPr>
          <w:p w14:paraId="4B1E1565">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tcBorders>
              <w:top w:val="single" w:color="auto" w:sz="2" w:space="0"/>
            </w:tcBorders>
            <w:vAlign w:val="center"/>
          </w:tcPr>
          <w:p w14:paraId="5C27AA1E">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tcBorders>
              <w:top w:val="single" w:color="auto" w:sz="2" w:space="0"/>
            </w:tcBorders>
            <w:vAlign w:val="center"/>
          </w:tcPr>
          <w:p w14:paraId="78B62659">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694A1E1B">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77323165">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 xml:space="preserve">Accompaniment </w:t>
            </w:r>
          </w:p>
        </w:tc>
        <w:tc>
          <w:tcPr>
            <w:tcW w:w="1139" w:type="dxa"/>
          </w:tcPr>
          <w:p w14:paraId="5B9DD8AA">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518DDE07">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4A8B9E70">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3AF6430A">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5B71CF78">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Not meeting the inclusion criteria</w:t>
            </w:r>
          </w:p>
        </w:tc>
        <w:tc>
          <w:tcPr>
            <w:tcW w:w="1139" w:type="dxa"/>
          </w:tcPr>
          <w:p w14:paraId="38310A62">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4C6818A2">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5085E02F">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7D0510F9">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1476B9EA">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Protocol</w:t>
            </w:r>
            <w:r>
              <w:rPr>
                <w:rFonts w:hint="eastAsia" w:ascii="Calibri" w:hAnsi="Calibri" w:cs="Calibri"/>
                <w:lang w:eastAsia="zh-CN"/>
              </w:rPr>
              <w:t xml:space="preserve"> violation</w:t>
            </w:r>
          </w:p>
        </w:tc>
        <w:tc>
          <w:tcPr>
            <w:tcW w:w="1139" w:type="dxa"/>
          </w:tcPr>
          <w:p w14:paraId="29C71356">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553D8F1A">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35A7AF83">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2BFBFBA9">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46691F3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hint="eastAsia" w:ascii="Calibri" w:hAnsi="Calibri" w:cs="Calibri"/>
                <w:lang w:eastAsia="zh-CN"/>
              </w:rPr>
              <w:t>Withdrawal of consent</w:t>
            </w:r>
          </w:p>
        </w:tc>
        <w:tc>
          <w:tcPr>
            <w:tcW w:w="1139" w:type="dxa"/>
          </w:tcPr>
          <w:p w14:paraId="49E02786">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37591AA5">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705FF30C">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351A25D1">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7CF2563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hint="eastAsia" w:ascii="Calibri" w:hAnsi="Calibri" w:cs="Calibri"/>
                <w:lang w:eastAsia="zh-CN"/>
              </w:rPr>
              <w:t>Adverse event(s)</w:t>
            </w:r>
          </w:p>
        </w:tc>
        <w:tc>
          <w:tcPr>
            <w:tcW w:w="1139" w:type="dxa"/>
          </w:tcPr>
          <w:p w14:paraId="77E345D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64FA2CE1">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6C98985D">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67A0EB67">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2550" w:type="dxa"/>
          </w:tcPr>
          <w:p w14:paraId="20C75564">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hint="eastAsia" w:ascii="Calibri" w:hAnsi="Calibri" w:cs="Calibri"/>
                <w:lang w:eastAsia="zh-CN"/>
              </w:rPr>
              <w:t>Lost to follow-up</w:t>
            </w:r>
          </w:p>
        </w:tc>
        <w:tc>
          <w:tcPr>
            <w:tcW w:w="1139" w:type="dxa"/>
          </w:tcPr>
          <w:p w14:paraId="1A239B12">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6300CECA">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3109FFA3">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566A0FD4">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271FEFBE">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Recurrence of stroke</w:t>
            </w:r>
          </w:p>
        </w:tc>
        <w:tc>
          <w:tcPr>
            <w:tcW w:w="1139" w:type="dxa"/>
          </w:tcPr>
          <w:p w14:paraId="0F3D0DD0">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3447AA79">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3C63A97E">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6AD2DFDD">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5F31286C">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hint="eastAsia" w:ascii="Calibri" w:hAnsi="Calibri" w:cs="Calibri"/>
                <w:lang w:eastAsia="zh-CN"/>
              </w:rPr>
              <w:t>D</w:t>
            </w:r>
            <w:r>
              <w:rPr>
                <w:rFonts w:ascii="Calibri" w:hAnsi="Calibri" w:cs="Calibri"/>
                <w:lang w:eastAsia="zh-CN"/>
              </w:rPr>
              <w:t>eath</w:t>
            </w:r>
          </w:p>
        </w:tc>
        <w:tc>
          <w:tcPr>
            <w:tcW w:w="1139" w:type="dxa"/>
          </w:tcPr>
          <w:p w14:paraId="7BE8A573">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27203466">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1986FE34">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5A769640">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7285450A">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Safety analysis set</w:t>
            </w:r>
          </w:p>
        </w:tc>
        <w:tc>
          <w:tcPr>
            <w:tcW w:w="1139" w:type="dxa"/>
          </w:tcPr>
          <w:p w14:paraId="7DB68BF6">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5F245BF8">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10E91FD3">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7592E75C">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03556546">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Efficacy analysis set</w:t>
            </w:r>
          </w:p>
        </w:tc>
        <w:tc>
          <w:tcPr>
            <w:tcW w:w="1139" w:type="dxa"/>
          </w:tcPr>
          <w:p w14:paraId="7E1ACDF9">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655CB55B">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30A64431">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14E747F3">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PrEx>
        <w:trPr>
          <w:trHeight w:val="84" w:hRule="atLeast"/>
        </w:trPr>
        <w:tc>
          <w:tcPr>
            <w:tcW w:w="2550" w:type="dxa"/>
          </w:tcPr>
          <w:p w14:paraId="21375C5F">
            <w:pPr>
              <w:pBdr>
                <w:top w:val="none" w:color="auto" w:sz="0" w:space="0"/>
                <w:left w:val="none" w:color="auto" w:sz="0" w:space="0"/>
                <w:bottom w:val="none" w:color="auto" w:sz="0" w:space="0"/>
                <w:right w:val="none" w:color="auto" w:sz="0" w:space="0"/>
                <w:between w:val="none" w:color="auto" w:sz="0" w:space="0"/>
              </w:pBdr>
              <w:snapToGrid w:val="0"/>
              <w:spacing w:line="276" w:lineRule="auto"/>
              <w:ind w:firstLine="330" w:firstLineChars="150"/>
              <w:jc w:val="both"/>
              <w:rPr>
                <w:rFonts w:ascii="Calibri" w:hAnsi="Calibri" w:cs="Calibri"/>
                <w:lang w:eastAsia="zh-CN"/>
              </w:rPr>
            </w:pPr>
            <w:r>
              <w:rPr>
                <w:rFonts w:hint="eastAsia" w:ascii="Calibri" w:hAnsi="Calibri" w:cs="Calibri"/>
                <w:lang w:eastAsia="zh-CN"/>
              </w:rPr>
              <w:t>F</w:t>
            </w:r>
            <w:r>
              <w:rPr>
                <w:rFonts w:ascii="Calibri" w:hAnsi="Calibri" w:cs="Calibri"/>
                <w:lang w:eastAsia="zh-CN"/>
              </w:rPr>
              <w:t>AP</w:t>
            </w:r>
          </w:p>
        </w:tc>
        <w:tc>
          <w:tcPr>
            <w:tcW w:w="1139" w:type="dxa"/>
          </w:tcPr>
          <w:p w14:paraId="63DF7CA8">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0FBE1233">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09CCE7DA">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r w14:paraId="2B9967F5">
        <w:tblPrEx>
          <w:tblBorders>
            <w:top w:val="single" w:color="auto" w:sz="2" w:space="0"/>
            <w:left w:val="none" w:color="auto" w:sz="0" w:space="0"/>
            <w:bottom w:val="single" w:color="auto"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550" w:type="dxa"/>
          </w:tcPr>
          <w:p w14:paraId="0409BBD2">
            <w:pPr>
              <w:pBdr>
                <w:top w:val="none" w:color="auto" w:sz="0" w:space="0"/>
                <w:left w:val="none" w:color="auto" w:sz="0" w:space="0"/>
                <w:bottom w:val="none" w:color="auto" w:sz="0" w:space="0"/>
                <w:right w:val="none" w:color="auto" w:sz="0" w:space="0"/>
                <w:between w:val="none" w:color="auto" w:sz="0" w:space="0"/>
              </w:pBdr>
              <w:snapToGrid w:val="0"/>
              <w:spacing w:line="276" w:lineRule="auto"/>
              <w:ind w:firstLine="330" w:firstLineChars="150"/>
              <w:jc w:val="both"/>
              <w:rPr>
                <w:rFonts w:ascii="Calibri" w:hAnsi="Calibri" w:cs="Calibri"/>
                <w:lang w:eastAsia="zh-CN"/>
              </w:rPr>
            </w:pPr>
            <w:r>
              <w:rPr>
                <w:rFonts w:hint="eastAsia" w:ascii="Calibri" w:hAnsi="Calibri" w:cs="Calibri"/>
                <w:lang w:eastAsia="zh-CN"/>
              </w:rPr>
              <w:t>P</w:t>
            </w:r>
            <w:r>
              <w:rPr>
                <w:rFonts w:ascii="Calibri" w:hAnsi="Calibri" w:cs="Calibri"/>
                <w:lang w:eastAsia="zh-CN"/>
              </w:rPr>
              <w:t>PP</w:t>
            </w:r>
          </w:p>
        </w:tc>
        <w:tc>
          <w:tcPr>
            <w:tcW w:w="1139" w:type="dxa"/>
          </w:tcPr>
          <w:p w14:paraId="04772901">
            <w:pPr>
              <w:pBdr>
                <w:top w:val="none" w:color="auto" w:sz="0" w:space="0"/>
                <w:left w:val="none" w:color="auto" w:sz="0" w:space="0"/>
                <w:bottom w:val="none" w:color="auto" w:sz="0" w:space="0"/>
                <w:right w:val="none" w:color="auto" w:sz="0" w:space="0"/>
                <w:between w:val="none" w:color="auto" w:sz="0" w:space="0"/>
              </w:pBdr>
              <w:snapToGrid w:val="0"/>
              <w:spacing w:line="276" w:lineRule="auto"/>
              <w:jc w:val="both"/>
              <w:rPr>
                <w:rFonts w:ascii="Calibri" w:hAnsi="Calibri" w:cs="Calibri"/>
                <w:lang w:eastAsia="zh-CN"/>
              </w:rPr>
            </w:pPr>
            <w:r>
              <w:rPr>
                <w:rFonts w:ascii="Calibri" w:hAnsi="Calibri" w:cs="Calibri"/>
                <w:lang w:eastAsia="zh-CN"/>
              </w:rPr>
              <w:t>N(%)</w:t>
            </w:r>
          </w:p>
        </w:tc>
        <w:tc>
          <w:tcPr>
            <w:tcW w:w="2245" w:type="dxa"/>
            <w:vAlign w:val="center"/>
          </w:tcPr>
          <w:p w14:paraId="6A6CCA4D">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c>
          <w:tcPr>
            <w:tcW w:w="2566" w:type="dxa"/>
            <w:vAlign w:val="center"/>
          </w:tcPr>
          <w:p w14:paraId="6A99DBFD">
            <w:pPr>
              <w:pBdr>
                <w:top w:val="none" w:color="auto" w:sz="0" w:space="0"/>
                <w:left w:val="none" w:color="auto" w:sz="0" w:space="0"/>
                <w:bottom w:val="none" w:color="auto" w:sz="0" w:space="0"/>
                <w:right w:val="none" w:color="auto" w:sz="0" w:space="0"/>
                <w:between w:val="none" w:color="auto" w:sz="0" w:space="0"/>
              </w:pBdr>
              <w:snapToGrid w:val="0"/>
              <w:spacing w:line="276" w:lineRule="auto"/>
              <w:jc w:val="center"/>
              <w:rPr>
                <w:rFonts w:ascii="Calibri" w:hAnsi="Calibri" w:cs="Calibri"/>
                <w:lang w:eastAsia="zh-CN"/>
              </w:rPr>
            </w:pPr>
          </w:p>
        </w:tc>
      </w:tr>
    </w:tbl>
    <w:p w14:paraId="392AF3B0">
      <w:pPr>
        <w:snapToGrid w:val="0"/>
        <w:spacing w:line="276" w:lineRule="auto"/>
        <w:jc w:val="both"/>
        <w:rPr>
          <w:rFonts w:ascii="Calibri" w:hAnsi="Calibri" w:cs="Calibri"/>
          <w:lang w:eastAsia="zh-CN"/>
        </w:rPr>
      </w:pPr>
      <w:r>
        <w:rPr>
          <w:rFonts w:hint="eastAsia" w:ascii="Calibri" w:hAnsi="Calibri" w:cs="Calibri"/>
          <w:lang w:eastAsia="zh-CN"/>
        </w:rPr>
        <w:t>F</w:t>
      </w:r>
      <w:r>
        <w:rPr>
          <w:rFonts w:ascii="Calibri" w:hAnsi="Calibri" w:cs="Calibri"/>
          <w:lang w:eastAsia="zh-CN"/>
        </w:rPr>
        <w:t>AP</w:t>
      </w:r>
      <w:r>
        <w:rPr>
          <w:rFonts w:hint="eastAsia" w:ascii="Calibri" w:hAnsi="Calibri" w:cs="Calibri"/>
          <w:lang w:eastAsia="zh-CN"/>
        </w:rPr>
        <w:t>:</w:t>
      </w:r>
      <w:r>
        <w:rPr>
          <w:rFonts w:ascii="Calibri" w:hAnsi="Calibri" w:cs="Calibri"/>
          <w:lang w:eastAsia="zh-CN"/>
        </w:rPr>
        <w:t xml:space="preserve">  </w:t>
      </w:r>
      <w:r>
        <w:rPr>
          <w:rFonts w:ascii="Calibri" w:hAnsi="Calibri" w:cs="Calibri"/>
        </w:rPr>
        <w:t>Full Analysis Population</w:t>
      </w:r>
      <w:r>
        <w:rPr>
          <w:rFonts w:ascii="Calibri" w:hAnsi="Calibri" w:cs="Calibri"/>
          <w:lang w:eastAsia="zh-CN"/>
        </w:rPr>
        <w:t>; PPP</w:t>
      </w:r>
      <w:r>
        <w:rPr>
          <w:rFonts w:hint="eastAsia" w:ascii="Calibri" w:hAnsi="Calibri" w:cs="Calibri"/>
          <w:lang w:eastAsia="zh-CN"/>
        </w:rPr>
        <w:t>:</w:t>
      </w:r>
      <w:r>
        <w:rPr>
          <w:rFonts w:ascii="Calibri" w:hAnsi="Calibri" w:cs="Calibri"/>
          <w:lang w:eastAsia="zh-CN"/>
        </w:rPr>
        <w:t xml:space="preserve"> </w:t>
      </w:r>
      <w:r>
        <w:rPr>
          <w:rFonts w:hint="eastAsia" w:ascii="Calibri" w:hAnsi="Calibri" w:cs="Calibri"/>
        </w:rPr>
        <w:t>Per Protocol Population</w:t>
      </w:r>
      <w:r>
        <w:rPr>
          <w:rFonts w:hint="eastAsia" w:ascii="Calibri" w:hAnsi="Calibri" w:cs="Calibri"/>
          <w:lang w:eastAsia="zh-CN"/>
        </w:rPr>
        <w:t>.</w:t>
      </w:r>
      <w:r>
        <w:rPr>
          <w:rFonts w:ascii="Calibri" w:hAnsi="Calibri" w:cs="Calibri"/>
          <w:lang w:eastAsia="zh-CN"/>
        </w:rPr>
        <w:t xml:space="preserve"> </w:t>
      </w:r>
    </w:p>
    <w:p w14:paraId="10262FFB">
      <w:pPr>
        <w:snapToGrid w:val="0"/>
        <w:spacing w:line="276" w:lineRule="auto"/>
        <w:jc w:val="both"/>
        <w:rPr>
          <w:rFonts w:ascii="Calibri" w:hAnsi="Calibri" w:cs="Calibri"/>
        </w:rPr>
      </w:pPr>
    </w:p>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1440" w:right="1440" w:bottom="1440" w:left="1440" w:header="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Rambla">
    <w:altName w:val="Times New Roman"/>
    <w:panose1 w:val="020B0604020202020204"/>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Wingdings">
    <w:panose1 w:val="05000000000000000000"/>
    <w:charset w:val="00"/>
    <w:family w:val="decorative"/>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650D2">
    <w:pPr>
      <w:tabs>
        <w:tab w:val="center" w:pos="4513"/>
        <w:tab w:val="right" w:pos="9026"/>
      </w:tabs>
      <w:rPr>
        <w:rFonts w:hint="eastAsia"/>
        <w:sz w:val="16"/>
        <w:szCs w:val="16"/>
      </w:rPr>
    </w:pPr>
    <w:r>
      <w:rPr>
        <w:sz w:val="16"/>
        <w:szCs w:val="16"/>
      </w:rPr>
      <w:t>SAP version X.Y: STUDY TITLE</w:t>
    </w:r>
    <w:r>
      <w:rPr>
        <w:sz w:val="16"/>
        <w:szCs w:val="16"/>
      </w:rPr>
      <w:tab/>
    </w:r>
    <w:r>
      <w:rPr>
        <w:sz w:val="16"/>
        <w:szCs w:val="16"/>
      </w:rPr>
      <w:t>Date of Version</w:t>
    </w:r>
    <w:r>
      <w:rPr>
        <w:sz w:val="16"/>
        <w:szCs w:val="16"/>
      </w:rPr>
      <w:tab/>
    </w:r>
    <w:r>
      <w:rPr>
        <w:sz w:val="16"/>
        <w:szCs w:val="16"/>
      </w:rPr>
      <w:t xml:space="preserve">Page </w:t>
    </w:r>
    <w:r>
      <w:rPr>
        <w:sz w:val="16"/>
        <w:szCs w:val="16"/>
      </w:rPr>
      <w:fldChar w:fldCharType="begin"/>
    </w:r>
    <w:r>
      <w:rPr>
        <w:sz w:val="16"/>
        <w:szCs w:val="16"/>
      </w:rPr>
      <w:instrText xml:space="preserve">PAGE</w:instrText>
    </w:r>
    <w:r>
      <w:rPr>
        <w:sz w:val="16"/>
        <w:szCs w:val="16"/>
      </w:rPr>
      <w:fldChar w:fldCharType="separate"/>
    </w:r>
    <w:r>
      <w:rPr>
        <w:sz w:val="16"/>
        <w:szCs w:val="16"/>
      </w:rPr>
      <w:t>2</w:t>
    </w:r>
    <w:r>
      <w:rPr>
        <w:sz w:val="16"/>
        <w:szCs w:val="16"/>
      </w:rPr>
      <w:fldChar w:fldCharType="end"/>
    </w:r>
    <w:r>
      <w:rPr>
        <w:sz w:val="16"/>
        <w:szCs w:val="16"/>
      </w:rPr>
      <w:t xml:space="preserve"> of </w:t>
    </w:r>
    <w:r>
      <w:rPr>
        <w:sz w:val="16"/>
        <w:szCs w:val="16"/>
      </w:rPr>
      <w:fldChar w:fldCharType="begin"/>
    </w:r>
    <w:r>
      <w:rPr>
        <w:sz w:val="16"/>
        <w:szCs w:val="16"/>
      </w:rPr>
      <w:instrText xml:space="preserve">NUMPAGES</w:instrText>
    </w:r>
    <w:r>
      <w:rPr>
        <w:sz w:val="16"/>
        <w:szCs w:val="16"/>
      </w:rPr>
      <w:fldChar w:fldCharType="separate"/>
    </w:r>
    <w:r>
      <w:rPr>
        <w:sz w:val="16"/>
        <w:szCs w:val="16"/>
      </w:rPr>
      <w:t>24</w:t>
    </w:r>
    <w:r>
      <w:rPr>
        <w:sz w:val="16"/>
        <w:szCs w:val="16"/>
      </w:rPr>
      <w:fldChar w:fldCharType="end"/>
    </w:r>
  </w:p>
  <w:p w14:paraId="27073985">
    <w:pPr>
      <w:tabs>
        <w:tab w:val="center" w:pos="4513"/>
        <w:tab w:val="right" w:pos="9026"/>
      </w:tabs>
      <w:spacing w:after="708"/>
      <w:rPr>
        <w:rFonts w:hint="eastAsia"/>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5DE4C">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9D7A7">
    <w:pPr>
      <w:pStyle w:val="11"/>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DDBA4">
    <w:pPr>
      <w:tabs>
        <w:tab w:val="center" w:pos="4513"/>
      </w:tabs>
      <w:spacing w:before="708"/>
      <w:rPr>
        <w:rFonts w:hint="eastAsia"/>
      </w:rPr>
    </w:pPr>
    <w:r>
      <w:t>Statistical Analysis Plan</w:t>
    </w:r>
    <w:r>
      <w:tab/>
    </w:r>
    <w:r>
      <w:t xml:space="preserve"> STUDY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E8837">
    <w:pPr>
      <w:pStyle w:val="1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42564">
    <w:pPr>
      <w:pStyle w:val="1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914F45"/>
    <w:multiLevelType w:val="multilevel"/>
    <w:tmpl w:val="01914F45"/>
    <w:lvl w:ilvl="0" w:tentative="0">
      <w:start w:val="0"/>
      <w:numFmt w:val="bullet"/>
      <w:lvlText w:val="•"/>
      <w:lvlJc w:val="left"/>
      <w:pPr>
        <w:ind w:left="697" w:hanging="420"/>
      </w:pPr>
      <w:rPr>
        <w:rFonts w:hint="eastAsia" w:ascii="等线" w:hAnsi="等线" w:eastAsia="等线" w:cs="Rambla"/>
      </w:rPr>
    </w:lvl>
    <w:lvl w:ilvl="1" w:tentative="0">
      <w:start w:val="1"/>
      <w:numFmt w:val="bullet"/>
      <w:lvlText w:val=""/>
      <w:lvlJc w:val="left"/>
      <w:pPr>
        <w:ind w:left="1060" w:hanging="420"/>
      </w:pPr>
      <w:rPr>
        <w:rFonts w:hint="default" w:ascii="Wingdings" w:hAnsi="Wingdings"/>
      </w:rPr>
    </w:lvl>
    <w:lvl w:ilvl="2" w:tentative="0">
      <w:start w:val="1"/>
      <w:numFmt w:val="bullet"/>
      <w:lvlText w:val=""/>
      <w:lvlJc w:val="left"/>
      <w:pPr>
        <w:ind w:left="1480" w:hanging="420"/>
      </w:pPr>
      <w:rPr>
        <w:rFonts w:hint="default" w:ascii="Wingdings" w:hAnsi="Wingdings"/>
      </w:rPr>
    </w:lvl>
    <w:lvl w:ilvl="3" w:tentative="0">
      <w:start w:val="1"/>
      <w:numFmt w:val="bullet"/>
      <w:lvlText w:val=""/>
      <w:lvlJc w:val="left"/>
      <w:pPr>
        <w:ind w:left="1900" w:hanging="420"/>
      </w:pPr>
      <w:rPr>
        <w:rFonts w:hint="default" w:ascii="Wingdings" w:hAnsi="Wingdings"/>
      </w:rPr>
    </w:lvl>
    <w:lvl w:ilvl="4" w:tentative="0">
      <w:start w:val="1"/>
      <w:numFmt w:val="bullet"/>
      <w:lvlText w:val=""/>
      <w:lvlJc w:val="left"/>
      <w:pPr>
        <w:ind w:left="2320" w:hanging="420"/>
      </w:pPr>
      <w:rPr>
        <w:rFonts w:hint="default" w:ascii="Wingdings" w:hAnsi="Wingdings"/>
      </w:rPr>
    </w:lvl>
    <w:lvl w:ilvl="5" w:tentative="0">
      <w:start w:val="1"/>
      <w:numFmt w:val="bullet"/>
      <w:lvlText w:val=""/>
      <w:lvlJc w:val="left"/>
      <w:pPr>
        <w:ind w:left="2740" w:hanging="420"/>
      </w:pPr>
      <w:rPr>
        <w:rFonts w:hint="default" w:ascii="Wingdings" w:hAnsi="Wingdings"/>
      </w:rPr>
    </w:lvl>
    <w:lvl w:ilvl="6" w:tentative="0">
      <w:start w:val="1"/>
      <w:numFmt w:val="bullet"/>
      <w:lvlText w:val=""/>
      <w:lvlJc w:val="left"/>
      <w:pPr>
        <w:ind w:left="3160" w:hanging="420"/>
      </w:pPr>
      <w:rPr>
        <w:rFonts w:hint="default" w:ascii="Wingdings" w:hAnsi="Wingdings"/>
      </w:rPr>
    </w:lvl>
    <w:lvl w:ilvl="7" w:tentative="0">
      <w:start w:val="1"/>
      <w:numFmt w:val="bullet"/>
      <w:lvlText w:val=""/>
      <w:lvlJc w:val="left"/>
      <w:pPr>
        <w:ind w:left="3580" w:hanging="420"/>
      </w:pPr>
      <w:rPr>
        <w:rFonts w:hint="default" w:ascii="Wingdings" w:hAnsi="Wingdings"/>
      </w:rPr>
    </w:lvl>
    <w:lvl w:ilvl="8" w:tentative="0">
      <w:start w:val="1"/>
      <w:numFmt w:val="bullet"/>
      <w:lvlText w:val=""/>
      <w:lvlJc w:val="left"/>
      <w:pPr>
        <w:ind w:left="4000" w:hanging="420"/>
      </w:pPr>
      <w:rPr>
        <w:rFonts w:hint="default" w:ascii="Wingdings" w:hAnsi="Wingdings"/>
      </w:rPr>
    </w:lvl>
  </w:abstractNum>
  <w:abstractNum w:abstractNumId="1">
    <w:nsid w:val="100120D5"/>
    <w:multiLevelType w:val="multilevel"/>
    <w:tmpl w:val="100120D5"/>
    <w:lvl w:ilvl="0" w:tentative="0">
      <w:start w:val="0"/>
      <w:numFmt w:val="bullet"/>
      <w:lvlText w:val="•"/>
      <w:lvlJc w:val="left"/>
      <w:pPr>
        <w:ind w:left="420" w:hanging="420"/>
      </w:pPr>
      <w:rPr>
        <w:rFonts w:hint="eastAsia" w:ascii="等线" w:hAnsi="等线" w:eastAsia="等线" w:cs="Rambl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11BF785A"/>
    <w:multiLevelType w:val="multilevel"/>
    <w:tmpl w:val="11BF785A"/>
    <w:lvl w:ilvl="0" w:tentative="0">
      <w:start w:val="0"/>
      <w:numFmt w:val="bullet"/>
      <w:lvlText w:val="•"/>
      <w:lvlJc w:val="left"/>
      <w:pPr>
        <w:ind w:left="697" w:hanging="420"/>
      </w:pPr>
      <w:rPr>
        <w:rFonts w:hint="eastAsia" w:ascii="等线" w:hAnsi="等线" w:eastAsia="等线" w:cs="Rambla"/>
      </w:rPr>
    </w:lvl>
    <w:lvl w:ilvl="1" w:tentative="0">
      <w:start w:val="1"/>
      <w:numFmt w:val="bullet"/>
      <w:lvlText w:val=""/>
      <w:lvlJc w:val="left"/>
      <w:pPr>
        <w:ind w:left="1060" w:hanging="420"/>
      </w:pPr>
      <w:rPr>
        <w:rFonts w:hint="default" w:ascii="Wingdings" w:hAnsi="Wingdings"/>
      </w:rPr>
    </w:lvl>
    <w:lvl w:ilvl="2" w:tentative="0">
      <w:start w:val="1"/>
      <w:numFmt w:val="bullet"/>
      <w:lvlText w:val=""/>
      <w:lvlJc w:val="left"/>
      <w:pPr>
        <w:ind w:left="1480" w:hanging="420"/>
      </w:pPr>
      <w:rPr>
        <w:rFonts w:hint="default" w:ascii="Wingdings" w:hAnsi="Wingdings"/>
      </w:rPr>
    </w:lvl>
    <w:lvl w:ilvl="3" w:tentative="0">
      <w:start w:val="1"/>
      <w:numFmt w:val="bullet"/>
      <w:lvlText w:val=""/>
      <w:lvlJc w:val="left"/>
      <w:pPr>
        <w:ind w:left="1900" w:hanging="420"/>
      </w:pPr>
      <w:rPr>
        <w:rFonts w:hint="default" w:ascii="Wingdings" w:hAnsi="Wingdings"/>
      </w:rPr>
    </w:lvl>
    <w:lvl w:ilvl="4" w:tentative="0">
      <w:start w:val="1"/>
      <w:numFmt w:val="bullet"/>
      <w:lvlText w:val=""/>
      <w:lvlJc w:val="left"/>
      <w:pPr>
        <w:ind w:left="2320" w:hanging="420"/>
      </w:pPr>
      <w:rPr>
        <w:rFonts w:hint="default" w:ascii="Wingdings" w:hAnsi="Wingdings"/>
      </w:rPr>
    </w:lvl>
    <w:lvl w:ilvl="5" w:tentative="0">
      <w:start w:val="1"/>
      <w:numFmt w:val="bullet"/>
      <w:lvlText w:val=""/>
      <w:lvlJc w:val="left"/>
      <w:pPr>
        <w:ind w:left="2740" w:hanging="420"/>
      </w:pPr>
      <w:rPr>
        <w:rFonts w:hint="default" w:ascii="Wingdings" w:hAnsi="Wingdings"/>
      </w:rPr>
    </w:lvl>
    <w:lvl w:ilvl="6" w:tentative="0">
      <w:start w:val="1"/>
      <w:numFmt w:val="bullet"/>
      <w:lvlText w:val=""/>
      <w:lvlJc w:val="left"/>
      <w:pPr>
        <w:ind w:left="3160" w:hanging="420"/>
      </w:pPr>
      <w:rPr>
        <w:rFonts w:hint="default" w:ascii="Wingdings" w:hAnsi="Wingdings"/>
      </w:rPr>
    </w:lvl>
    <w:lvl w:ilvl="7" w:tentative="0">
      <w:start w:val="1"/>
      <w:numFmt w:val="bullet"/>
      <w:lvlText w:val=""/>
      <w:lvlJc w:val="left"/>
      <w:pPr>
        <w:ind w:left="3580" w:hanging="420"/>
      </w:pPr>
      <w:rPr>
        <w:rFonts w:hint="default" w:ascii="Wingdings" w:hAnsi="Wingdings"/>
      </w:rPr>
    </w:lvl>
    <w:lvl w:ilvl="8" w:tentative="0">
      <w:start w:val="1"/>
      <w:numFmt w:val="bullet"/>
      <w:lvlText w:val=""/>
      <w:lvlJc w:val="left"/>
      <w:pPr>
        <w:ind w:left="4000" w:hanging="420"/>
      </w:pPr>
      <w:rPr>
        <w:rFonts w:hint="default" w:ascii="Wingdings" w:hAnsi="Wingdings"/>
      </w:rPr>
    </w:lvl>
  </w:abstractNum>
  <w:abstractNum w:abstractNumId="3">
    <w:nsid w:val="14A64C58"/>
    <w:multiLevelType w:val="multilevel"/>
    <w:tmpl w:val="14A64C58"/>
    <w:lvl w:ilvl="0" w:tentative="0">
      <w:start w:val="0"/>
      <w:numFmt w:val="bullet"/>
      <w:lvlText w:val="•"/>
      <w:lvlJc w:val="left"/>
      <w:pPr>
        <w:ind w:left="840" w:hanging="420"/>
      </w:pPr>
      <w:rPr>
        <w:rFonts w:hint="eastAsia" w:ascii="等线" w:hAnsi="等线" w:eastAsia="等线" w:cs="Rambla"/>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1BD73355"/>
    <w:multiLevelType w:val="multilevel"/>
    <w:tmpl w:val="1BD73355"/>
    <w:lvl w:ilvl="0" w:tentative="0">
      <w:start w:val="0"/>
      <w:numFmt w:val="bullet"/>
      <w:lvlText w:val="•"/>
      <w:lvlJc w:val="left"/>
      <w:pPr>
        <w:ind w:left="780" w:hanging="420"/>
      </w:pPr>
      <w:rPr>
        <w:rFonts w:hint="eastAsia" w:ascii="等线" w:hAnsi="等线" w:eastAsia="等线" w:cs="Rambla"/>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5">
    <w:nsid w:val="26926D54"/>
    <w:multiLevelType w:val="multilevel"/>
    <w:tmpl w:val="26926D54"/>
    <w:lvl w:ilvl="0" w:tentative="0">
      <w:start w:val="0"/>
      <w:numFmt w:val="bullet"/>
      <w:lvlText w:val="•"/>
      <w:lvlJc w:val="left"/>
      <w:pPr>
        <w:ind w:left="640" w:hanging="420"/>
      </w:pPr>
      <w:rPr>
        <w:rFonts w:hint="eastAsia" w:ascii="等线" w:hAnsi="等线" w:eastAsia="等线" w:cs="Rambla"/>
      </w:rPr>
    </w:lvl>
    <w:lvl w:ilvl="1" w:tentative="0">
      <w:start w:val="1"/>
      <w:numFmt w:val="bullet"/>
      <w:lvlText w:val=""/>
      <w:lvlJc w:val="left"/>
      <w:pPr>
        <w:ind w:left="1060" w:hanging="420"/>
      </w:pPr>
      <w:rPr>
        <w:rFonts w:hint="default" w:ascii="Wingdings" w:hAnsi="Wingdings"/>
      </w:rPr>
    </w:lvl>
    <w:lvl w:ilvl="2" w:tentative="0">
      <w:start w:val="1"/>
      <w:numFmt w:val="bullet"/>
      <w:lvlText w:val=""/>
      <w:lvlJc w:val="left"/>
      <w:pPr>
        <w:ind w:left="1480" w:hanging="420"/>
      </w:pPr>
      <w:rPr>
        <w:rFonts w:hint="default" w:ascii="Wingdings" w:hAnsi="Wingdings"/>
      </w:rPr>
    </w:lvl>
    <w:lvl w:ilvl="3" w:tentative="0">
      <w:start w:val="1"/>
      <w:numFmt w:val="bullet"/>
      <w:lvlText w:val=""/>
      <w:lvlJc w:val="left"/>
      <w:pPr>
        <w:ind w:left="1900" w:hanging="420"/>
      </w:pPr>
      <w:rPr>
        <w:rFonts w:hint="default" w:ascii="Wingdings" w:hAnsi="Wingdings"/>
      </w:rPr>
    </w:lvl>
    <w:lvl w:ilvl="4" w:tentative="0">
      <w:start w:val="1"/>
      <w:numFmt w:val="bullet"/>
      <w:lvlText w:val=""/>
      <w:lvlJc w:val="left"/>
      <w:pPr>
        <w:ind w:left="2320" w:hanging="420"/>
      </w:pPr>
      <w:rPr>
        <w:rFonts w:hint="default" w:ascii="Wingdings" w:hAnsi="Wingdings"/>
      </w:rPr>
    </w:lvl>
    <w:lvl w:ilvl="5" w:tentative="0">
      <w:start w:val="1"/>
      <w:numFmt w:val="bullet"/>
      <w:lvlText w:val=""/>
      <w:lvlJc w:val="left"/>
      <w:pPr>
        <w:ind w:left="2740" w:hanging="420"/>
      </w:pPr>
      <w:rPr>
        <w:rFonts w:hint="default" w:ascii="Wingdings" w:hAnsi="Wingdings"/>
      </w:rPr>
    </w:lvl>
    <w:lvl w:ilvl="6" w:tentative="0">
      <w:start w:val="1"/>
      <w:numFmt w:val="bullet"/>
      <w:lvlText w:val=""/>
      <w:lvlJc w:val="left"/>
      <w:pPr>
        <w:ind w:left="3160" w:hanging="420"/>
      </w:pPr>
      <w:rPr>
        <w:rFonts w:hint="default" w:ascii="Wingdings" w:hAnsi="Wingdings"/>
      </w:rPr>
    </w:lvl>
    <w:lvl w:ilvl="7" w:tentative="0">
      <w:start w:val="1"/>
      <w:numFmt w:val="bullet"/>
      <w:lvlText w:val=""/>
      <w:lvlJc w:val="left"/>
      <w:pPr>
        <w:ind w:left="3580" w:hanging="420"/>
      </w:pPr>
      <w:rPr>
        <w:rFonts w:hint="default" w:ascii="Wingdings" w:hAnsi="Wingdings"/>
      </w:rPr>
    </w:lvl>
    <w:lvl w:ilvl="8" w:tentative="0">
      <w:start w:val="1"/>
      <w:numFmt w:val="bullet"/>
      <w:lvlText w:val=""/>
      <w:lvlJc w:val="left"/>
      <w:pPr>
        <w:ind w:left="4000" w:hanging="420"/>
      </w:pPr>
      <w:rPr>
        <w:rFonts w:hint="default" w:ascii="Wingdings" w:hAnsi="Wingdings"/>
      </w:rPr>
    </w:lvl>
  </w:abstractNum>
  <w:abstractNum w:abstractNumId="6">
    <w:nsid w:val="26E26584"/>
    <w:multiLevelType w:val="multilevel"/>
    <w:tmpl w:val="26E26584"/>
    <w:lvl w:ilvl="0" w:tentative="0">
      <w:start w:val="1"/>
      <w:numFmt w:val="decimal"/>
      <w:lvlText w:val="%1"/>
      <w:lvlJc w:val="left"/>
      <w:pPr>
        <w:ind w:left="432" w:hanging="432"/>
      </w:pPr>
    </w:lvl>
    <w:lvl w:ilvl="1" w:tentative="0">
      <w:start w:val="1"/>
      <w:numFmt w:val="decimal"/>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7">
    <w:nsid w:val="2D067927"/>
    <w:multiLevelType w:val="multilevel"/>
    <w:tmpl w:val="2D067927"/>
    <w:lvl w:ilvl="0" w:tentative="0">
      <w:start w:val="0"/>
      <w:numFmt w:val="bullet"/>
      <w:lvlText w:val="•"/>
      <w:lvlJc w:val="left"/>
      <w:pPr>
        <w:ind w:left="840" w:hanging="420"/>
      </w:pPr>
      <w:rPr>
        <w:rFonts w:hint="eastAsia" w:ascii="等线" w:hAnsi="等线" w:eastAsia="等线" w:cs="Rambla"/>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8">
    <w:nsid w:val="3FDA43AF"/>
    <w:multiLevelType w:val="multilevel"/>
    <w:tmpl w:val="3FDA43AF"/>
    <w:lvl w:ilvl="0" w:tentative="0">
      <w:start w:val="0"/>
      <w:numFmt w:val="bullet"/>
      <w:lvlText w:val="•"/>
      <w:lvlJc w:val="left"/>
      <w:pPr>
        <w:ind w:left="697" w:hanging="420"/>
      </w:pPr>
      <w:rPr>
        <w:rFonts w:hint="eastAsia" w:ascii="等线" w:hAnsi="等线" w:eastAsia="等线" w:cs="Rambla"/>
      </w:rPr>
    </w:lvl>
    <w:lvl w:ilvl="1" w:tentative="0">
      <w:start w:val="1"/>
      <w:numFmt w:val="bullet"/>
      <w:lvlText w:val=""/>
      <w:lvlJc w:val="left"/>
      <w:pPr>
        <w:ind w:left="1060" w:hanging="420"/>
      </w:pPr>
      <w:rPr>
        <w:rFonts w:hint="default" w:ascii="Wingdings" w:hAnsi="Wingdings"/>
      </w:rPr>
    </w:lvl>
    <w:lvl w:ilvl="2" w:tentative="0">
      <w:start w:val="1"/>
      <w:numFmt w:val="bullet"/>
      <w:lvlText w:val=""/>
      <w:lvlJc w:val="left"/>
      <w:pPr>
        <w:ind w:left="1480" w:hanging="420"/>
      </w:pPr>
      <w:rPr>
        <w:rFonts w:hint="default" w:ascii="Wingdings" w:hAnsi="Wingdings"/>
      </w:rPr>
    </w:lvl>
    <w:lvl w:ilvl="3" w:tentative="0">
      <w:start w:val="1"/>
      <w:numFmt w:val="bullet"/>
      <w:lvlText w:val=""/>
      <w:lvlJc w:val="left"/>
      <w:pPr>
        <w:ind w:left="1900" w:hanging="420"/>
      </w:pPr>
      <w:rPr>
        <w:rFonts w:hint="default" w:ascii="Wingdings" w:hAnsi="Wingdings"/>
      </w:rPr>
    </w:lvl>
    <w:lvl w:ilvl="4" w:tentative="0">
      <w:start w:val="1"/>
      <w:numFmt w:val="bullet"/>
      <w:lvlText w:val=""/>
      <w:lvlJc w:val="left"/>
      <w:pPr>
        <w:ind w:left="2320" w:hanging="420"/>
      </w:pPr>
      <w:rPr>
        <w:rFonts w:hint="default" w:ascii="Wingdings" w:hAnsi="Wingdings"/>
      </w:rPr>
    </w:lvl>
    <w:lvl w:ilvl="5" w:tentative="0">
      <w:start w:val="1"/>
      <w:numFmt w:val="bullet"/>
      <w:lvlText w:val=""/>
      <w:lvlJc w:val="left"/>
      <w:pPr>
        <w:ind w:left="2740" w:hanging="420"/>
      </w:pPr>
      <w:rPr>
        <w:rFonts w:hint="default" w:ascii="Wingdings" w:hAnsi="Wingdings"/>
      </w:rPr>
    </w:lvl>
    <w:lvl w:ilvl="6" w:tentative="0">
      <w:start w:val="1"/>
      <w:numFmt w:val="bullet"/>
      <w:lvlText w:val=""/>
      <w:lvlJc w:val="left"/>
      <w:pPr>
        <w:ind w:left="3160" w:hanging="420"/>
      </w:pPr>
      <w:rPr>
        <w:rFonts w:hint="default" w:ascii="Wingdings" w:hAnsi="Wingdings"/>
      </w:rPr>
    </w:lvl>
    <w:lvl w:ilvl="7" w:tentative="0">
      <w:start w:val="1"/>
      <w:numFmt w:val="bullet"/>
      <w:lvlText w:val=""/>
      <w:lvlJc w:val="left"/>
      <w:pPr>
        <w:ind w:left="3580" w:hanging="420"/>
      </w:pPr>
      <w:rPr>
        <w:rFonts w:hint="default" w:ascii="Wingdings" w:hAnsi="Wingdings"/>
      </w:rPr>
    </w:lvl>
    <w:lvl w:ilvl="8" w:tentative="0">
      <w:start w:val="1"/>
      <w:numFmt w:val="bullet"/>
      <w:lvlText w:val=""/>
      <w:lvlJc w:val="left"/>
      <w:pPr>
        <w:ind w:left="4000" w:hanging="420"/>
      </w:pPr>
      <w:rPr>
        <w:rFonts w:hint="default" w:ascii="Wingdings" w:hAnsi="Wingdings"/>
      </w:rPr>
    </w:lvl>
  </w:abstractNum>
  <w:abstractNum w:abstractNumId="9">
    <w:nsid w:val="59D347AA"/>
    <w:multiLevelType w:val="multilevel"/>
    <w:tmpl w:val="59D347AA"/>
    <w:lvl w:ilvl="0" w:tentative="0">
      <w:start w:val="0"/>
      <w:numFmt w:val="bullet"/>
      <w:lvlText w:val="•"/>
      <w:lvlJc w:val="left"/>
      <w:pPr>
        <w:ind w:left="420" w:hanging="420"/>
      </w:pPr>
      <w:rPr>
        <w:rFonts w:hint="eastAsia" w:ascii="等线" w:hAnsi="等线" w:eastAsia="等线" w:cs="Rambl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5BA63CC5"/>
    <w:multiLevelType w:val="multilevel"/>
    <w:tmpl w:val="5BA63CC5"/>
    <w:lvl w:ilvl="0" w:tentative="0">
      <w:start w:val="0"/>
      <w:numFmt w:val="bullet"/>
      <w:lvlText w:val="•"/>
      <w:lvlJc w:val="left"/>
      <w:pPr>
        <w:ind w:left="420" w:hanging="420"/>
      </w:pPr>
      <w:rPr>
        <w:rFonts w:hint="eastAsia" w:ascii="等线" w:hAnsi="等线" w:eastAsia="等线" w:cs="Rambla"/>
      </w:rPr>
    </w:lvl>
    <w:lvl w:ilvl="1" w:tentative="0">
      <w:start w:val="0"/>
      <w:numFmt w:val="bullet"/>
      <w:lvlText w:val="•"/>
      <w:lvlJc w:val="left"/>
      <w:pPr>
        <w:ind w:left="840" w:hanging="420"/>
      </w:pPr>
      <w:rPr>
        <w:rFonts w:hint="eastAsia" w:ascii="等线" w:hAnsi="等线" w:eastAsia="等线" w:cs="Rambla"/>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
    <w:nsid w:val="673773AA"/>
    <w:multiLevelType w:val="multilevel"/>
    <w:tmpl w:val="673773AA"/>
    <w:lvl w:ilvl="0" w:tentative="0">
      <w:start w:val="0"/>
      <w:numFmt w:val="bullet"/>
      <w:lvlText w:val="•"/>
      <w:lvlJc w:val="left"/>
      <w:pPr>
        <w:ind w:left="420" w:hanging="420"/>
      </w:pPr>
      <w:rPr>
        <w:rFonts w:hint="eastAsia" w:ascii="等线" w:hAnsi="等线" w:eastAsia="等线" w:cs="Rambl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72AD3782"/>
    <w:multiLevelType w:val="multilevel"/>
    <w:tmpl w:val="72AD3782"/>
    <w:lvl w:ilvl="0" w:tentative="0">
      <w:start w:val="0"/>
      <w:numFmt w:val="bullet"/>
      <w:lvlText w:val="•"/>
      <w:lvlJc w:val="left"/>
      <w:pPr>
        <w:ind w:left="640" w:hanging="420"/>
      </w:pPr>
      <w:rPr>
        <w:rFonts w:hint="eastAsia" w:ascii="等线" w:hAnsi="等线" w:eastAsia="等线" w:cs="Rambla"/>
      </w:rPr>
    </w:lvl>
    <w:lvl w:ilvl="1" w:tentative="0">
      <w:start w:val="1"/>
      <w:numFmt w:val="bullet"/>
      <w:lvlText w:val=""/>
      <w:lvlJc w:val="left"/>
      <w:pPr>
        <w:ind w:left="1060" w:hanging="420"/>
      </w:pPr>
      <w:rPr>
        <w:rFonts w:hint="default" w:ascii="Wingdings" w:hAnsi="Wingdings"/>
      </w:rPr>
    </w:lvl>
    <w:lvl w:ilvl="2" w:tentative="0">
      <w:start w:val="1"/>
      <w:numFmt w:val="bullet"/>
      <w:lvlText w:val=""/>
      <w:lvlJc w:val="left"/>
      <w:pPr>
        <w:ind w:left="1480" w:hanging="420"/>
      </w:pPr>
      <w:rPr>
        <w:rFonts w:hint="default" w:ascii="Wingdings" w:hAnsi="Wingdings"/>
      </w:rPr>
    </w:lvl>
    <w:lvl w:ilvl="3" w:tentative="0">
      <w:start w:val="1"/>
      <w:numFmt w:val="bullet"/>
      <w:lvlText w:val=""/>
      <w:lvlJc w:val="left"/>
      <w:pPr>
        <w:ind w:left="1900" w:hanging="420"/>
      </w:pPr>
      <w:rPr>
        <w:rFonts w:hint="default" w:ascii="Wingdings" w:hAnsi="Wingdings"/>
      </w:rPr>
    </w:lvl>
    <w:lvl w:ilvl="4" w:tentative="0">
      <w:start w:val="1"/>
      <w:numFmt w:val="bullet"/>
      <w:lvlText w:val=""/>
      <w:lvlJc w:val="left"/>
      <w:pPr>
        <w:ind w:left="2320" w:hanging="420"/>
      </w:pPr>
      <w:rPr>
        <w:rFonts w:hint="default" w:ascii="Wingdings" w:hAnsi="Wingdings"/>
      </w:rPr>
    </w:lvl>
    <w:lvl w:ilvl="5" w:tentative="0">
      <w:start w:val="1"/>
      <w:numFmt w:val="bullet"/>
      <w:lvlText w:val=""/>
      <w:lvlJc w:val="left"/>
      <w:pPr>
        <w:ind w:left="2740" w:hanging="420"/>
      </w:pPr>
      <w:rPr>
        <w:rFonts w:hint="default" w:ascii="Wingdings" w:hAnsi="Wingdings"/>
      </w:rPr>
    </w:lvl>
    <w:lvl w:ilvl="6" w:tentative="0">
      <w:start w:val="1"/>
      <w:numFmt w:val="bullet"/>
      <w:lvlText w:val=""/>
      <w:lvlJc w:val="left"/>
      <w:pPr>
        <w:ind w:left="3160" w:hanging="420"/>
      </w:pPr>
      <w:rPr>
        <w:rFonts w:hint="default" w:ascii="Wingdings" w:hAnsi="Wingdings"/>
      </w:rPr>
    </w:lvl>
    <w:lvl w:ilvl="7" w:tentative="0">
      <w:start w:val="1"/>
      <w:numFmt w:val="bullet"/>
      <w:lvlText w:val=""/>
      <w:lvlJc w:val="left"/>
      <w:pPr>
        <w:ind w:left="3580" w:hanging="420"/>
      </w:pPr>
      <w:rPr>
        <w:rFonts w:hint="default" w:ascii="Wingdings" w:hAnsi="Wingdings"/>
      </w:rPr>
    </w:lvl>
    <w:lvl w:ilvl="8" w:tentative="0">
      <w:start w:val="1"/>
      <w:numFmt w:val="bullet"/>
      <w:lvlText w:val=""/>
      <w:lvlJc w:val="left"/>
      <w:pPr>
        <w:ind w:left="4000" w:hanging="420"/>
      </w:pPr>
      <w:rPr>
        <w:rFonts w:hint="default" w:ascii="Wingdings" w:hAnsi="Wingdings"/>
      </w:rPr>
    </w:lvl>
  </w:abstractNum>
  <w:abstractNum w:abstractNumId="13">
    <w:nsid w:val="77E56D52"/>
    <w:multiLevelType w:val="multilevel"/>
    <w:tmpl w:val="77E56D52"/>
    <w:lvl w:ilvl="0" w:tentative="0">
      <w:start w:val="0"/>
      <w:numFmt w:val="bullet"/>
      <w:lvlText w:val="•"/>
      <w:lvlJc w:val="left"/>
      <w:pPr>
        <w:ind w:left="697" w:hanging="420"/>
      </w:pPr>
      <w:rPr>
        <w:rFonts w:hint="eastAsia" w:ascii="等线" w:hAnsi="等线" w:eastAsia="等线" w:cs="Rambla"/>
      </w:rPr>
    </w:lvl>
    <w:lvl w:ilvl="1" w:tentative="0">
      <w:start w:val="1"/>
      <w:numFmt w:val="bullet"/>
      <w:lvlText w:val=""/>
      <w:lvlJc w:val="left"/>
      <w:pPr>
        <w:ind w:left="1060" w:hanging="420"/>
      </w:pPr>
      <w:rPr>
        <w:rFonts w:hint="default" w:ascii="Wingdings" w:hAnsi="Wingdings"/>
      </w:rPr>
    </w:lvl>
    <w:lvl w:ilvl="2" w:tentative="0">
      <w:start w:val="1"/>
      <w:numFmt w:val="bullet"/>
      <w:lvlText w:val=""/>
      <w:lvlJc w:val="left"/>
      <w:pPr>
        <w:ind w:left="1480" w:hanging="420"/>
      </w:pPr>
      <w:rPr>
        <w:rFonts w:hint="default" w:ascii="Wingdings" w:hAnsi="Wingdings"/>
      </w:rPr>
    </w:lvl>
    <w:lvl w:ilvl="3" w:tentative="0">
      <w:start w:val="1"/>
      <w:numFmt w:val="bullet"/>
      <w:lvlText w:val=""/>
      <w:lvlJc w:val="left"/>
      <w:pPr>
        <w:ind w:left="1900" w:hanging="420"/>
      </w:pPr>
      <w:rPr>
        <w:rFonts w:hint="default" w:ascii="Wingdings" w:hAnsi="Wingdings"/>
      </w:rPr>
    </w:lvl>
    <w:lvl w:ilvl="4" w:tentative="0">
      <w:start w:val="1"/>
      <w:numFmt w:val="bullet"/>
      <w:lvlText w:val=""/>
      <w:lvlJc w:val="left"/>
      <w:pPr>
        <w:ind w:left="2320" w:hanging="420"/>
      </w:pPr>
      <w:rPr>
        <w:rFonts w:hint="default" w:ascii="Wingdings" w:hAnsi="Wingdings"/>
      </w:rPr>
    </w:lvl>
    <w:lvl w:ilvl="5" w:tentative="0">
      <w:start w:val="1"/>
      <w:numFmt w:val="bullet"/>
      <w:lvlText w:val=""/>
      <w:lvlJc w:val="left"/>
      <w:pPr>
        <w:ind w:left="2740" w:hanging="420"/>
      </w:pPr>
      <w:rPr>
        <w:rFonts w:hint="default" w:ascii="Wingdings" w:hAnsi="Wingdings"/>
      </w:rPr>
    </w:lvl>
    <w:lvl w:ilvl="6" w:tentative="0">
      <w:start w:val="1"/>
      <w:numFmt w:val="bullet"/>
      <w:lvlText w:val=""/>
      <w:lvlJc w:val="left"/>
      <w:pPr>
        <w:ind w:left="3160" w:hanging="420"/>
      </w:pPr>
      <w:rPr>
        <w:rFonts w:hint="default" w:ascii="Wingdings" w:hAnsi="Wingdings"/>
      </w:rPr>
    </w:lvl>
    <w:lvl w:ilvl="7" w:tentative="0">
      <w:start w:val="1"/>
      <w:numFmt w:val="bullet"/>
      <w:lvlText w:val=""/>
      <w:lvlJc w:val="left"/>
      <w:pPr>
        <w:ind w:left="3580" w:hanging="420"/>
      </w:pPr>
      <w:rPr>
        <w:rFonts w:hint="default" w:ascii="Wingdings" w:hAnsi="Wingdings"/>
      </w:rPr>
    </w:lvl>
    <w:lvl w:ilvl="8" w:tentative="0">
      <w:start w:val="1"/>
      <w:numFmt w:val="bullet"/>
      <w:lvlText w:val=""/>
      <w:lvlJc w:val="left"/>
      <w:pPr>
        <w:ind w:left="4000" w:hanging="420"/>
      </w:pPr>
      <w:rPr>
        <w:rFonts w:hint="default" w:ascii="Wingdings" w:hAnsi="Wingdings"/>
      </w:rPr>
    </w:lvl>
  </w:abstractNum>
  <w:abstractNum w:abstractNumId="14">
    <w:nsid w:val="7D4218E0"/>
    <w:multiLevelType w:val="multilevel"/>
    <w:tmpl w:val="7D4218E0"/>
    <w:lvl w:ilvl="0" w:tentative="0">
      <w:start w:val="0"/>
      <w:numFmt w:val="bullet"/>
      <w:lvlText w:val="•"/>
      <w:lvlJc w:val="left"/>
      <w:pPr>
        <w:ind w:left="640" w:hanging="420"/>
      </w:pPr>
      <w:rPr>
        <w:rFonts w:hint="eastAsia" w:ascii="等线" w:hAnsi="等线" w:eastAsia="等线" w:cs="Rambla"/>
      </w:rPr>
    </w:lvl>
    <w:lvl w:ilvl="1" w:tentative="0">
      <w:start w:val="1"/>
      <w:numFmt w:val="bullet"/>
      <w:lvlText w:val=""/>
      <w:lvlJc w:val="left"/>
      <w:pPr>
        <w:ind w:left="1060" w:hanging="420"/>
      </w:pPr>
      <w:rPr>
        <w:rFonts w:hint="default" w:ascii="Wingdings" w:hAnsi="Wingdings"/>
      </w:rPr>
    </w:lvl>
    <w:lvl w:ilvl="2" w:tentative="0">
      <w:start w:val="1"/>
      <w:numFmt w:val="bullet"/>
      <w:lvlText w:val=""/>
      <w:lvlJc w:val="left"/>
      <w:pPr>
        <w:ind w:left="1480" w:hanging="420"/>
      </w:pPr>
      <w:rPr>
        <w:rFonts w:hint="default" w:ascii="Wingdings" w:hAnsi="Wingdings"/>
      </w:rPr>
    </w:lvl>
    <w:lvl w:ilvl="3" w:tentative="0">
      <w:start w:val="1"/>
      <w:numFmt w:val="bullet"/>
      <w:lvlText w:val=""/>
      <w:lvlJc w:val="left"/>
      <w:pPr>
        <w:ind w:left="1900" w:hanging="420"/>
      </w:pPr>
      <w:rPr>
        <w:rFonts w:hint="default" w:ascii="Wingdings" w:hAnsi="Wingdings"/>
      </w:rPr>
    </w:lvl>
    <w:lvl w:ilvl="4" w:tentative="0">
      <w:start w:val="1"/>
      <w:numFmt w:val="bullet"/>
      <w:lvlText w:val=""/>
      <w:lvlJc w:val="left"/>
      <w:pPr>
        <w:ind w:left="2320" w:hanging="420"/>
      </w:pPr>
      <w:rPr>
        <w:rFonts w:hint="default" w:ascii="Wingdings" w:hAnsi="Wingdings"/>
      </w:rPr>
    </w:lvl>
    <w:lvl w:ilvl="5" w:tentative="0">
      <w:start w:val="1"/>
      <w:numFmt w:val="bullet"/>
      <w:lvlText w:val=""/>
      <w:lvlJc w:val="left"/>
      <w:pPr>
        <w:ind w:left="2740" w:hanging="420"/>
      </w:pPr>
      <w:rPr>
        <w:rFonts w:hint="default" w:ascii="Wingdings" w:hAnsi="Wingdings"/>
      </w:rPr>
    </w:lvl>
    <w:lvl w:ilvl="6" w:tentative="0">
      <w:start w:val="1"/>
      <w:numFmt w:val="bullet"/>
      <w:lvlText w:val=""/>
      <w:lvlJc w:val="left"/>
      <w:pPr>
        <w:ind w:left="3160" w:hanging="420"/>
      </w:pPr>
      <w:rPr>
        <w:rFonts w:hint="default" w:ascii="Wingdings" w:hAnsi="Wingdings"/>
      </w:rPr>
    </w:lvl>
    <w:lvl w:ilvl="7" w:tentative="0">
      <w:start w:val="1"/>
      <w:numFmt w:val="bullet"/>
      <w:lvlText w:val=""/>
      <w:lvlJc w:val="left"/>
      <w:pPr>
        <w:ind w:left="3580" w:hanging="420"/>
      </w:pPr>
      <w:rPr>
        <w:rFonts w:hint="default" w:ascii="Wingdings" w:hAnsi="Wingdings"/>
      </w:rPr>
    </w:lvl>
    <w:lvl w:ilvl="8" w:tentative="0">
      <w:start w:val="1"/>
      <w:numFmt w:val="bullet"/>
      <w:lvlText w:val=""/>
      <w:lvlJc w:val="left"/>
      <w:pPr>
        <w:ind w:left="4000" w:hanging="420"/>
      </w:pPr>
      <w:rPr>
        <w:rFonts w:hint="default" w:ascii="Wingdings" w:hAnsi="Wingdings"/>
      </w:rPr>
    </w:lvl>
  </w:abstractNum>
  <w:num w:numId="1">
    <w:abstractNumId w:val="6"/>
  </w:num>
  <w:num w:numId="2">
    <w:abstractNumId w:val="5"/>
  </w:num>
  <w:num w:numId="3">
    <w:abstractNumId w:val="1"/>
  </w:num>
  <w:num w:numId="4">
    <w:abstractNumId w:val="11"/>
  </w:num>
  <w:num w:numId="5">
    <w:abstractNumId w:val="10"/>
  </w:num>
  <w:num w:numId="6">
    <w:abstractNumId w:val="0"/>
  </w:num>
  <w:num w:numId="7">
    <w:abstractNumId w:val="2"/>
  </w:num>
  <w:num w:numId="8">
    <w:abstractNumId w:val="4"/>
  </w:num>
  <w:num w:numId="9">
    <w:abstractNumId w:val="13"/>
  </w:num>
  <w:num w:numId="10">
    <w:abstractNumId w:val="3"/>
  </w:num>
  <w:num w:numId="11">
    <w:abstractNumId w:val="12"/>
  </w:num>
  <w:num w:numId="12">
    <w:abstractNumId w:val="8"/>
  </w:num>
  <w:num w:numId="13">
    <w:abstractNumId w:val="14"/>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A4"/>
    <w:rsid w:val="00001443"/>
    <w:rsid w:val="0000312B"/>
    <w:rsid w:val="00005E83"/>
    <w:rsid w:val="00006FB7"/>
    <w:rsid w:val="00007550"/>
    <w:rsid w:val="00027C66"/>
    <w:rsid w:val="00063E8F"/>
    <w:rsid w:val="000F48D0"/>
    <w:rsid w:val="000F6D2D"/>
    <w:rsid w:val="00111D8D"/>
    <w:rsid w:val="00170E35"/>
    <w:rsid w:val="00174B47"/>
    <w:rsid w:val="001B1DE3"/>
    <w:rsid w:val="001B1E88"/>
    <w:rsid w:val="001B37C9"/>
    <w:rsid w:val="001B537D"/>
    <w:rsid w:val="001C2580"/>
    <w:rsid w:val="001E4607"/>
    <w:rsid w:val="00206227"/>
    <w:rsid w:val="00221FF5"/>
    <w:rsid w:val="00222528"/>
    <w:rsid w:val="00224194"/>
    <w:rsid w:val="00225B65"/>
    <w:rsid w:val="002A6B8E"/>
    <w:rsid w:val="002D0FBA"/>
    <w:rsid w:val="002F15A2"/>
    <w:rsid w:val="002F6A99"/>
    <w:rsid w:val="00340ABC"/>
    <w:rsid w:val="00361792"/>
    <w:rsid w:val="0037021E"/>
    <w:rsid w:val="003757CC"/>
    <w:rsid w:val="00375D2C"/>
    <w:rsid w:val="00383070"/>
    <w:rsid w:val="00390412"/>
    <w:rsid w:val="003A57CF"/>
    <w:rsid w:val="003B098D"/>
    <w:rsid w:val="003C5BDE"/>
    <w:rsid w:val="003E1C91"/>
    <w:rsid w:val="004041DB"/>
    <w:rsid w:val="00426FD8"/>
    <w:rsid w:val="00432F63"/>
    <w:rsid w:val="00435970"/>
    <w:rsid w:val="004420B0"/>
    <w:rsid w:val="0044656F"/>
    <w:rsid w:val="00446A37"/>
    <w:rsid w:val="00450359"/>
    <w:rsid w:val="004609AA"/>
    <w:rsid w:val="00472AED"/>
    <w:rsid w:val="00496D70"/>
    <w:rsid w:val="004A26A1"/>
    <w:rsid w:val="004A2C17"/>
    <w:rsid w:val="004A422E"/>
    <w:rsid w:val="004B23C4"/>
    <w:rsid w:val="004C1DE2"/>
    <w:rsid w:val="004C4E9D"/>
    <w:rsid w:val="004D1424"/>
    <w:rsid w:val="004E1143"/>
    <w:rsid w:val="004E1CC1"/>
    <w:rsid w:val="004E2B13"/>
    <w:rsid w:val="00505713"/>
    <w:rsid w:val="00546325"/>
    <w:rsid w:val="005668BF"/>
    <w:rsid w:val="00603F68"/>
    <w:rsid w:val="00656688"/>
    <w:rsid w:val="0069033C"/>
    <w:rsid w:val="006A5A2C"/>
    <w:rsid w:val="006D65B4"/>
    <w:rsid w:val="006F44DD"/>
    <w:rsid w:val="006F6CAC"/>
    <w:rsid w:val="007119CA"/>
    <w:rsid w:val="00714CDE"/>
    <w:rsid w:val="00732176"/>
    <w:rsid w:val="00733007"/>
    <w:rsid w:val="00751387"/>
    <w:rsid w:val="00764B21"/>
    <w:rsid w:val="00785F5A"/>
    <w:rsid w:val="007966D2"/>
    <w:rsid w:val="007B2963"/>
    <w:rsid w:val="007B2DC5"/>
    <w:rsid w:val="007B4060"/>
    <w:rsid w:val="007C26EC"/>
    <w:rsid w:val="007D39A6"/>
    <w:rsid w:val="007E29BF"/>
    <w:rsid w:val="00806BF4"/>
    <w:rsid w:val="0081307C"/>
    <w:rsid w:val="008235A9"/>
    <w:rsid w:val="00831D97"/>
    <w:rsid w:val="0083357F"/>
    <w:rsid w:val="008410FD"/>
    <w:rsid w:val="00856278"/>
    <w:rsid w:val="008570E1"/>
    <w:rsid w:val="008A7ED9"/>
    <w:rsid w:val="008B34F6"/>
    <w:rsid w:val="008D2D61"/>
    <w:rsid w:val="008D2E7A"/>
    <w:rsid w:val="009137C8"/>
    <w:rsid w:val="00916D62"/>
    <w:rsid w:val="009253A2"/>
    <w:rsid w:val="00926DFA"/>
    <w:rsid w:val="009354AF"/>
    <w:rsid w:val="00944F8E"/>
    <w:rsid w:val="009779D7"/>
    <w:rsid w:val="00981961"/>
    <w:rsid w:val="00991DF7"/>
    <w:rsid w:val="009A4587"/>
    <w:rsid w:val="009A5C1E"/>
    <w:rsid w:val="009C13C0"/>
    <w:rsid w:val="009E6AB8"/>
    <w:rsid w:val="009F3545"/>
    <w:rsid w:val="00A07027"/>
    <w:rsid w:val="00A200F5"/>
    <w:rsid w:val="00A25F35"/>
    <w:rsid w:val="00A95130"/>
    <w:rsid w:val="00AA0E2E"/>
    <w:rsid w:val="00AB4BA4"/>
    <w:rsid w:val="00AD3E39"/>
    <w:rsid w:val="00B03253"/>
    <w:rsid w:val="00B21100"/>
    <w:rsid w:val="00B45DE8"/>
    <w:rsid w:val="00B53A72"/>
    <w:rsid w:val="00B8350F"/>
    <w:rsid w:val="00B83830"/>
    <w:rsid w:val="00B92415"/>
    <w:rsid w:val="00BA44C7"/>
    <w:rsid w:val="00C06B01"/>
    <w:rsid w:val="00C17EDD"/>
    <w:rsid w:val="00C463CF"/>
    <w:rsid w:val="00C55A78"/>
    <w:rsid w:val="00C63EDE"/>
    <w:rsid w:val="00C72185"/>
    <w:rsid w:val="00C80A53"/>
    <w:rsid w:val="00C82721"/>
    <w:rsid w:val="00C84068"/>
    <w:rsid w:val="00C8587E"/>
    <w:rsid w:val="00CA5278"/>
    <w:rsid w:val="00CB3415"/>
    <w:rsid w:val="00CD7E0F"/>
    <w:rsid w:val="00CE6B44"/>
    <w:rsid w:val="00CF419C"/>
    <w:rsid w:val="00D04713"/>
    <w:rsid w:val="00D072BF"/>
    <w:rsid w:val="00D24D4D"/>
    <w:rsid w:val="00D2526C"/>
    <w:rsid w:val="00D36FCF"/>
    <w:rsid w:val="00D6429A"/>
    <w:rsid w:val="00D724A0"/>
    <w:rsid w:val="00D83D2C"/>
    <w:rsid w:val="00DB149B"/>
    <w:rsid w:val="00DB4E8F"/>
    <w:rsid w:val="00DB71E1"/>
    <w:rsid w:val="00DC24F1"/>
    <w:rsid w:val="00DE1BB9"/>
    <w:rsid w:val="00DF074B"/>
    <w:rsid w:val="00E44E76"/>
    <w:rsid w:val="00EC39E4"/>
    <w:rsid w:val="00F206F9"/>
    <w:rsid w:val="00F34105"/>
    <w:rsid w:val="00F44928"/>
    <w:rsid w:val="00F5325B"/>
    <w:rsid w:val="00F61EA2"/>
    <w:rsid w:val="00F86DF0"/>
    <w:rsid w:val="00FA0037"/>
    <w:rsid w:val="00FB1A8D"/>
    <w:rsid w:val="00FD0060"/>
    <w:rsid w:val="00FD1531"/>
    <w:rsid w:val="00FE45D2"/>
    <w:rsid w:val="23051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Rambla" w:hAnsi="Rambla" w:eastAsiaTheme="minorEastAsia" w:cs="Rambl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auto" w:sz="0" w:space="0"/>
        <w:left w:val="none" w:color="auto" w:sz="0" w:space="0"/>
        <w:bottom w:val="none" w:color="auto" w:sz="0" w:space="0"/>
        <w:right w:val="none" w:color="auto" w:sz="0" w:space="0"/>
        <w:between w:val="none" w:color="auto" w:sz="0" w:space="0"/>
      </w:pBdr>
    </w:pPr>
    <w:rPr>
      <w:rFonts w:ascii="Rambla" w:hAnsi="Rambla" w:cs="Rambla" w:eastAsiaTheme="minorEastAsia"/>
      <w:color w:val="000000"/>
      <w:sz w:val="22"/>
      <w:szCs w:val="22"/>
      <w:lang w:val="en-US" w:eastAsia="en-US" w:bidi="ar-SA"/>
    </w:rPr>
  </w:style>
  <w:style w:type="paragraph" w:styleId="2">
    <w:name w:val="heading 1"/>
    <w:basedOn w:val="1"/>
    <w:next w:val="1"/>
    <w:qFormat/>
    <w:uiPriority w:val="0"/>
    <w:pPr>
      <w:spacing w:before="480" w:line="276" w:lineRule="auto"/>
      <w:ind w:left="432" w:hanging="432"/>
      <w:contextualSpacing/>
      <w:outlineLvl w:val="0"/>
    </w:pPr>
    <w:rPr>
      <w:b/>
      <w:sz w:val="28"/>
      <w:szCs w:val="28"/>
    </w:rPr>
  </w:style>
  <w:style w:type="paragraph" w:styleId="3">
    <w:name w:val="heading 2"/>
    <w:basedOn w:val="1"/>
    <w:next w:val="1"/>
    <w:qFormat/>
    <w:uiPriority w:val="0"/>
    <w:pPr>
      <w:spacing w:before="200" w:line="276" w:lineRule="auto"/>
      <w:ind w:left="576" w:hanging="576"/>
      <w:outlineLvl w:val="1"/>
    </w:pPr>
    <w:rPr>
      <w:b/>
      <w:sz w:val="26"/>
      <w:szCs w:val="26"/>
    </w:rPr>
  </w:style>
  <w:style w:type="paragraph" w:styleId="4">
    <w:name w:val="heading 3"/>
    <w:basedOn w:val="1"/>
    <w:next w:val="1"/>
    <w:qFormat/>
    <w:uiPriority w:val="0"/>
    <w:pPr>
      <w:spacing w:before="200" w:line="271" w:lineRule="auto"/>
      <w:ind w:left="720" w:hanging="720"/>
      <w:outlineLvl w:val="2"/>
    </w:pPr>
    <w:rPr>
      <w:b/>
    </w:rPr>
  </w:style>
  <w:style w:type="paragraph" w:styleId="5">
    <w:name w:val="heading 4"/>
    <w:basedOn w:val="1"/>
    <w:next w:val="1"/>
    <w:qFormat/>
    <w:uiPriority w:val="0"/>
    <w:pPr>
      <w:spacing w:before="200" w:line="276" w:lineRule="auto"/>
      <w:ind w:left="864" w:hanging="864"/>
      <w:outlineLvl w:val="3"/>
    </w:pPr>
    <w:rPr>
      <w:b/>
      <w:i/>
    </w:rPr>
  </w:style>
  <w:style w:type="paragraph" w:styleId="6">
    <w:name w:val="heading 5"/>
    <w:basedOn w:val="1"/>
    <w:next w:val="1"/>
    <w:qFormat/>
    <w:uiPriority w:val="0"/>
    <w:pPr>
      <w:spacing w:before="200" w:line="276" w:lineRule="auto"/>
      <w:ind w:left="1008" w:hanging="1008"/>
      <w:outlineLvl w:val="4"/>
    </w:pPr>
    <w:rPr>
      <w:b/>
      <w:color w:val="7F7F7F"/>
    </w:rPr>
  </w:style>
  <w:style w:type="paragraph" w:styleId="7">
    <w:name w:val="heading 6"/>
    <w:basedOn w:val="1"/>
    <w:next w:val="1"/>
    <w:qFormat/>
    <w:uiPriority w:val="0"/>
    <w:pPr>
      <w:spacing w:line="271" w:lineRule="auto"/>
      <w:ind w:left="1152" w:hanging="1152"/>
      <w:outlineLvl w:val="5"/>
    </w:pPr>
    <w:rPr>
      <w:b/>
      <w:i/>
      <w:color w:val="7F7F7F"/>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9"/>
    <w:semiHidden/>
    <w:unhideWhenUsed/>
    <w:qFormat/>
    <w:uiPriority w:val="99"/>
    <w:rPr>
      <w:sz w:val="20"/>
      <w:szCs w:val="20"/>
    </w:rPr>
  </w:style>
  <w:style w:type="paragraph" w:styleId="9">
    <w:name w:val="toc 3"/>
    <w:basedOn w:val="1"/>
    <w:next w:val="1"/>
    <w:autoRedefine/>
    <w:unhideWhenUsed/>
    <w:qFormat/>
    <w:uiPriority w:val="39"/>
    <w:pPr>
      <w:spacing w:after="100"/>
      <w:ind w:left="440"/>
    </w:pPr>
  </w:style>
  <w:style w:type="paragraph" w:styleId="10">
    <w:name w:val="Balloon Text"/>
    <w:basedOn w:val="1"/>
    <w:link w:val="30"/>
    <w:semiHidden/>
    <w:unhideWhenUsed/>
    <w:qFormat/>
    <w:uiPriority w:val="99"/>
    <w:rPr>
      <w:rFonts w:ascii="Segoe UI" w:hAnsi="Segoe UI" w:cs="Segoe UI"/>
      <w:sz w:val="18"/>
      <w:szCs w:val="18"/>
    </w:rPr>
  </w:style>
  <w:style w:type="paragraph" w:styleId="11">
    <w:name w:val="footer"/>
    <w:basedOn w:val="1"/>
    <w:link w:val="33"/>
    <w:unhideWhenUsed/>
    <w:qFormat/>
    <w:uiPriority w:val="99"/>
    <w:pPr>
      <w:tabs>
        <w:tab w:val="center" w:pos="4153"/>
        <w:tab w:val="right" w:pos="8306"/>
      </w:tabs>
      <w:snapToGrid w:val="0"/>
    </w:pPr>
    <w:rPr>
      <w:sz w:val="18"/>
      <w:szCs w:val="18"/>
    </w:rPr>
  </w:style>
  <w:style w:type="paragraph" w:styleId="12">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autoRedefine/>
    <w:unhideWhenUsed/>
    <w:qFormat/>
    <w:uiPriority w:val="39"/>
    <w:pPr>
      <w:spacing w:after="100"/>
    </w:pPr>
  </w:style>
  <w:style w:type="paragraph" w:styleId="14">
    <w:name w:val="Subtitle"/>
    <w:basedOn w:val="1"/>
    <w:next w:val="1"/>
    <w:qFormat/>
    <w:uiPriority w:val="0"/>
    <w:pPr>
      <w:spacing w:after="600" w:line="276" w:lineRule="auto"/>
    </w:pPr>
    <w:rPr>
      <w:i/>
      <w:sz w:val="24"/>
      <w:szCs w:val="24"/>
    </w:rPr>
  </w:style>
  <w:style w:type="paragraph" w:styleId="15">
    <w:name w:val="toc 2"/>
    <w:basedOn w:val="1"/>
    <w:next w:val="1"/>
    <w:autoRedefine/>
    <w:unhideWhenUsed/>
    <w:qFormat/>
    <w:uiPriority w:val="39"/>
    <w:pPr>
      <w:spacing w:after="100"/>
      <w:ind w:left="220"/>
    </w:pPr>
  </w:style>
  <w:style w:type="paragraph" w:styleId="16">
    <w:name w:val="Title"/>
    <w:basedOn w:val="1"/>
    <w:next w:val="1"/>
    <w:qFormat/>
    <w:uiPriority w:val="0"/>
    <w:pPr>
      <w:pBdr>
        <w:bottom w:val="single" w:color="000000" w:sz="4" w:space="1"/>
      </w:pBdr>
      <w:spacing w:after="200"/>
    </w:pPr>
    <w:rPr>
      <w:sz w:val="52"/>
      <w:szCs w:val="52"/>
    </w:rPr>
  </w:style>
  <w:style w:type="paragraph" w:styleId="17">
    <w:name w:val="annotation subject"/>
    <w:basedOn w:val="8"/>
    <w:next w:val="8"/>
    <w:link w:val="31"/>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954F72" w:themeColor="followedHyperlink"/>
      <w:u w:val="single"/>
      <w14:textFill>
        <w14:solidFill>
          <w14:schemeClr w14:val="folHlink"/>
        </w14:solidFill>
      </w14:textFill>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annotation reference"/>
    <w:basedOn w:val="20"/>
    <w:semiHidden/>
    <w:unhideWhenUsed/>
    <w:qFormat/>
    <w:uiPriority w:val="99"/>
    <w:rPr>
      <w:sz w:val="16"/>
      <w:szCs w:val="16"/>
    </w:rPr>
  </w:style>
  <w:style w:type="table" w:customStyle="1" w:styleId="25">
    <w:name w:val="_Style 11"/>
    <w:basedOn w:val="18"/>
    <w:qFormat/>
    <w:uiPriority w:val="0"/>
    <w:tblPr>
      <w:tblCellMar>
        <w:left w:w="115" w:type="dxa"/>
        <w:right w:w="115" w:type="dxa"/>
      </w:tblCellMar>
    </w:tblPr>
  </w:style>
  <w:style w:type="table" w:customStyle="1" w:styleId="26">
    <w:name w:val="_Style 12"/>
    <w:basedOn w:val="18"/>
    <w:qFormat/>
    <w:uiPriority w:val="0"/>
    <w:tblPr>
      <w:tblCellMar>
        <w:left w:w="115" w:type="dxa"/>
        <w:right w:w="115" w:type="dxa"/>
      </w:tblCellMar>
    </w:tblPr>
  </w:style>
  <w:style w:type="table" w:customStyle="1" w:styleId="27">
    <w:name w:val="_Style 13"/>
    <w:basedOn w:val="18"/>
    <w:qFormat/>
    <w:uiPriority w:val="0"/>
    <w:tblPr>
      <w:tblCellMar>
        <w:left w:w="115" w:type="dxa"/>
        <w:right w:w="115" w:type="dxa"/>
      </w:tblCellMar>
    </w:tblPr>
  </w:style>
  <w:style w:type="table" w:customStyle="1" w:styleId="28">
    <w:name w:val="_Style 14"/>
    <w:basedOn w:val="18"/>
    <w:qFormat/>
    <w:uiPriority w:val="0"/>
    <w:tblPr>
      <w:tblCellMar>
        <w:top w:w="100" w:type="dxa"/>
        <w:left w:w="100" w:type="dxa"/>
        <w:bottom w:w="100" w:type="dxa"/>
        <w:right w:w="100" w:type="dxa"/>
      </w:tblCellMar>
    </w:tblPr>
  </w:style>
  <w:style w:type="character" w:customStyle="1" w:styleId="29">
    <w:name w:val="批注文字 字符"/>
    <w:basedOn w:val="20"/>
    <w:link w:val="8"/>
    <w:semiHidden/>
    <w:qFormat/>
    <w:uiPriority w:val="99"/>
    <w:rPr>
      <w:sz w:val="20"/>
      <w:szCs w:val="20"/>
    </w:rPr>
  </w:style>
  <w:style w:type="character" w:customStyle="1" w:styleId="30">
    <w:name w:val="批注框文本 字符"/>
    <w:basedOn w:val="20"/>
    <w:link w:val="10"/>
    <w:semiHidden/>
    <w:qFormat/>
    <w:uiPriority w:val="99"/>
    <w:rPr>
      <w:rFonts w:ascii="Segoe UI" w:hAnsi="Segoe UI" w:cs="Segoe UI"/>
      <w:sz w:val="18"/>
      <w:szCs w:val="18"/>
    </w:rPr>
  </w:style>
  <w:style w:type="character" w:customStyle="1" w:styleId="31">
    <w:name w:val="批注主题 字符"/>
    <w:basedOn w:val="29"/>
    <w:link w:val="17"/>
    <w:semiHidden/>
    <w:qFormat/>
    <w:uiPriority w:val="99"/>
    <w:rPr>
      <w:b/>
      <w:bCs/>
      <w:sz w:val="20"/>
      <w:szCs w:val="20"/>
    </w:rPr>
  </w:style>
  <w:style w:type="character" w:customStyle="1" w:styleId="32">
    <w:name w:val="页眉 字符"/>
    <w:basedOn w:val="20"/>
    <w:link w:val="12"/>
    <w:qFormat/>
    <w:uiPriority w:val="99"/>
    <w:rPr>
      <w:sz w:val="18"/>
      <w:szCs w:val="18"/>
      <w:lang w:val="en-US"/>
    </w:rPr>
  </w:style>
  <w:style w:type="character" w:customStyle="1" w:styleId="33">
    <w:name w:val="页脚 字符"/>
    <w:basedOn w:val="20"/>
    <w:link w:val="11"/>
    <w:qFormat/>
    <w:uiPriority w:val="99"/>
    <w:rPr>
      <w:sz w:val="18"/>
      <w:szCs w:val="18"/>
      <w:lang w:val="en-US"/>
    </w:rPr>
  </w:style>
  <w:style w:type="paragraph" w:styleId="34">
    <w:name w:val="List Paragraph"/>
    <w:basedOn w:val="1"/>
    <w:qFormat/>
    <w:uiPriority w:val="34"/>
    <w:pPr>
      <w:ind w:firstLine="420" w:firstLineChars="200"/>
    </w:pPr>
  </w:style>
  <w:style w:type="paragraph" w:customStyle="1" w:styleId="35">
    <w:name w:val="Default"/>
    <w:qFormat/>
    <w:uiPriority w:val="0"/>
    <w:pPr>
      <w:widowControl w:val="0"/>
      <w:pBdr>
        <w:top w:val="none" w:color="auto" w:sz="0" w:space="0"/>
        <w:left w:val="none" w:color="auto" w:sz="0" w:space="0"/>
        <w:bottom w:val="none" w:color="auto" w:sz="0" w:space="0"/>
        <w:right w:val="none" w:color="auto" w:sz="0" w:space="0"/>
        <w:between w:val="none" w:color="auto" w:sz="0" w:space="0"/>
      </w:pBdr>
      <w:autoSpaceDE w:val="0"/>
      <w:autoSpaceDN w:val="0"/>
      <w:adjustRightInd w:val="0"/>
    </w:pPr>
    <w:rPr>
      <w:rFonts w:ascii="Times New Roman" w:hAnsi="Times New Roman" w:cs="Times New Roman"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tif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1BF2F-2F0A-41F1-A2A2-1B08ACFA4860}">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Michigan Health System</Company>
  <Pages>15</Pages>
  <Words>1296</Words>
  <Characters>7303</Characters>
  <Lines>194</Lines>
  <Paragraphs>54</Paragraphs>
  <TotalTime>1</TotalTime>
  <ScaleCrop>false</ScaleCrop>
  <LinksUpToDate>false</LinksUpToDate>
  <CharactersWithSpaces>8925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2018-12-12T16:57:00Z</dcterms:created>
  <dc:creator>Richards, Blair</dc:creator>
  <cp:lastModifiedBy>野蛮生长</cp:lastModifiedBy>
  <cp:lastPrinted>2017-12-12T15:30:00Z</cp:lastPrinted>
  <dcterms:modified xsi:type="dcterms:W3CDTF">2025-08-25T01:33:27Z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eyJoZGlkIjoiMzI0NWE1MmI4YzY3YjIyZDlmNDM5NWU5ZjJiMDE4M2YiLCJ1c2VySWQiOiIzNzg5ODE2MTYifQ==</vt:lpwstr>
  </property>
  <property fmtid="{D5CDD505-2E9C-101B-9397-08002B2CF9AE}" pid="3" name="KSOProductBuildVer">
    <vt:lpwstr>2052-12.1.0.21915</vt:lpwstr>
  </property>
  <property fmtid="{D5CDD505-2E9C-101B-9397-08002B2CF9AE}" pid="4" name="ICV">
    <vt:lpwstr>1370FDD9E7334328A2E950F8DD3975EF_12</vt:lpwstr>
  </property>
</Properties>
</file>