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  <w:jc w:val="center"/>
      </w:pPr>
      <w:r>
        <w:rPr>
          <w:b/>
          <w:bCs/>
          <w:sz w:val="32"/>
          <w:szCs w:val="32"/>
        </w:rPr>
        <w:t xml:space="preserve">Supplementary Information</w:t>
      </w:r>
    </w:p>
    <w:p>
      <w:pPr>
        <w:spacing w:after="200"/>
        <w:jc w:val="center"/>
      </w:pPr>
      <w:r>
        <w:rPr>
          <w:sz w:val="28"/>
          <w:szCs w:val="28"/>
        </w:rPr>
        <w:t xml:space="preserve">AI-assisted characterization of psychedelic clinical trials from ClinicalTrials.gov</w:t>
      </w:r>
    </w:p>
    <w:p>
      <w:pPr>
        <w:spacing w:after="600"/>
        <w:jc w:val="center"/>
      </w:pPr>
      <w:r>
        <w:rPr>
          <w:sz w:val="24"/>
          <w:szCs w:val="24"/>
        </w:rPr>
        <w:t xml:space="preserve">Luca Pani &amp; Fabio Tascedda</w:t>
      </w:r>
    </w:p>
    <w:p>
      <w:pPr>
        <w:pStyle w:val="Heading1"/>
        <w:spacing w:before="400" w:after="200"/>
      </w:pPr>
      <w:r>
        <w:rPr>
          <w:b/>
          <w:bCs/>
        </w:rPr>
        <w:t xml:space="preserve">Contents</w:t>
      </w:r>
    </w:p>
    <w:p>
      <w:pPr>
        <w:spacing w:after="200" w:line="276" w:lineRule="auto"/>
      </w:pPr>
      <w:r>
        <w:t xml:space="preserve">Supplementary Table 1. Primary outcome measures in depression trials</w:t>
      </w:r>
    </w:p>
    <w:p>
      <w:pPr>
        <w:spacing w:after="200" w:line="276" w:lineRule="auto"/>
      </w:pPr>
      <w:r>
        <w:t xml:space="preserve">Supplementary Table 2. Secondary outcome measures by domain</w:t>
      </w:r>
    </w:p>
    <w:p>
      <w:pPr>
        <w:spacing w:after="200" w:line="276" w:lineRule="auto"/>
      </w:pPr>
      <w:r>
        <w:t xml:space="preserve">Supplementary Table 3. Comparator arms used in psychedelic trials</w:t>
      </w:r>
    </w:p>
    <w:p>
      <w:pPr>
        <w:spacing w:after="200" w:line="276" w:lineRule="auto"/>
      </w:pPr>
      <w:r>
        <w:t xml:space="preserve">Supplementary Table 4. Typical inclusion/exclusion criteria</w:t>
      </w:r>
    </w:p>
    <w:p>
      <w:pPr>
        <w:spacing w:after="200" w:line="276" w:lineRule="auto"/>
      </w:pPr>
      <w:r>
        <w:t xml:space="preserve">Supplementary Table 5. Duration of response assessment timepoints</w:t>
      </w:r>
    </w:p>
    <w:p>
      <w:pPr>
        <w:spacing w:after="200" w:line="276" w:lineRule="auto"/>
      </w:pPr>
      <w:r>
        <w:t xml:space="preserve">Supplementary Table 6. Psychedelic dosing across compounds</w:t>
      </w:r>
    </w:p>
    <w:p>
      <w:pPr>
        <w:spacing w:after="200" w:line="276" w:lineRule="auto"/>
      </w:pPr>
      <w:r>
        <w:t xml:space="preserve">Supplementary Table 7. Safety and monitoring assessments</w:t>
      </w:r>
    </w:p>
    <w:p>
      <w:pPr>
        <w:spacing w:after="200" w:line="276" w:lineRule="auto"/>
      </w:pPr>
      <w:r>
        <w:t xml:space="preserve">Supplementary Table 8. Biomarker assessments in exploratory studies</w:t>
      </w:r>
    </w:p>
    <w:p>
      <w:r>
        <w:br w:type="page"/>
      </w:r>
    </w:p>
    <w:p>
      <w:pPr>
        <w:spacing w:before="300" w:after="200"/>
      </w:pPr>
      <w:r>
        <w:rPr>
          <w:b/>
          <w:bCs/>
        </w:rPr>
        <w:t xml:space="preserve">Supplementary Table 1. Primary outcome measures in depression trials</w:t>
      </w:r>
    </w:p>
    <w:p>
      <w:pPr>
        <w:spacing w:after="200" w:line="276" w:lineRule="auto"/>
      </w:pPr>
      <w:r>
        <w:rPr>
          <w:i/>
          <w:iCs/>
          <w:sz w:val="20"/>
          <w:szCs w:val="20"/>
        </w:rPr>
        <w:t xml:space="preserve">Summary of primary endpoints used across Phase 2/3 psilocybin trials for major depressive disorder (n=100 trials analyzed).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b/>
                <w:bCs/>
                <w:sz w:val="20"/>
                <w:szCs w:val="20"/>
              </w:rPr>
              <w:t xml:space="preserve">Measure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b/>
                <w:bCs/>
                <w:sz w:val="20"/>
                <w:szCs w:val="20"/>
              </w:rPr>
              <w:t xml:space="preserve">Score Range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b/>
                <w:bCs/>
                <w:sz w:val="20"/>
                <w:szCs w:val="20"/>
              </w:rPr>
              <w:t xml:space="preserve">Typical Timepoint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b/>
                <w:bCs/>
                <w:sz w:val="20"/>
                <w:szCs w:val="20"/>
              </w:rPr>
              <w:t xml:space="preserve">Response Definition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b/>
                <w:bCs/>
                <w:sz w:val="20"/>
                <w:szCs w:val="20"/>
              </w:rPr>
              <w:t xml:space="preserve">Remission Definition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sz w:val="20"/>
                <w:szCs w:val="20"/>
              </w:rPr>
              <w:t xml:space="preserve">MADRS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sz w:val="20"/>
                <w:szCs w:val="20"/>
              </w:rPr>
              <w:t xml:space="preserve">0-60 (higher = worse)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sz w:val="20"/>
                <w:szCs w:val="20"/>
              </w:rPr>
              <w:t xml:space="preserve">Week 3-8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sz w:val="20"/>
                <w:szCs w:val="20"/>
              </w:rPr>
              <w:t xml:space="preserve">≥50% reduction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sz w:val="20"/>
                <w:szCs w:val="20"/>
              </w:rPr>
              <w:t xml:space="preserve">≤10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sz w:val="20"/>
                <w:szCs w:val="20"/>
              </w:rPr>
              <w:t xml:space="preserve">HAM-D17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sz w:val="20"/>
                <w:szCs w:val="20"/>
              </w:rPr>
              <w:t xml:space="preserve">0-52 (higher = worse)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sz w:val="20"/>
                <w:szCs w:val="20"/>
              </w:rPr>
              <w:t xml:space="preserve">Week 4-6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sz w:val="20"/>
                <w:szCs w:val="20"/>
              </w:rPr>
              <w:t xml:space="preserve">≥50% reduction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sz w:val="20"/>
                <w:szCs w:val="20"/>
              </w:rPr>
              <w:t xml:space="preserve">≤7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sz w:val="20"/>
                <w:szCs w:val="20"/>
              </w:rPr>
              <w:t xml:space="preserve">QIDS-C16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sz w:val="20"/>
                <w:szCs w:val="20"/>
              </w:rPr>
              <w:t xml:space="preserve">0-27 (higher = worse)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sz w:val="20"/>
                <w:szCs w:val="20"/>
              </w:rPr>
              <w:t xml:space="preserve">Week 8-12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sz w:val="20"/>
                <w:szCs w:val="20"/>
              </w:rPr>
              <w:t xml:space="preserve">≥50% reduction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sz w:val="20"/>
                <w:szCs w:val="20"/>
              </w:rPr>
              <w:t xml:space="preserve">≤5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sz w:val="20"/>
                <w:szCs w:val="20"/>
              </w:rPr>
              <w:t xml:space="preserve">QIDS-SR16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sz w:val="20"/>
                <w:szCs w:val="20"/>
              </w:rPr>
              <w:t xml:space="preserve">0-27 (higher = worse)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sz w:val="20"/>
                <w:szCs w:val="20"/>
              </w:rPr>
              <w:t xml:space="preserve">Week 6-8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sz w:val="20"/>
                <w:szCs w:val="20"/>
              </w:rPr>
              <w:t xml:space="preserve">≥50% reduction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sz w:val="20"/>
                <w:szCs w:val="20"/>
              </w:rPr>
              <w:t xml:space="preserve">≤5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sz w:val="20"/>
                <w:szCs w:val="20"/>
              </w:rPr>
              <w:t xml:space="preserve">CGI-S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sz w:val="20"/>
                <w:szCs w:val="20"/>
              </w:rPr>
              <w:t xml:space="preserve">1-7 (higher = worse)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sz w:val="20"/>
                <w:szCs w:val="20"/>
              </w:rPr>
              <w:t xml:space="preserve">Week 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sz w:val="20"/>
                <w:szCs w:val="20"/>
              </w:rPr>
              <w:t xml:space="preserve">CGI-I ≤2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sz w:val="20"/>
                <w:szCs w:val="20"/>
              </w:rPr>
              <w:t xml:space="preserve">CGI-S = 1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sz w:val="20"/>
                <w:szCs w:val="20"/>
              </w:rPr>
              <w:t xml:space="preserve">BDI-II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sz w:val="20"/>
                <w:szCs w:val="20"/>
              </w:rPr>
              <w:t xml:space="preserve">0-63 (higher = worse)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sz w:val="20"/>
                <w:szCs w:val="20"/>
              </w:rPr>
              <w:t xml:space="preserve">Week 4-8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sz w:val="20"/>
                <w:szCs w:val="20"/>
              </w:rPr>
              <w:t xml:space="preserve">≥50% reduction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sz w:val="20"/>
                <w:szCs w:val="20"/>
              </w:rPr>
              <w:t xml:space="preserve">≤12</w:t>
            </w:r>
          </w:p>
        </w:tc>
      </w:tr>
    </w:tbl>
    <w:p>
      <w:pPr>
        <w:spacing w:after="200" w:line="276" w:lineRule="auto"/>
      </w:pPr>
      <w:r>
        <w:rPr>
          <w:i/>
          <w:iCs/>
          <w:sz w:val="18"/>
          <w:szCs w:val="18"/>
        </w:rPr>
        <w:t xml:space="preserve">Abbreviations: MADRS, Montgomery-Åsberg Depression Rating Scale; HAM-D, Hamilton Depression Rating Scale; QIDS-C/SR, Quick Inventory of Depressive Symptomatology (Clinician/Self-Report); CGI-S/I, Clinical Global Impression-Severity/Improvement; BDI-II, Beck Depression Inventory-II.</w:t>
      </w:r>
    </w:p>
    <w:p>
      <w:r>
        <w:br w:type="page"/>
      </w:r>
    </w:p>
    <w:p>
      <w:pPr>
        <w:spacing w:before="300" w:after="200"/>
      </w:pPr>
      <w:r>
        <w:rPr>
          <w:b/>
          <w:bCs/>
        </w:rPr>
        <w:t xml:space="preserve">Supplementary Table 2. Secondary outcome measures by domain</w:t>
      </w:r>
    </w:p>
    <w:p>
      <w:pPr>
        <w:spacing w:after="200" w:line="276" w:lineRule="auto"/>
      </w:pPr>
      <w:r>
        <w:rPr>
          <w:i/>
          <w:iCs/>
          <w:sz w:val="20"/>
          <w:szCs w:val="20"/>
        </w:rPr>
        <w:t xml:space="preserve">Commonly used secondary endpoints across psychedelic trials organized by clinical domain.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b/>
                <w:bCs/>
                <w:sz w:val="20"/>
                <w:szCs w:val="20"/>
              </w:rPr>
              <w:t xml:space="preserve">Domain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b/>
                <w:bCs/>
                <w:sz w:val="20"/>
                <w:szCs w:val="20"/>
              </w:rPr>
              <w:t xml:space="preserve">Measure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b/>
                <w:bCs/>
                <w:sz w:val="20"/>
                <w:szCs w:val="20"/>
              </w:rPr>
              <w:t xml:space="preserve">Score Range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b/>
                <w:bCs/>
                <w:sz w:val="20"/>
                <w:szCs w:val="20"/>
              </w:rPr>
              <w:t xml:space="preserve">Interpretation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sz w:val="20"/>
                <w:szCs w:val="20"/>
              </w:rPr>
              <w:t xml:space="preserve">Anhedonia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sz w:val="20"/>
                <w:szCs w:val="20"/>
              </w:rPr>
              <w:t xml:space="preserve">SHAPS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sz w:val="20"/>
                <w:szCs w:val="20"/>
              </w:rPr>
              <w:t xml:space="preserve">0-14 or 14-56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sz w:val="20"/>
                <w:szCs w:val="20"/>
              </w:rPr>
              <w:t xml:space="preserve">Higher = worse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sz w:val="20"/>
                <w:szCs w:val="20"/>
              </w:rPr>
              <w:t xml:space="preserve">Anhedonia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sz w:val="20"/>
                <w:szCs w:val="20"/>
              </w:rPr>
              <w:t xml:space="preserve">DARS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sz w:val="20"/>
                <w:szCs w:val="20"/>
              </w:rPr>
              <w:t xml:space="preserve">0-68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sz w:val="20"/>
                <w:szCs w:val="20"/>
              </w:rPr>
              <w:t xml:space="preserve">Higher = better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sz w:val="20"/>
                <w:szCs w:val="20"/>
              </w:rPr>
              <w:t xml:space="preserve">Anxiety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sz w:val="20"/>
                <w:szCs w:val="20"/>
              </w:rPr>
              <w:t xml:space="preserve">HAM-A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sz w:val="20"/>
                <w:szCs w:val="20"/>
              </w:rPr>
              <w:t xml:space="preserve">0-56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sz w:val="20"/>
                <w:szCs w:val="20"/>
              </w:rPr>
              <w:t xml:space="preserve">Higher = worse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sz w:val="20"/>
                <w:szCs w:val="20"/>
              </w:rPr>
              <w:t xml:space="preserve">Anxiety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sz w:val="20"/>
                <w:szCs w:val="20"/>
              </w:rPr>
              <w:t xml:space="preserve">GAD-7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sz w:val="20"/>
                <w:szCs w:val="20"/>
              </w:rPr>
              <w:t xml:space="preserve">0-21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sz w:val="20"/>
                <w:szCs w:val="20"/>
              </w:rPr>
              <w:t xml:space="preserve">Higher = worse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sz w:val="20"/>
                <w:szCs w:val="20"/>
              </w:rPr>
              <w:t xml:space="preserve">Function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sz w:val="20"/>
                <w:szCs w:val="20"/>
              </w:rPr>
              <w:t xml:space="preserve">SDS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sz w:val="20"/>
                <w:szCs w:val="20"/>
              </w:rPr>
              <w:t xml:space="preserve">0-30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sz w:val="20"/>
                <w:szCs w:val="20"/>
              </w:rPr>
              <w:t xml:space="preserve">Work/social/family domains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sz w:val="20"/>
                <w:szCs w:val="20"/>
              </w:rPr>
              <w:t xml:space="preserve">Quality of Life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sz w:val="20"/>
                <w:szCs w:val="20"/>
              </w:rPr>
              <w:t xml:space="preserve">WHOQOL-BREF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sz w:val="20"/>
                <w:szCs w:val="20"/>
              </w:rPr>
              <w:t xml:space="preserve">Domain scores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sz w:val="20"/>
                <w:szCs w:val="20"/>
              </w:rPr>
              <w:t xml:space="preserve">Higher = better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sz w:val="20"/>
                <w:szCs w:val="20"/>
              </w:rPr>
              <w:t xml:space="preserve">Suicidality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sz w:val="20"/>
                <w:szCs w:val="20"/>
              </w:rPr>
              <w:t xml:space="preserve">C-SSRS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sz w:val="20"/>
                <w:szCs w:val="20"/>
              </w:rPr>
              <w:t xml:space="preserve">Type 1-5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sz w:val="20"/>
                <w:szCs w:val="20"/>
              </w:rPr>
              <w:t xml:space="preserve">Safety monitoring</w:t>
            </w:r>
          </w:p>
        </w:tc>
      </w:tr>
    </w:tbl>
    <w:p>
      <w:pPr>
        <w:spacing w:after="200" w:line="276" w:lineRule="auto"/>
      </w:pPr>
      <w:r>
        <w:rPr>
          <w:i/>
          <w:iCs/>
          <w:sz w:val="18"/>
          <w:szCs w:val="18"/>
        </w:rPr>
        <w:t xml:space="preserve">Abbreviations: SHAPS, Snaith-Hamilton Pleasure Scale; DARS, Dimensional Anhedonia Rating Scale; HAM-A, Hamilton Anxiety Rating Scale; GAD-7, Generalized Anxiety Disorder-7; SDS, Sheehan Disability Scale; WHOQOL-BREF, World Health Organization Quality of Life-Brief; C-SSRS, Columbia-Suicide Severity Rating Scale.</w:t>
      </w:r>
    </w:p>
    <w:p>
      <w:r>
        <w:br w:type="page"/>
      </w:r>
    </w:p>
    <w:p>
      <w:pPr>
        <w:spacing w:before="300" w:after="200"/>
      </w:pPr>
      <w:r>
        <w:rPr>
          <w:b/>
          <w:bCs/>
        </w:rPr>
        <w:t xml:space="preserve">Supplementary Table 3. Comparator arms used in psychedelic trials</w:t>
      </w:r>
    </w:p>
    <w:p>
      <w:pPr>
        <w:spacing w:after="200" w:line="276" w:lineRule="auto"/>
      </w:pPr>
      <w:r>
        <w:rPr>
          <w:i/>
          <w:iCs/>
          <w:sz w:val="20"/>
          <w:szCs w:val="20"/>
        </w:rPr>
        <w:t xml:space="preserve">Summary of control conditions and active comparators across major trials.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b/>
                <w:bCs/>
                <w:sz w:val="20"/>
                <w:szCs w:val="20"/>
              </w:rPr>
              <w:t xml:space="preserve">Comparator Type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b/>
                <w:bCs/>
                <w:sz w:val="20"/>
                <w:szCs w:val="20"/>
              </w:rPr>
              <w:t xml:space="preserve">Dose/Description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b/>
                <w:bCs/>
                <w:sz w:val="20"/>
                <w:szCs w:val="20"/>
              </w:rPr>
              <w:t xml:space="preserve">Rationale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sz w:val="20"/>
                <w:szCs w:val="20"/>
              </w:rPr>
              <w:t xml:space="preserve">Low-dose psilocybin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sz w:val="20"/>
                <w:szCs w:val="20"/>
              </w:rPr>
              <w:t xml:space="preserve">1-5 mg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sz w:val="20"/>
                <w:szCs w:val="20"/>
              </w:rPr>
              <w:t xml:space="preserve">Active placebo; maintains blinding through minimal perceptual effects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sz w:val="20"/>
                <w:szCs w:val="20"/>
              </w:rPr>
              <w:t xml:space="preserve">Niacin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sz w:val="20"/>
                <w:szCs w:val="20"/>
              </w:rPr>
              <w:t xml:space="preserve">100-250 mg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sz w:val="20"/>
                <w:szCs w:val="20"/>
              </w:rPr>
              <w:t xml:space="preserve">Flushing mimics some somatic effects to maintain blinding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sz w:val="20"/>
                <w:szCs w:val="20"/>
              </w:rPr>
              <w:t xml:space="preserve">Escitalopram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sz w:val="20"/>
                <w:szCs w:val="20"/>
              </w:rPr>
              <w:t xml:space="preserve">10-20 mg daily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sz w:val="20"/>
                <w:szCs w:val="20"/>
              </w:rPr>
              <w:t xml:space="preserve">Active comparator; head-to-head comparison (NCT03429075)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sz w:val="20"/>
                <w:szCs w:val="20"/>
              </w:rPr>
              <w:t xml:space="preserve">Risperidone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sz w:val="20"/>
                <w:szCs w:val="20"/>
              </w:rPr>
              <w:t xml:space="preserve">25 mg pre-treatment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sz w:val="20"/>
                <w:szCs w:val="20"/>
              </w:rPr>
              <w:t xml:space="preserve">5-HT2A antagonist; mechanistic control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sz w:val="20"/>
                <w:szCs w:val="20"/>
              </w:rPr>
              <w:t xml:space="preserve">Midazolam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sz w:val="20"/>
                <w:szCs w:val="20"/>
              </w:rPr>
              <w:t xml:space="preserve">Variable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sz w:val="20"/>
                <w:szCs w:val="20"/>
              </w:rPr>
              <w:t xml:space="preserve">Sedative control for non-specific relaxation effects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sz w:val="20"/>
                <w:szCs w:val="20"/>
              </w:rPr>
              <w:t xml:space="preserve">Microcrystalline cellulose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sz w:val="20"/>
                <w:szCs w:val="20"/>
              </w:rPr>
              <w:t xml:space="preserve">Capsule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sz w:val="20"/>
                <w:szCs w:val="20"/>
              </w:rPr>
              <w:t xml:space="preserve">Inactive placebo</w:t>
            </w:r>
          </w:p>
        </w:tc>
      </w:tr>
    </w:tbl>
    <w:p>
      <w:r>
        <w:br w:type="page"/>
      </w:r>
    </w:p>
    <w:p>
      <w:pPr>
        <w:spacing w:before="300" w:after="200"/>
      </w:pPr>
      <w:r>
        <w:rPr>
          <w:b/>
          <w:bCs/>
        </w:rPr>
        <w:t xml:space="preserve">Supplementary Table 4. Typical inclusion/exclusion criteria</w:t>
      </w:r>
    </w:p>
    <w:p>
      <w:pPr>
        <w:spacing w:after="200" w:line="276" w:lineRule="auto"/>
      </w:pPr>
      <w:r>
        <w:rPr>
          <w:i/>
          <w:iCs/>
          <w:sz w:val="20"/>
          <w:szCs w:val="20"/>
        </w:rPr>
        <w:t xml:space="preserve">Standard eligibility criteria across major psilocybin depression trials.</w:t>
      </w:r>
    </w:p>
    <w:p>
      <w:pPr>
        <w:spacing w:before="200" w:after="100"/>
      </w:pPr>
      <w:r>
        <w:rPr>
          <w:b/>
          <w:bCs/>
        </w:rPr>
        <w:t xml:space="preserve">Inclusion Criteria</w:t>
      </w:r>
    </w:p>
    <w:p>
      <w:pPr>
        <w:spacing w:after="200" w:line="276" w:lineRule="auto"/>
      </w:pPr>
      <w:r>
        <w:t xml:space="preserve">• Age 18-65 years (some trials extend to 75)</w:t>
      </w:r>
    </w:p>
    <w:p>
      <w:pPr>
        <w:spacing w:after="200" w:line="276" w:lineRule="auto"/>
      </w:pPr>
      <w:r>
        <w:t xml:space="preserve">• DSM-5 diagnosis of Major Depressive Disorder confirmed by SCID</w:t>
      </w:r>
    </w:p>
    <w:p>
      <w:pPr>
        <w:spacing w:after="200" w:line="276" w:lineRule="auto"/>
      </w:pPr>
      <w:r>
        <w:t xml:space="preserve">• Baseline MADRS ≥20-22 or HAM-D ≥17</w:t>
      </w:r>
    </w:p>
    <w:p>
      <w:pPr>
        <w:spacing w:after="200" w:line="276" w:lineRule="auto"/>
      </w:pPr>
      <w:r>
        <w:t xml:space="preserve">• Treatment-resistant depression: failed 1-2+ adequate antidepressant trials</w:t>
      </w:r>
    </w:p>
    <w:p>
      <w:pPr>
        <w:spacing w:after="200" w:line="276" w:lineRule="auto"/>
      </w:pPr>
      <w:r>
        <w:t xml:space="preserve">• Current depressive episode duration ≥3-6 months</w:t>
      </w:r>
    </w:p>
    <w:p>
      <w:pPr>
        <w:spacing w:after="200" w:line="276" w:lineRule="auto"/>
      </w:pPr>
      <w:r>
        <w:t xml:space="preserve">• Stable on current medications for ≥4-6 weeks or medication-free</w:t>
      </w:r>
    </w:p>
    <w:p>
      <w:pPr>
        <w:spacing w:before="200" w:after="100"/>
      </w:pPr>
      <w:r>
        <w:rPr>
          <w:b/>
          <w:bCs/>
        </w:rPr>
        <w:t xml:space="preserve">Exclusion Criteria</w:t>
      </w:r>
    </w:p>
    <w:p>
      <w:pPr>
        <w:spacing w:after="200" w:line="276" w:lineRule="auto"/>
      </w:pPr>
      <w:r>
        <w:t xml:space="preserve">• Current or lifetime psychotic disorder or Bipolar I disorder</w:t>
      </w:r>
    </w:p>
    <w:p>
      <w:pPr>
        <w:spacing w:after="200" w:line="276" w:lineRule="auto"/>
      </w:pPr>
      <w:r>
        <w:t xml:space="preserve">• Active substance use disorder (except nicotine/caffeine)</w:t>
      </w:r>
    </w:p>
    <w:p>
      <w:pPr>
        <w:spacing w:after="200" w:line="276" w:lineRule="auto"/>
      </w:pPr>
      <w:r>
        <w:t xml:space="preserve">• Active suicidal ideation with plan or intent (C-SSRS Type 4-5)</w:t>
      </w:r>
    </w:p>
    <w:p>
      <w:pPr>
        <w:spacing w:after="200" w:line="276" w:lineRule="auto"/>
      </w:pPr>
      <w:r>
        <w:t xml:space="preserve">• Uncontrolled hypertension (&gt;140/90 mmHg) or significant cardiovascular disease</w:t>
      </w:r>
    </w:p>
    <w:p>
      <w:pPr>
        <w:spacing w:after="200" w:line="276" w:lineRule="auto"/>
      </w:pPr>
      <w:r>
        <w:t xml:space="preserve">• MAOI use within 2 weeks; lithium or antipsychotics</w:t>
      </w:r>
    </w:p>
    <w:p>
      <w:pPr>
        <w:spacing w:after="200" w:line="276" w:lineRule="auto"/>
      </w:pPr>
      <w:r>
        <w:t xml:space="preserve">• Pregnancy or breastfeeding</w:t>
      </w:r>
    </w:p>
    <w:p>
      <w:pPr>
        <w:spacing w:after="200" w:line="276" w:lineRule="auto"/>
      </w:pPr>
      <w:r>
        <w:t xml:space="preserve">• First-degree relative with psychotic disorder (some trials)</w:t>
      </w:r>
    </w:p>
    <w:p>
      <w:pPr>
        <w:spacing w:after="200" w:line="276" w:lineRule="auto"/>
      </w:pPr>
      <w:r>
        <w:t xml:space="preserve">• Prior adverse reaction to psychedelics</w:t>
      </w:r>
    </w:p>
    <w:p>
      <w:r>
        <w:br w:type="page"/>
      </w:r>
    </w:p>
    <w:p>
      <w:pPr>
        <w:spacing w:before="300" w:after="200"/>
      </w:pPr>
      <w:r>
        <w:rPr>
          <w:b/>
          <w:bCs/>
        </w:rPr>
        <w:t xml:space="preserve">Supplementary Table 5. Duration of response assessment timepoints</w:t>
      </w:r>
    </w:p>
    <w:p>
      <w:pPr>
        <w:spacing w:after="200" w:line="276" w:lineRule="auto"/>
      </w:pPr>
      <w:r>
        <w:rPr>
          <w:i/>
          <w:iCs/>
          <w:sz w:val="20"/>
          <w:szCs w:val="20"/>
        </w:rPr>
        <w:t xml:space="preserve">Standard assessment windows for measuring acute and sustained response in psychedelic trials.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b/>
                <w:bCs/>
                <w:sz w:val="20"/>
                <w:szCs w:val="20"/>
              </w:rPr>
              <w:t xml:space="preserve">Assessment Phase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b/>
                <w:bCs/>
                <w:sz w:val="20"/>
                <w:szCs w:val="20"/>
              </w:rPr>
              <w:t xml:space="preserve">Timepoint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b/>
                <w:bCs/>
                <w:sz w:val="20"/>
                <w:szCs w:val="20"/>
              </w:rPr>
              <w:t xml:space="preserve">Key Measures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sz w:val="20"/>
                <w:szCs w:val="20"/>
              </w:rPr>
              <w:t xml:space="preserve">Acute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sz w:val="20"/>
                <w:szCs w:val="20"/>
              </w:rPr>
              <w:t xml:space="preserve">Day 1-2 (24-48h)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sz w:val="20"/>
                <w:szCs w:val="20"/>
              </w:rPr>
              <w:t xml:space="preserve">MADRS, CGI, safety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sz w:val="20"/>
                <w:szCs w:val="20"/>
              </w:rPr>
              <w:t xml:space="preserve">Early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sz w:val="20"/>
                <w:szCs w:val="20"/>
              </w:rPr>
              <w:t xml:space="preserve">Week 1-2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sz w:val="20"/>
                <w:szCs w:val="20"/>
              </w:rPr>
              <w:t xml:space="preserve">MADRS, adverse events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sz w:val="20"/>
                <w:szCs w:val="20"/>
              </w:rPr>
              <w:t xml:space="preserve">Primary Endpoint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sz w:val="20"/>
                <w:szCs w:val="20"/>
              </w:rPr>
              <w:t xml:space="preserve">Week 3-6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sz w:val="20"/>
                <w:szCs w:val="20"/>
              </w:rPr>
              <w:t xml:space="preserve">MADRS (most common regulatory timepoint)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sz w:val="20"/>
                <w:szCs w:val="20"/>
              </w:rPr>
              <w:t xml:space="preserve">Sustained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sz w:val="20"/>
                <w:szCs w:val="20"/>
              </w:rPr>
              <w:t xml:space="preserve">Week 8-12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sz w:val="20"/>
                <w:szCs w:val="20"/>
              </w:rPr>
              <w:t xml:space="preserve">Durability of response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sz w:val="20"/>
                <w:szCs w:val="20"/>
              </w:rPr>
              <w:t xml:space="preserve">Long-term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sz w:val="20"/>
                <w:szCs w:val="20"/>
              </w:rPr>
              <w:t xml:space="preserve">Month 3-6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sz w:val="20"/>
                <w:szCs w:val="20"/>
              </w:rPr>
              <w:t xml:space="preserve">Relapse assessment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sz w:val="20"/>
                <w:szCs w:val="20"/>
              </w:rPr>
              <w:t xml:space="preserve">Extended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sz w:val="20"/>
                <w:szCs w:val="20"/>
              </w:rPr>
              <w:t xml:space="preserve">Month 6-24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sz w:val="20"/>
                <w:szCs w:val="20"/>
              </w:rPr>
              <w:t xml:space="preserve">NCT06605105 EXTEND; optional re-dosing</w:t>
            </w:r>
          </w:p>
        </w:tc>
      </w:tr>
    </w:tbl>
    <w:p>
      <w:r>
        <w:br w:type="page"/>
      </w:r>
    </w:p>
    <w:p>
      <w:pPr>
        <w:spacing w:before="300" w:after="200"/>
      </w:pPr>
      <w:r>
        <w:rPr>
          <w:b/>
          <w:bCs/>
        </w:rPr>
        <w:t xml:space="preserve">Supplementary Table 6. Psychedelic dosing across compounds</w:t>
      </w:r>
    </w:p>
    <w:p>
      <w:pPr>
        <w:spacing w:after="200" w:line="276" w:lineRule="auto"/>
      </w:pPr>
      <w:r>
        <w:rPr>
          <w:i/>
          <w:iCs/>
          <w:sz w:val="20"/>
          <w:szCs w:val="20"/>
        </w:rPr>
        <w:t xml:space="preserve">Standard dose ranges used in clinical trials by compound.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b/>
                <w:bCs/>
                <w:sz w:val="20"/>
                <w:szCs w:val="20"/>
              </w:rPr>
              <w:t xml:space="preserve">Compound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b/>
                <w:bCs/>
                <w:sz w:val="20"/>
                <w:szCs w:val="20"/>
              </w:rPr>
              <w:t xml:space="preserve">Low/Control Dose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b/>
                <w:bCs/>
                <w:sz w:val="20"/>
                <w:szCs w:val="20"/>
              </w:rPr>
              <w:t xml:space="preserve">Therapeutic Dose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b/>
                <w:bCs/>
                <w:sz w:val="20"/>
                <w:szCs w:val="20"/>
              </w:rPr>
              <w:t xml:space="preserve">Notes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sz w:val="20"/>
                <w:szCs w:val="20"/>
              </w:rPr>
              <w:t xml:space="preserve">Psilocybin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sz w:val="20"/>
                <w:szCs w:val="20"/>
              </w:rPr>
              <w:t xml:space="preserve">1-5 mg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sz w:val="20"/>
                <w:szCs w:val="20"/>
              </w:rPr>
              <w:t xml:space="preserve">25-30 mg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sz w:val="20"/>
                <w:szCs w:val="20"/>
              </w:rPr>
              <w:t xml:space="preserve">25 mg most common; single or two doses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sz w:val="20"/>
                <w:szCs w:val="20"/>
              </w:rPr>
              <w:t xml:space="preserve">MDMA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sz w:val="20"/>
                <w:szCs w:val="20"/>
              </w:rPr>
              <w:t xml:space="preserve">40-60 mg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sz w:val="20"/>
                <w:szCs w:val="20"/>
              </w:rPr>
              <w:t xml:space="preserve">80-120 mg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sz w:val="20"/>
                <w:szCs w:val="20"/>
              </w:rPr>
              <w:t xml:space="preserve">+40-60 mg supplemental at 1.5-2h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sz w:val="20"/>
                <w:szCs w:val="20"/>
              </w:rPr>
              <w:t xml:space="preserve">LSD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sz w:val="20"/>
                <w:szCs w:val="20"/>
              </w:rPr>
              <w:t xml:space="preserve">25-50 μg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sz w:val="20"/>
                <w:szCs w:val="20"/>
              </w:rPr>
              <w:t xml:space="preserve">100-200 μg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sz w:val="20"/>
                <w:szCs w:val="20"/>
              </w:rPr>
              <w:t xml:space="preserve">Extended duration (~10h)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sz w:val="20"/>
                <w:szCs w:val="20"/>
              </w:rPr>
              <w:t xml:space="preserve">DMT (IV)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sz w:val="20"/>
                <w:szCs w:val="20"/>
              </w:rPr>
              <w:t xml:space="preserve">0.1 mg/kg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sz w:val="20"/>
                <w:szCs w:val="20"/>
              </w:rPr>
              <w:t xml:space="preserve">0.3-0.4 mg/kg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sz w:val="20"/>
                <w:szCs w:val="20"/>
              </w:rPr>
              <w:t xml:space="preserve">~30 min duration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sz w:val="20"/>
                <w:szCs w:val="20"/>
              </w:rPr>
              <w:t xml:space="preserve">Ketamine (IV)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sz w:val="20"/>
                <w:szCs w:val="20"/>
              </w:rPr>
              <w:t xml:space="preserve">0.2 mg/kg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sz w:val="20"/>
                <w:szCs w:val="20"/>
              </w:rPr>
              <w:t xml:space="preserve">0.5 mg/kg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sz w:val="20"/>
                <w:szCs w:val="20"/>
              </w:rPr>
              <w:t xml:space="preserve">FDA-approved esketamine; 40 min infusion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sz w:val="20"/>
                <w:szCs w:val="20"/>
              </w:rPr>
              <w:t xml:space="preserve">Ibogaine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sz w:val="20"/>
                <w:szCs w:val="20"/>
              </w:rPr>
              <w:t xml:space="preserve">10-20 mg/kg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sz w:val="20"/>
                <w:szCs w:val="20"/>
              </w:rPr>
              <w:t xml:space="preserve">Addiction trials; cardiac monitoring required</w:t>
            </w:r>
          </w:p>
        </w:tc>
      </w:tr>
    </w:tbl>
    <w:p>
      <w:r>
        <w:br w:type="page"/>
      </w:r>
    </w:p>
    <w:p>
      <w:pPr>
        <w:spacing w:before="300" w:after="200"/>
      </w:pPr>
      <w:r>
        <w:rPr>
          <w:b/>
          <w:bCs/>
        </w:rPr>
        <w:t xml:space="preserve">Supplementary Table 7. Safety and monitoring assessments</w:t>
      </w:r>
    </w:p>
    <w:p>
      <w:pPr>
        <w:spacing w:after="200" w:line="276" w:lineRule="auto"/>
      </w:pPr>
      <w:r>
        <w:rPr>
          <w:i/>
          <w:iCs/>
          <w:sz w:val="20"/>
          <w:szCs w:val="20"/>
        </w:rPr>
        <w:t xml:space="preserve">Standard safety monitoring protocol across psychedelic trials.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b/>
                <w:bCs/>
                <w:sz w:val="20"/>
                <w:szCs w:val="20"/>
              </w:rPr>
              <w:t xml:space="preserve">Assessment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b/>
                <w:bCs/>
                <w:sz w:val="20"/>
                <w:szCs w:val="20"/>
              </w:rPr>
              <w:t xml:space="preserve">Timing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b/>
                <w:bCs/>
                <w:sz w:val="20"/>
                <w:szCs w:val="20"/>
              </w:rPr>
              <w:t xml:space="preserve">Notes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sz w:val="20"/>
                <w:szCs w:val="20"/>
              </w:rPr>
              <w:t xml:space="preserve">C-SSRS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sz w:val="20"/>
                <w:szCs w:val="20"/>
              </w:rPr>
              <w:t xml:space="preserve">Baseline, each visit, unscheduled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sz w:val="20"/>
                <w:szCs w:val="20"/>
              </w:rPr>
              <w:t xml:space="preserve">Suicidality monitoring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sz w:val="20"/>
                <w:szCs w:val="20"/>
              </w:rPr>
              <w:t xml:space="preserve">Vital signs (BP, HR, temp)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sz w:val="20"/>
                <w:szCs w:val="20"/>
              </w:rPr>
              <w:t xml:space="preserve">Pre-dose, every 30-60 min during session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sz w:val="20"/>
                <w:szCs w:val="20"/>
              </w:rPr>
              <w:t xml:space="preserve">Autonomic effects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sz w:val="20"/>
                <w:szCs w:val="20"/>
              </w:rPr>
              <w:t xml:space="preserve">12-lead ECG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sz w:val="20"/>
                <w:szCs w:val="20"/>
              </w:rPr>
              <w:t xml:space="preserve">Screening, pre/post-dose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sz w:val="20"/>
                <w:szCs w:val="20"/>
              </w:rPr>
              <w:t xml:space="preserve">Cardiac safety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sz w:val="20"/>
                <w:szCs w:val="20"/>
              </w:rPr>
              <w:t xml:space="preserve">Labs (CBC, CMP, LFTs, UA)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sz w:val="20"/>
                <w:szCs w:val="20"/>
              </w:rPr>
              <w:t xml:space="preserve">Screening, end of treatment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sz w:val="20"/>
                <w:szCs w:val="20"/>
              </w:rPr>
              <w:t xml:space="preserve">Metabolic/organ function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sz w:val="20"/>
                <w:szCs w:val="20"/>
              </w:rPr>
              <w:t xml:space="preserve">CTCAE grading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sz w:val="20"/>
                <w:szCs w:val="20"/>
              </w:rPr>
              <w:t xml:space="preserve">Continuous; SAE within 24h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sz w:val="20"/>
                <w:szCs w:val="20"/>
              </w:rPr>
              <w:t xml:space="preserve">Adverse event classification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sz w:val="20"/>
                <w:szCs w:val="20"/>
              </w:rPr>
              <w:t xml:space="preserve">PWC-20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sz w:val="20"/>
                <w:szCs w:val="20"/>
              </w:rPr>
              <w:t xml:space="preserve">Post-treatment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sz w:val="20"/>
                <w:szCs w:val="20"/>
              </w:rPr>
              <w:t xml:space="preserve">Discontinuation symptoms</w:t>
            </w:r>
          </w:p>
        </w:tc>
      </w:tr>
    </w:tbl>
    <w:p>
      <w:pPr>
        <w:spacing w:before="300" w:after="100"/>
      </w:pPr>
      <w:r>
        <w:rPr>
          <w:b/>
          <w:bCs/>
        </w:rPr>
        <w:t xml:space="preserve">Psychedelic-Specific Assessments</w:t>
      </w:r>
    </w:p>
    <w:p>
      <w:pPr>
        <w:spacing w:after="200" w:line="276" w:lineRule="auto"/>
      </w:pPr>
      <w:r>
        <w:t xml:space="preserve">• 5D-ASC (5-Dimensional Altered States of Consciousness) — Characterizes subjective experience</w:t>
      </w:r>
    </w:p>
    <w:p>
      <w:pPr>
        <w:spacing w:after="200" w:line="276" w:lineRule="auto"/>
      </w:pPr>
      <w:r>
        <w:t xml:space="preserve">• MEQ-30 (Mystical Experience Questionnaire) — Correlates with outcomes</w:t>
      </w:r>
    </w:p>
    <w:p>
      <w:pPr>
        <w:spacing w:after="200" w:line="276" w:lineRule="auto"/>
      </w:pPr>
      <w:r>
        <w:t xml:space="preserve">• CEQ (Challenging Experience Questionnaire) — Adverse psychological effects</w:t>
      </w:r>
    </w:p>
    <w:p>
      <w:pPr>
        <w:spacing w:after="200" w:line="276" w:lineRule="auto"/>
      </w:pPr>
      <w:r>
        <w:t xml:space="preserve">• EDI (Ego Dissolution Inventory) — Mechanism-related measure</w:t>
      </w:r>
    </w:p>
    <w:p>
      <w:r>
        <w:br w:type="page"/>
      </w:r>
    </w:p>
    <w:p>
      <w:pPr>
        <w:spacing w:before="300" w:after="200"/>
      </w:pPr>
      <w:r>
        <w:rPr>
          <w:b/>
          <w:bCs/>
        </w:rPr>
        <w:t xml:space="preserve">Supplementary Table 8. Biomarker assessments in exploratory studies</w:t>
      </w:r>
    </w:p>
    <w:p>
      <w:pPr>
        <w:spacing w:after="200" w:line="276" w:lineRule="auto"/>
      </w:pPr>
      <w:r>
        <w:rPr>
          <w:i/>
          <w:iCs/>
          <w:sz w:val="20"/>
          <w:szCs w:val="20"/>
        </w:rPr>
        <w:t xml:space="preserve">Peripheral, neuroimaging, and genetic biomarkers under investigation.</w:t>
      </w:r>
    </w:p>
    <w:p>
      <w:pPr>
        <w:spacing w:before="200" w:after="100"/>
      </w:pPr>
      <w:r>
        <w:rPr>
          <w:b/>
          <w:bCs/>
        </w:rPr>
        <w:t xml:space="preserve">Peripheral Biomarkers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b/>
                <w:bCs/>
                <w:sz w:val="20"/>
                <w:szCs w:val="20"/>
              </w:rPr>
              <w:t xml:space="preserve">Category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b/>
                <w:bCs/>
                <w:sz w:val="20"/>
                <w:szCs w:val="20"/>
              </w:rPr>
              <w:t xml:space="preserve">Markers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b/>
                <w:bCs/>
                <w:sz w:val="20"/>
                <w:szCs w:val="20"/>
              </w:rPr>
              <w:t xml:space="preserve">Rationale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sz w:val="20"/>
                <w:szCs w:val="20"/>
              </w:rPr>
              <w:t xml:space="preserve">Inflammatory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sz w:val="20"/>
                <w:szCs w:val="20"/>
              </w:rPr>
              <w:t xml:space="preserve">CRP, IL-1β, IL-6, IL-17, TNF-α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sz w:val="20"/>
                <w:szCs w:val="20"/>
              </w:rPr>
              <w:t xml:space="preserve">Depression-inflammation hypothesis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sz w:val="20"/>
                <w:szCs w:val="20"/>
              </w:rPr>
              <w:t xml:space="preserve">Neurotrophic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sz w:val="20"/>
                <w:szCs w:val="20"/>
              </w:rPr>
              <w:t xml:space="preserve">BDNF (serum/plasma)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sz w:val="20"/>
                <w:szCs w:val="20"/>
              </w:rPr>
              <w:t xml:space="preserve">Neuroplasticity marker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sz w:val="20"/>
                <w:szCs w:val="20"/>
              </w:rPr>
              <w:t xml:space="preserve">Neuroendocrine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sz w:val="20"/>
                <w:szCs w:val="20"/>
              </w:rPr>
              <w:t xml:space="preserve">Cortisol (awakening, evening, hair)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sz w:val="20"/>
                <w:szCs w:val="20"/>
              </w:rPr>
              <w:t xml:space="preserve">HPA axis function</w:t>
            </w:r>
          </w:p>
        </w:tc>
      </w:tr>
    </w:tbl>
    <w:p>
      <w:pPr>
        <w:spacing w:before="300" w:after="100"/>
      </w:pPr>
      <w:r>
        <w:rPr>
          <w:b/>
          <w:bCs/>
        </w:rPr>
        <w:t xml:space="preserve">Neuroimaging Outcomes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b/>
                <w:bCs/>
                <w:sz w:val="20"/>
                <w:szCs w:val="20"/>
              </w:rPr>
              <w:t xml:space="preserve">Modality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b/>
                <w:bCs/>
                <w:sz w:val="20"/>
                <w:szCs w:val="20"/>
              </w:rPr>
              <w:t xml:space="preserve">Target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b/>
                <w:bCs/>
                <w:sz w:val="20"/>
                <w:szCs w:val="20"/>
              </w:rPr>
              <w:t xml:space="preserve">Interpretation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sz w:val="20"/>
                <w:szCs w:val="20"/>
              </w:rPr>
              <w:t xml:space="preserve">fMRI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sz w:val="20"/>
                <w:szCs w:val="20"/>
              </w:rPr>
              <w:t xml:space="preserve">DMN connectivity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sz w:val="20"/>
                <w:szCs w:val="20"/>
              </w:rPr>
              <w:t xml:space="preserve">Hyperconnectivity reduction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sz w:val="20"/>
                <w:szCs w:val="20"/>
              </w:rPr>
              <w:t xml:space="preserve">fMRI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sz w:val="20"/>
                <w:szCs w:val="20"/>
              </w:rPr>
              <w:t xml:space="preserve">Amygdala-PFC coupling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sz w:val="20"/>
                <w:szCs w:val="20"/>
              </w:rPr>
              <w:t xml:space="preserve">Emotional processing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sz w:val="20"/>
                <w:szCs w:val="20"/>
              </w:rPr>
              <w:t xml:space="preserve">PET ([11C]UCB-J)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sz w:val="20"/>
                <w:szCs w:val="20"/>
              </w:rPr>
              <w:t xml:space="preserve">SV2A binding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sz w:val="20"/>
                <w:szCs w:val="20"/>
              </w:rPr>
              <w:t xml:space="preserve">Synaptic density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sz w:val="20"/>
                <w:szCs w:val="20"/>
              </w:rPr>
              <w:t xml:space="preserve">EEG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sz w:val="20"/>
                <w:szCs w:val="20"/>
              </w:rPr>
              <w:t xml:space="preserve">Alpha power, connectivity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rPr>
                <w:sz w:val="20"/>
                <w:szCs w:val="20"/>
              </w:rPr>
              <w:t xml:space="preserve">DMN correlate</w:t>
            </w:r>
          </w:p>
        </w:tc>
      </w:tr>
    </w:tbl>
    <w:p>
      <w:pPr>
        <w:spacing w:after="200" w:line="276" w:lineRule="auto"/>
      </w:pPr>
      <w:r>
        <w:rPr>
          <w:i/>
          <w:iCs/>
          <w:sz w:val="18"/>
          <w:szCs w:val="18"/>
        </w:rPr>
        <w:t xml:space="preserve">Abbreviations: DMN, Default Mode Network; PFC, prefrontal cortex; SV2A, synaptic vesicle glycoprotein 2A; BDNF, brain-derived neurotrophic factor; HPA, hypothalamic-pituitary-adrenal.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2026-01-23T15:13:17.999Z</dcterms:created>
  <dcterms:modified xsi:type="dcterms:W3CDTF">2026-01-23T15:13:18.000Z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