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14" w:rsidRPr="00833DAE" w:rsidRDefault="00BF0A14" w:rsidP="00BF0A14">
      <w:pPr>
        <w:spacing w:line="480" w:lineRule="auto"/>
        <w:rPr>
          <w:rFonts w:asciiTheme="majorBidi" w:hAnsiTheme="majorBidi" w:cstheme="majorBidi"/>
          <w:bCs/>
          <w:sz w:val="28"/>
          <w:szCs w:val="28"/>
          <w:lang w:val="en-US"/>
        </w:rPr>
      </w:pPr>
      <w:r w:rsidRPr="00833DAE">
        <w:rPr>
          <w:rFonts w:asciiTheme="majorBidi" w:hAnsiTheme="majorBidi" w:cstheme="majorBidi"/>
          <w:b/>
          <w:bCs/>
          <w:sz w:val="28"/>
          <w:szCs w:val="28"/>
          <w:lang w:val="en-CA"/>
        </w:rPr>
        <w:t>New method for sequestration of silver nanoparticles in aqueous media: In route toward municipal wastewater</w:t>
      </w: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Pr="00B47933" w:rsidRDefault="00BF0A14" w:rsidP="00BF0A14">
      <w:pPr>
        <w:spacing w:after="0" w:line="240" w:lineRule="auto"/>
        <w:rPr>
          <w:rFonts w:ascii="Times New Roman" w:eastAsia="AdvTimes" w:hAnsi="Times New Roman"/>
          <w:sz w:val="28"/>
          <w:szCs w:val="28"/>
          <w:lang w:val="en-US" w:eastAsia="fr-CA"/>
        </w:rPr>
      </w:pPr>
    </w:p>
    <w:p w:rsidR="00BF0A14" w:rsidRPr="004069A3" w:rsidRDefault="00BF0A14" w:rsidP="00BF0A14">
      <w:pPr>
        <w:jc w:val="center"/>
        <w:rPr>
          <w:rFonts w:ascii="Times New Roman" w:eastAsia="AdvTimes" w:hAnsi="Times New Roman"/>
          <w:sz w:val="28"/>
          <w:szCs w:val="28"/>
          <w:lang w:eastAsia="fr-CA"/>
        </w:rPr>
      </w:pPr>
      <w:r w:rsidRPr="004069A3">
        <w:rPr>
          <w:rFonts w:ascii="Times New Roman" w:eastAsia="AdvTimes" w:hAnsi="Times New Roman"/>
          <w:sz w:val="28"/>
          <w:szCs w:val="28"/>
          <w:lang w:eastAsia="fr-CA"/>
        </w:rPr>
        <w:t>Supporting information</w:t>
      </w:r>
    </w:p>
    <w:p w:rsidR="00BF0A14" w:rsidRPr="004069A3" w:rsidRDefault="00BF0A14" w:rsidP="00BF0A14">
      <w:pPr>
        <w:spacing w:line="480" w:lineRule="auto"/>
        <w:rPr>
          <w:rFonts w:asciiTheme="majorBidi" w:hAnsiTheme="majorBidi" w:cstheme="majorBidi"/>
          <w:bCs/>
          <w:sz w:val="28"/>
          <w:szCs w:val="28"/>
        </w:rPr>
      </w:pPr>
    </w:p>
    <w:p w:rsidR="00BF0A14" w:rsidRPr="004069A3" w:rsidRDefault="00BF0A14" w:rsidP="00BF0A14">
      <w:pPr>
        <w:spacing w:line="480" w:lineRule="auto"/>
        <w:rPr>
          <w:rFonts w:asciiTheme="majorBidi" w:hAnsiTheme="majorBidi" w:cstheme="majorBidi"/>
          <w:bCs/>
          <w:sz w:val="28"/>
          <w:szCs w:val="28"/>
        </w:rPr>
      </w:pPr>
    </w:p>
    <w:p w:rsidR="00BF0A14" w:rsidRPr="004069A3" w:rsidRDefault="00BF0A14" w:rsidP="00BF0A14">
      <w:pPr>
        <w:spacing w:line="480" w:lineRule="auto"/>
        <w:rPr>
          <w:rFonts w:asciiTheme="majorBidi" w:hAnsiTheme="majorBidi" w:cstheme="majorBidi"/>
          <w:bCs/>
          <w:sz w:val="28"/>
          <w:szCs w:val="28"/>
        </w:rPr>
      </w:pPr>
    </w:p>
    <w:p w:rsidR="00BF0A14" w:rsidRPr="004069A3" w:rsidRDefault="00BF0A14" w:rsidP="00BF0A14">
      <w:pPr>
        <w:spacing w:line="480" w:lineRule="auto"/>
        <w:rPr>
          <w:rFonts w:asciiTheme="majorBidi" w:hAnsiTheme="majorBidi" w:cstheme="majorBidi"/>
          <w:bCs/>
          <w:sz w:val="28"/>
          <w:szCs w:val="28"/>
        </w:rPr>
      </w:pPr>
    </w:p>
    <w:p w:rsidR="00BF0A14" w:rsidRPr="004069A3" w:rsidRDefault="00BF0A14" w:rsidP="00BF0A14">
      <w:pPr>
        <w:spacing w:line="480" w:lineRule="auto"/>
        <w:rPr>
          <w:rFonts w:asciiTheme="majorBidi" w:hAnsiTheme="majorBidi" w:cstheme="majorBidi"/>
          <w:bCs/>
          <w:sz w:val="28"/>
          <w:szCs w:val="28"/>
        </w:rPr>
      </w:pPr>
    </w:p>
    <w:p w:rsidR="00BF0A14" w:rsidRPr="00833DAE" w:rsidRDefault="00BF0A14" w:rsidP="00BF0A14">
      <w:pPr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  <w:vertAlign w:val="superscript"/>
        </w:rPr>
      </w:pPr>
      <w:r w:rsidRPr="00833DAE">
        <w:rPr>
          <w:rFonts w:asciiTheme="majorBidi" w:hAnsiTheme="majorBidi" w:cstheme="majorBidi"/>
          <w:bCs/>
          <w:sz w:val="28"/>
          <w:szCs w:val="28"/>
        </w:rPr>
        <w:t>Marie-Laine Roy (marie-laine_roy@hotmail.com)</w:t>
      </w:r>
    </w:p>
    <w:p w:rsidR="00BF0A14" w:rsidRPr="00833DAE" w:rsidRDefault="00BF0A14" w:rsidP="00BF0A14">
      <w:pPr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833DAE">
        <w:rPr>
          <w:rFonts w:asciiTheme="majorBidi" w:hAnsiTheme="majorBidi" w:cstheme="majorBidi"/>
          <w:bCs/>
          <w:sz w:val="28"/>
          <w:szCs w:val="28"/>
        </w:rPr>
        <w:t>Christian Gagnon (christian.gagnon@ec.gc.ca)</w:t>
      </w:r>
    </w:p>
    <w:p w:rsidR="00BF0A14" w:rsidRPr="00833DAE" w:rsidRDefault="00BF0A14" w:rsidP="00BF0A14">
      <w:pPr>
        <w:spacing w:line="240" w:lineRule="auto"/>
        <w:jc w:val="center"/>
        <w:rPr>
          <w:rFonts w:asciiTheme="majorBidi" w:hAnsiTheme="majorBidi" w:cstheme="majorBidi"/>
          <w:bCs/>
          <w:sz w:val="28"/>
          <w:szCs w:val="28"/>
          <w:lang w:val="en-US"/>
        </w:rPr>
      </w:pPr>
      <w:r w:rsidRPr="00833DAE">
        <w:rPr>
          <w:rFonts w:asciiTheme="majorBidi" w:hAnsiTheme="majorBidi" w:cstheme="majorBidi"/>
          <w:bCs/>
          <w:sz w:val="28"/>
          <w:szCs w:val="28"/>
          <w:lang w:val="en-US"/>
        </w:rPr>
        <w:t>Jonathan Gagnon (</w:t>
      </w:r>
      <w:r w:rsidRPr="00833DAE">
        <w:rPr>
          <w:rFonts w:asciiTheme="majorBidi" w:hAnsiTheme="majorBidi" w:cstheme="majorBidi"/>
          <w:bCs/>
          <w:sz w:val="28"/>
          <w:szCs w:val="28"/>
          <w:lang w:val="en-CA"/>
        </w:rPr>
        <w:t>jonathan_gagnon@uqar.ca)</w:t>
      </w:r>
    </w:p>
    <w:p w:rsidR="00BF0A14" w:rsidRPr="00833DAE" w:rsidRDefault="00BF0A14" w:rsidP="00BF0A14">
      <w:pPr>
        <w:rPr>
          <w:rFonts w:asciiTheme="majorBidi" w:hAnsiTheme="majorBidi" w:cstheme="majorBidi"/>
          <w:bCs/>
          <w:sz w:val="28"/>
          <w:szCs w:val="28"/>
          <w:lang w:val="en-US"/>
        </w:rPr>
      </w:pPr>
      <w:r w:rsidRPr="00833DAE">
        <w:rPr>
          <w:rFonts w:asciiTheme="majorBidi" w:hAnsiTheme="majorBidi" w:cstheme="majorBidi"/>
          <w:bCs/>
          <w:sz w:val="28"/>
          <w:szCs w:val="28"/>
          <w:lang w:val="en-US"/>
        </w:rPr>
        <w:br w:type="page"/>
      </w:r>
    </w:p>
    <w:p w:rsidR="00BF0A14" w:rsidRPr="00833DAE" w:rsidRDefault="00BF0A14" w:rsidP="00BF0A14">
      <w:pPr>
        <w:jc w:val="both"/>
        <w:rPr>
          <w:lang w:val="en-CA"/>
        </w:rPr>
      </w:pPr>
      <w:r w:rsidRPr="00833DAE">
        <w:rPr>
          <w:noProof/>
          <w:lang w:eastAsia="fr-CA"/>
        </w:rPr>
        <w:lastRenderedPageBreak/>
        <w:drawing>
          <wp:inline distT="0" distB="0" distL="0" distR="0" wp14:anchorId="2A25591C" wp14:editId="75D85AF0">
            <wp:extent cx="5486400" cy="4114800"/>
            <wp:effectExtent l="0" t="0" r="0" b="0"/>
            <wp:docPr id="16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14" w:rsidRPr="00833DAE" w:rsidRDefault="00BF0A14" w:rsidP="00BF0A14">
      <w:pPr>
        <w:pStyle w:val="Lgende"/>
        <w:jc w:val="both"/>
        <w:rPr>
          <w:rFonts w:ascii="Times New Roman" w:hAnsi="Times New Roman"/>
          <w:b w:val="0"/>
          <w:color w:val="auto"/>
          <w:sz w:val="28"/>
          <w:szCs w:val="28"/>
          <w:lang w:val="en-CA"/>
        </w:rPr>
      </w:pP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Figure S1. Infrared spectra of (A) immobilized DMC after wash</w:t>
      </w:r>
      <w:r>
        <w:rPr>
          <w:rFonts w:ascii="Times New Roman" w:hAnsi="Times New Roman"/>
          <w:b w:val="0"/>
          <w:color w:val="auto"/>
          <w:sz w:val="28"/>
          <w:szCs w:val="28"/>
          <w:lang w:val="en-CA"/>
        </w:rPr>
        <w:t>ing</w:t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; (B)</w:t>
      </w:r>
      <w:r w:rsidRPr="00833DAE">
        <w:rPr>
          <w:rFonts w:ascii="Times New Roman" w:hAnsi="Times New Roman"/>
          <w:b w:val="0"/>
          <w:i/>
          <w:color w:val="auto"/>
          <w:sz w:val="28"/>
          <w:szCs w:val="28"/>
          <w:lang w:val="en-CA"/>
        </w:rPr>
        <w:t xml:space="preserve"> </w:t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 xml:space="preserve">DMC; (C) silica propyl bromide </w:t>
      </w:r>
    </w:p>
    <w:p w:rsidR="00BF0A14" w:rsidRPr="00833DAE" w:rsidRDefault="00BF0A14" w:rsidP="00BF0A14">
      <w:pPr>
        <w:jc w:val="both"/>
        <w:rPr>
          <w:rFonts w:ascii="Times New Roman" w:eastAsia="AdvTimes" w:hAnsi="Times New Roman"/>
          <w:sz w:val="24"/>
          <w:szCs w:val="24"/>
          <w:lang w:val="en-CA" w:eastAsia="fr-CA"/>
        </w:rPr>
      </w:pPr>
    </w:p>
    <w:p w:rsidR="00BF0A14" w:rsidRPr="00833DAE" w:rsidRDefault="00BF0A14" w:rsidP="00BF0A14">
      <w:r w:rsidRPr="00833DAE">
        <w:rPr>
          <w:noProof/>
          <w:lang w:eastAsia="fr-CA"/>
        </w:rPr>
        <w:lastRenderedPageBreak/>
        <w:drawing>
          <wp:inline distT="0" distB="0" distL="0" distR="0" wp14:anchorId="0825AC3E" wp14:editId="284D6E2A">
            <wp:extent cx="5486400" cy="41148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raman comple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14" w:rsidRPr="00833DAE" w:rsidRDefault="00BF0A14" w:rsidP="00BF0A14">
      <w:pPr>
        <w:pStyle w:val="Lgende"/>
        <w:jc w:val="both"/>
        <w:rPr>
          <w:rFonts w:ascii="Times New Roman" w:hAnsi="Times New Roman"/>
          <w:b w:val="0"/>
          <w:color w:val="auto"/>
          <w:sz w:val="28"/>
          <w:szCs w:val="28"/>
          <w:lang w:val="en-CA"/>
        </w:rPr>
      </w:pP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Figure S2. Raman spectra of (A) immobilized DMC; (B) DMC; (C) silica propyl bromide</w:t>
      </w:r>
    </w:p>
    <w:p w:rsidR="00BF0A14" w:rsidRPr="00833DAE" w:rsidRDefault="00BF0A14" w:rsidP="00BF0A14">
      <w:pPr>
        <w:jc w:val="both"/>
        <w:rPr>
          <w:rFonts w:ascii="Times New Roman" w:eastAsia="AdvTimes" w:hAnsi="Times New Roman"/>
          <w:sz w:val="24"/>
          <w:szCs w:val="24"/>
          <w:lang w:val="en-CA" w:eastAsia="fr-CA"/>
        </w:rPr>
      </w:pPr>
    </w:p>
    <w:p w:rsidR="00BF0A14" w:rsidRPr="00833DAE" w:rsidRDefault="00BF0A14" w:rsidP="00BF0A14">
      <w:pPr>
        <w:pStyle w:val="Lgende"/>
        <w:jc w:val="both"/>
        <w:rPr>
          <w:rFonts w:ascii="Times New Roman" w:hAnsi="Times New Roman"/>
          <w:b w:val="0"/>
          <w:sz w:val="20"/>
          <w:szCs w:val="20"/>
          <w:lang w:val="en-CA"/>
        </w:rPr>
      </w:pPr>
      <w:r w:rsidRPr="00833DAE">
        <w:rPr>
          <w:rFonts w:ascii="Times New Roman" w:hAnsi="Times New Roman"/>
          <w:b w:val="0"/>
          <w:noProof/>
          <w:color w:val="auto"/>
          <w:sz w:val="24"/>
          <w:szCs w:val="24"/>
          <w:lang w:eastAsia="fr-CA"/>
        </w:rPr>
        <w:lastRenderedPageBreak/>
        <w:drawing>
          <wp:inline distT="0" distB="0" distL="0" distR="0" wp14:anchorId="3D87F81B" wp14:editId="2445FC27">
            <wp:extent cx="5415454" cy="4061591"/>
            <wp:effectExtent l="0" t="0" r="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454" cy="406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Figure S3. Nitrogen/carbon ratio (</w:t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sym w:font="Symbol" w:char="F0A8"/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) and nitrogen percentage (</w:t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sym w:font="Webdings" w:char="F03C"/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) of immobilized DMC on modified silica with the variation of the polymer/silica ratio</w:t>
      </w:r>
    </w:p>
    <w:p w:rsidR="00BF0A14" w:rsidRPr="00833DAE" w:rsidRDefault="00BF0A14" w:rsidP="00BF0A14">
      <w:pPr>
        <w:jc w:val="both"/>
        <w:rPr>
          <w:rFonts w:ascii="Times New Roman" w:eastAsia="AdvTimes" w:hAnsi="Times New Roman"/>
          <w:sz w:val="24"/>
          <w:szCs w:val="24"/>
          <w:lang w:val="en-CA" w:eastAsia="fr-CA"/>
        </w:rPr>
      </w:pPr>
    </w:p>
    <w:p w:rsidR="00BF0A14" w:rsidRPr="00833DAE" w:rsidRDefault="00BF0A14" w:rsidP="00BF0A14">
      <w:pPr>
        <w:jc w:val="both"/>
        <w:rPr>
          <w:lang w:val="en-CA"/>
        </w:rPr>
      </w:pPr>
      <w:r w:rsidRPr="00833DAE">
        <w:rPr>
          <w:noProof/>
          <w:lang w:eastAsia="fr-CA"/>
        </w:rPr>
        <w:lastRenderedPageBreak/>
        <w:drawing>
          <wp:inline distT="0" distB="0" distL="0" distR="0" wp14:anchorId="2BE71D91" wp14:editId="5C65FC65">
            <wp:extent cx="5402580" cy="3646170"/>
            <wp:effectExtent l="0" t="0" r="762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 artic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406" cy="364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14" w:rsidRPr="00CD3153" w:rsidRDefault="00BF0A14" w:rsidP="00BF0A14">
      <w:pPr>
        <w:pStyle w:val="Lgende"/>
        <w:jc w:val="both"/>
        <w:rPr>
          <w:rFonts w:ascii="Times New Roman" w:hAnsi="Times New Roman"/>
          <w:b w:val="0"/>
          <w:color w:val="auto"/>
          <w:sz w:val="28"/>
          <w:szCs w:val="28"/>
          <w:lang w:val="en-CA"/>
        </w:rPr>
      </w:pP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 xml:space="preserve">Figure S4. </w:t>
      </w:r>
      <w:r>
        <w:rPr>
          <w:rFonts w:ascii="Times New Roman" w:hAnsi="Times New Roman"/>
          <w:b w:val="0"/>
          <w:color w:val="auto"/>
          <w:sz w:val="28"/>
          <w:szCs w:val="28"/>
          <w:lang w:val="en-CA"/>
        </w:rPr>
        <w:t>UV</w:t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-visible spectra of a solution of A) citrate Ag NP</w:t>
      </w:r>
      <w:r>
        <w:rPr>
          <w:rFonts w:ascii="Times New Roman" w:hAnsi="Times New Roman"/>
          <w:b w:val="0"/>
          <w:color w:val="auto"/>
          <w:sz w:val="28"/>
          <w:szCs w:val="28"/>
          <w:lang w:val="en-CA"/>
        </w:rPr>
        <w:t>s</w:t>
      </w:r>
      <w:r w:rsidRPr="00833DAE">
        <w:rPr>
          <w:rFonts w:ascii="Times New Roman" w:hAnsi="Times New Roman"/>
          <w:b w:val="0"/>
          <w:color w:val="auto"/>
          <w:sz w:val="28"/>
          <w:szCs w:val="28"/>
          <w:lang w:val="en-CA"/>
        </w:rPr>
        <w:t>; B) supernatant after sequestration; C) acetic acid</w:t>
      </w:r>
    </w:p>
    <w:p w:rsidR="00BF0A14" w:rsidRPr="00344D73" w:rsidRDefault="00BF0A14" w:rsidP="00BF0A14">
      <w:pPr>
        <w:jc w:val="both"/>
        <w:rPr>
          <w:rFonts w:ascii="Times New Roman" w:eastAsia="AdvTimes" w:hAnsi="Times New Roman"/>
          <w:sz w:val="24"/>
          <w:szCs w:val="24"/>
          <w:lang w:val="en-CA" w:eastAsia="fr-CA"/>
        </w:rPr>
      </w:pPr>
    </w:p>
    <w:p w:rsidR="008536E8" w:rsidRDefault="008536E8">
      <w:bookmarkStart w:id="0" w:name="_GoBack"/>
      <w:bookmarkEnd w:id="0"/>
    </w:p>
    <w:sectPr w:rsidR="008536E8" w:rsidSect="00962F95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7590650"/>
      <w:docPartObj>
        <w:docPartGallery w:val="Page Numbers (Bottom of Page)"/>
        <w:docPartUnique/>
      </w:docPartObj>
    </w:sdtPr>
    <w:sdtEndPr/>
    <w:sdtContent>
      <w:p w:rsidR="004E488B" w:rsidRDefault="00BF0A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F0A14">
          <w:rPr>
            <w:noProof/>
            <w:lang w:val="fr-FR"/>
          </w:rPr>
          <w:t>5</w:t>
        </w:r>
        <w:r>
          <w:fldChar w:fldCharType="end"/>
        </w:r>
      </w:p>
    </w:sdtContent>
  </w:sdt>
  <w:p w:rsidR="004E488B" w:rsidRDefault="00BF0A14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14"/>
    <w:rsid w:val="008536E8"/>
    <w:rsid w:val="00B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DBD0D-569A-4087-A4C3-CD0D1A61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A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F0A1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BF0A1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0A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UQAR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 Jonathan</dc:creator>
  <cp:keywords/>
  <dc:description/>
  <cp:lastModifiedBy>Gagnon Jonathan</cp:lastModifiedBy>
  <cp:revision>1</cp:revision>
  <dcterms:created xsi:type="dcterms:W3CDTF">2016-06-10T13:14:00Z</dcterms:created>
  <dcterms:modified xsi:type="dcterms:W3CDTF">2016-06-10T13:14:00Z</dcterms:modified>
</cp:coreProperties>
</file>