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3D5" w:rsidRDefault="00B973D5" w:rsidP="00B973D5">
      <w:pPr>
        <w:keepNext/>
      </w:pPr>
      <w:r>
        <w:rPr>
          <w:noProof/>
          <w:lang w:val="en-US"/>
        </w:rPr>
        <w:drawing>
          <wp:inline distT="0" distB="0" distL="0" distR="0">
            <wp:extent cx="5400040" cy="3083560"/>
            <wp:effectExtent l="0" t="0" r="0" b="254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4EDB0AF-70AC-47D8-A5FD-9A471196A4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92537" w:rsidRDefault="00B973D5" w:rsidP="00892537">
      <w:pPr>
        <w:pStyle w:val="Caption"/>
        <w:jc w:val="center"/>
      </w:pPr>
      <w:r w:rsidRPr="00B973D5">
        <w:rPr>
          <w:b/>
          <w:bCs/>
        </w:rPr>
        <w:t>Fig</w:t>
      </w:r>
      <w:r w:rsidR="00874F52">
        <w:rPr>
          <w:b/>
          <w:bCs/>
        </w:rPr>
        <w:t>.</w:t>
      </w:r>
      <w:r w:rsidRPr="00B973D5">
        <w:rPr>
          <w:b/>
          <w:bCs/>
        </w:rPr>
        <w:t xml:space="preserve"> </w:t>
      </w:r>
      <w:proofErr w:type="spellStart"/>
      <w:r w:rsidR="00790B58">
        <w:rPr>
          <w:b/>
          <w:bCs/>
        </w:rPr>
        <w:t>S</w:t>
      </w:r>
      <w:r w:rsidR="00FA738D" w:rsidRPr="00B973D5">
        <w:rPr>
          <w:b/>
          <w:bCs/>
        </w:rPr>
        <w:fldChar w:fldCharType="begin"/>
      </w:r>
      <w:r w:rsidRPr="00B973D5">
        <w:rPr>
          <w:b/>
          <w:bCs/>
        </w:rPr>
        <w:instrText xml:space="preserve"> SEQ Figure \* ARABIC </w:instrText>
      </w:r>
      <w:r w:rsidR="00FA738D" w:rsidRPr="00B973D5">
        <w:rPr>
          <w:b/>
          <w:bCs/>
        </w:rPr>
        <w:fldChar w:fldCharType="separate"/>
      </w:r>
      <w:r w:rsidRPr="00B973D5">
        <w:rPr>
          <w:b/>
          <w:bCs/>
          <w:noProof/>
        </w:rPr>
        <w:t>1</w:t>
      </w:r>
      <w:proofErr w:type="spellEnd"/>
      <w:r w:rsidR="00FA738D" w:rsidRPr="00B973D5">
        <w:rPr>
          <w:b/>
          <w:bCs/>
        </w:rPr>
        <w:fldChar w:fldCharType="end"/>
      </w:r>
      <w:r w:rsidRPr="00B973D5">
        <w:rPr>
          <w:b/>
          <w:bCs/>
        </w:rPr>
        <w:t xml:space="preserve"> </w:t>
      </w:r>
      <w:r w:rsidR="00892537">
        <w:t>Normalized effects for variables 1-3 and their interactions considering HAE.</w:t>
      </w:r>
    </w:p>
    <w:p w:rsidR="00892537" w:rsidRDefault="00892537" w:rsidP="00B973D5">
      <w:pPr>
        <w:pStyle w:val="Caption"/>
      </w:pPr>
    </w:p>
    <w:p w:rsidR="000214E7" w:rsidRDefault="00892537" w:rsidP="00B973D5">
      <w:pPr>
        <w:pStyle w:val="Caption"/>
      </w:pPr>
      <w:r>
        <w:rPr>
          <w:noProof/>
          <w:lang w:val="en-US"/>
        </w:rPr>
        <w:drawing>
          <wp:inline distT="0" distB="0" distL="0" distR="0">
            <wp:extent cx="5400000" cy="3060000"/>
            <wp:effectExtent l="0" t="0" r="0" b="762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54A06A4C-7BB3-49BD-8D83-D7CAFCF13E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</w:t>
      </w:r>
    </w:p>
    <w:p w:rsidR="00892537" w:rsidRDefault="00892537" w:rsidP="00892537">
      <w:pPr>
        <w:pStyle w:val="Caption"/>
        <w:jc w:val="center"/>
      </w:pPr>
      <w:r w:rsidRPr="00B973D5">
        <w:rPr>
          <w:b/>
          <w:bCs/>
        </w:rPr>
        <w:t>Fig</w:t>
      </w:r>
      <w:r w:rsidR="00874F52">
        <w:rPr>
          <w:b/>
          <w:bCs/>
        </w:rPr>
        <w:t>.</w:t>
      </w:r>
      <w:r w:rsidRPr="00B973D5">
        <w:rPr>
          <w:b/>
          <w:bCs/>
        </w:rPr>
        <w:t xml:space="preserve"> </w:t>
      </w:r>
      <w:proofErr w:type="spellStart"/>
      <w:r w:rsidR="00790B58">
        <w:rPr>
          <w:b/>
          <w:bCs/>
        </w:rPr>
        <w:t>S</w:t>
      </w:r>
      <w:r w:rsidR="00FA738D" w:rsidRPr="00B973D5">
        <w:rPr>
          <w:b/>
          <w:bCs/>
        </w:rPr>
        <w:fldChar w:fldCharType="begin"/>
      </w:r>
      <w:r w:rsidRPr="00B973D5">
        <w:rPr>
          <w:b/>
          <w:bCs/>
        </w:rPr>
        <w:instrText xml:space="preserve"> SEQ Figure \* ARABIC </w:instrText>
      </w:r>
      <w:r w:rsidR="00FA738D" w:rsidRPr="00B973D5">
        <w:rPr>
          <w:b/>
          <w:bCs/>
        </w:rPr>
        <w:fldChar w:fldCharType="separate"/>
      </w:r>
      <w:r>
        <w:rPr>
          <w:b/>
          <w:bCs/>
          <w:noProof/>
        </w:rPr>
        <w:t>2</w:t>
      </w:r>
      <w:proofErr w:type="spellEnd"/>
      <w:r w:rsidR="00FA738D" w:rsidRPr="00B973D5">
        <w:rPr>
          <w:b/>
          <w:bCs/>
        </w:rPr>
        <w:fldChar w:fldCharType="end"/>
      </w:r>
      <w:r w:rsidRPr="00B973D5">
        <w:rPr>
          <w:b/>
          <w:bCs/>
        </w:rPr>
        <w:t xml:space="preserve"> </w:t>
      </w:r>
      <w:r>
        <w:t>Normalized effects for variables 1-3 and their interactions considering UAE.</w:t>
      </w:r>
    </w:p>
    <w:p w:rsidR="00892537" w:rsidRDefault="00892537" w:rsidP="00892537"/>
    <w:p w:rsidR="00892537" w:rsidRDefault="00892537" w:rsidP="00892537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>
            <wp:extent cx="5400000" cy="3612729"/>
            <wp:effectExtent l="0" t="0" r="0" b="698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37D33E1-045B-4E56-A524-CCEDECE6CC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92537" w:rsidRDefault="00892537" w:rsidP="00892537">
      <w:pPr>
        <w:pStyle w:val="Caption"/>
        <w:jc w:val="center"/>
      </w:pPr>
      <w:r w:rsidRPr="00B973D5">
        <w:rPr>
          <w:b/>
          <w:bCs/>
        </w:rPr>
        <w:t>Fig</w:t>
      </w:r>
      <w:r w:rsidR="00874F52">
        <w:rPr>
          <w:b/>
          <w:bCs/>
        </w:rPr>
        <w:t>.</w:t>
      </w:r>
      <w:r w:rsidRPr="00B973D5">
        <w:rPr>
          <w:b/>
          <w:bCs/>
        </w:rPr>
        <w:t xml:space="preserve"> </w:t>
      </w:r>
      <w:proofErr w:type="spellStart"/>
      <w:r w:rsidR="00790B58">
        <w:rPr>
          <w:b/>
          <w:bCs/>
        </w:rPr>
        <w:t>S</w:t>
      </w:r>
      <w:r w:rsidR="00FA738D" w:rsidRPr="00B973D5">
        <w:rPr>
          <w:b/>
          <w:bCs/>
        </w:rPr>
        <w:fldChar w:fldCharType="begin"/>
      </w:r>
      <w:r w:rsidRPr="00B973D5">
        <w:rPr>
          <w:b/>
          <w:bCs/>
        </w:rPr>
        <w:instrText xml:space="preserve"> SEQ Figure \* ARABIC </w:instrText>
      </w:r>
      <w:r w:rsidR="00FA738D" w:rsidRPr="00B973D5">
        <w:rPr>
          <w:b/>
          <w:bCs/>
        </w:rPr>
        <w:fldChar w:fldCharType="separate"/>
      </w:r>
      <w:r>
        <w:rPr>
          <w:b/>
          <w:bCs/>
          <w:noProof/>
        </w:rPr>
        <w:t>3</w:t>
      </w:r>
      <w:proofErr w:type="spellEnd"/>
      <w:r w:rsidR="00FA738D" w:rsidRPr="00B973D5">
        <w:rPr>
          <w:b/>
          <w:bCs/>
        </w:rPr>
        <w:fldChar w:fldCharType="end"/>
      </w:r>
      <w:r w:rsidRPr="00B973D5">
        <w:rPr>
          <w:b/>
          <w:bCs/>
        </w:rPr>
        <w:t xml:space="preserve"> </w:t>
      </w:r>
      <w:r>
        <w:t>Normalized effects for variables 1-3 and their interactions considering MAE.</w:t>
      </w:r>
    </w:p>
    <w:p w:rsidR="00892537" w:rsidRPr="00892537" w:rsidRDefault="00892537" w:rsidP="00892537">
      <w:pPr>
        <w:jc w:val="center"/>
      </w:pPr>
    </w:p>
    <w:sectPr w:rsidR="00892537" w:rsidRPr="00892537" w:rsidSect="00790B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973D5"/>
    <w:rsid w:val="000214E7"/>
    <w:rsid w:val="00361934"/>
    <w:rsid w:val="004901D6"/>
    <w:rsid w:val="00584872"/>
    <w:rsid w:val="00713AE7"/>
    <w:rsid w:val="00790B58"/>
    <w:rsid w:val="00874F52"/>
    <w:rsid w:val="00892537"/>
    <w:rsid w:val="00B973D5"/>
    <w:rsid w:val="00EA1368"/>
    <w:rsid w:val="00F4376C"/>
    <w:rsid w:val="00FA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38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973D5"/>
    <w:pPr>
      <w:spacing w:after="200" w:line="240" w:lineRule="auto"/>
    </w:pPr>
    <w:rPr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3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AE7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oogle%20Drive\Acad&#234;micos\3-Doutorado\Mateus\Produ&#231;&#245;es-Artigos-Textos\Paper%20BMC%20(passiflora)\Figuras%20e%20tabelas!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oogle%20Drive\Acad&#234;micos\3-Doutorado\Mateus\Produ&#231;&#245;es-Artigos-Textos\Paper%20BMC%20(passiflora)\Figuras%20e%20tabelas!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Google%20Drive\Acad&#234;micos\3-Doutorado\Mateus\Produ&#231;&#245;es-Artigos-Textos\Paper%20BMC%20(passiflora)\Figuras%20e%20tabelas!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9.7441481481481462E-2"/>
          <c:y val="2.4734394065207201E-2"/>
          <c:w val="0.89577555555555566"/>
          <c:h val="0.82509264412734684"/>
        </c:manualLayout>
      </c:layout>
      <c:barChart>
        <c:barDir val="col"/>
        <c:grouping val="clustered"/>
        <c:ser>
          <c:idx val="0"/>
          <c:order val="0"/>
          <c:tx>
            <c:strRef>
              <c:f>'Graficos de efeito e influencia'!$P$3</c:f>
              <c:strCache>
                <c:ptCount val="1"/>
                <c:pt idx="0">
                  <c:v>Orientin</c:v>
                </c:pt>
              </c:strCache>
            </c:strRef>
          </c:tx>
          <c:spPr>
            <a:solidFill>
              <a:srgbClr val="FFAFAF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1"/>
              <c:layout>
                <c:manualLayout>
                  <c:x val="-1.4007479111484646E-2"/>
                  <c:y val="8.17825241693117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539-49F9-9B8F-90AC8DCBC71E}"/>
                </c:ext>
              </c:extLst>
            </c:dLbl>
            <c:dLbl>
              <c:idx val="2"/>
              <c:layout>
                <c:manualLayout>
                  <c:x val="-9.3383194076564289E-3"/>
                  <c:y val="7.366866744070136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539-49F9-9B8F-90AC8DCBC71E}"/>
                </c:ext>
              </c:extLst>
            </c:dLbl>
            <c:dLbl>
              <c:idx val="3"/>
              <c:layout>
                <c:manualLayout>
                  <c:x val="-1.1672899259570626E-2"/>
                  <c:y val="1.8260041380669171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539-49F9-9B8F-90AC8DCBC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influencia'!$J$24:$J$29</c:f>
              <c:numCache>
                <c:formatCode>0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12</c:v>
                </c:pt>
                <c:pt idx="4">
                  <c:v>13</c:v>
                </c:pt>
                <c:pt idx="5">
                  <c:v>23</c:v>
                </c:pt>
              </c:numCache>
            </c:numRef>
          </c:cat>
          <c:val>
            <c:numRef>
              <c:f>'Graficos de efeito e influencia'!$P$5:$P$10</c:f>
              <c:numCache>
                <c:formatCode>0.00</c:formatCode>
                <c:ptCount val="6"/>
                <c:pt idx="0">
                  <c:v>7.0000000000000021E-2</c:v>
                </c:pt>
                <c:pt idx="1">
                  <c:v>90.85</c:v>
                </c:pt>
                <c:pt idx="2">
                  <c:v>3.25</c:v>
                </c:pt>
                <c:pt idx="3">
                  <c:v>5.39</c:v>
                </c:pt>
                <c:pt idx="4">
                  <c:v>0.05</c:v>
                </c:pt>
                <c:pt idx="5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539-49F9-9B8F-90AC8DCBC71E}"/>
            </c:ext>
          </c:extLst>
        </c:ser>
        <c:ser>
          <c:idx val="1"/>
          <c:order val="1"/>
          <c:tx>
            <c:strRef>
              <c:f>'Graficos de efeito e influencia'!$Q$3</c:f>
              <c:strCache>
                <c:ptCount val="1"/>
                <c:pt idx="0">
                  <c:v>Isoorientin</c:v>
                </c:pt>
              </c:strCache>
            </c:strRef>
          </c:tx>
          <c:spPr>
            <a:solidFill>
              <a:srgbClr val="89D6CA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7.0037395557423238E-3"/>
                  <c:y val="4.089126208465436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539-49F9-9B8F-90AC8DCBC71E}"/>
                </c:ext>
              </c:extLst>
            </c:dLbl>
            <c:dLbl>
              <c:idx val="1"/>
              <c:layout>
                <c:manualLayout>
                  <c:x val="-4.2800136187599821E-17"/>
                  <c:y val="8.17825241693117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539-49F9-9B8F-90AC8DCBC71E}"/>
                </c:ext>
              </c:extLst>
            </c:dLbl>
            <c:dLbl>
              <c:idx val="3"/>
              <c:layout>
                <c:manualLayout>
                  <c:x val="-1.9507528652372059E-3"/>
                  <c:y val="2.290973205598046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5.1052481906546585E-2"/>
                      <c:h val="6.00228991067674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539-49F9-9B8F-90AC8DCBC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influencia'!$J$24:$J$29</c:f>
              <c:numCache>
                <c:formatCode>0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12</c:v>
                </c:pt>
                <c:pt idx="4">
                  <c:v>13</c:v>
                </c:pt>
                <c:pt idx="5">
                  <c:v>23</c:v>
                </c:pt>
              </c:numCache>
            </c:numRef>
          </c:cat>
          <c:val>
            <c:numRef>
              <c:f>'Graficos de efeito e influencia'!$Q$5:$Q$10</c:f>
              <c:numCache>
                <c:formatCode>0.00</c:formatCode>
                <c:ptCount val="6"/>
                <c:pt idx="0">
                  <c:v>0.63000000000000012</c:v>
                </c:pt>
                <c:pt idx="1">
                  <c:v>91.9</c:v>
                </c:pt>
                <c:pt idx="2">
                  <c:v>1.3</c:v>
                </c:pt>
                <c:pt idx="3">
                  <c:v>5.79</c:v>
                </c:pt>
                <c:pt idx="4">
                  <c:v>3.0000000000000002E-2</c:v>
                </c:pt>
                <c:pt idx="5">
                  <c:v>0.36000000000000004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7539-49F9-9B8F-90AC8DCBC71E}"/>
            </c:ext>
          </c:extLst>
        </c:ser>
        <c:ser>
          <c:idx val="2"/>
          <c:order val="2"/>
          <c:tx>
            <c:strRef>
              <c:f>'Graficos de efeito e influencia'!$R$3</c:f>
              <c:strCache>
                <c:ptCount val="1"/>
                <c:pt idx="0">
                  <c:v>Isovitexin</c:v>
                </c:pt>
              </c:strCache>
            </c:strRef>
          </c:tx>
          <c:spPr>
            <a:solidFill>
              <a:srgbClr val="ACC964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1.4007479111484601E-2"/>
                  <c:y val="4.0891262084655862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539-49F9-9B8F-90AC8DCBC71E}"/>
                </c:ext>
              </c:extLst>
            </c:dLbl>
            <c:dLbl>
              <c:idx val="1"/>
              <c:layout>
                <c:manualLayout>
                  <c:x val="1.6342058963398711E-2"/>
                  <c:y val="4.08912620846558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539-49F9-9B8F-90AC8DCBC71E}"/>
                </c:ext>
              </c:extLst>
            </c:dLbl>
            <c:dLbl>
              <c:idx val="2"/>
              <c:layout>
                <c:manualLayout>
                  <c:x val="7.0037395557423238E-3"/>
                  <c:y val="1.1050300116105428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539-49F9-9B8F-90AC8DCBC71E}"/>
                </c:ext>
              </c:extLst>
            </c:dLbl>
            <c:dLbl>
              <c:idx val="3"/>
              <c:layout>
                <c:manualLayout>
                  <c:x val="7.0037395557423238E-3"/>
                  <c:y val="8.1782524169311706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539-49F9-9B8F-90AC8DCBC7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influencia'!$J$24:$J$29</c:f>
              <c:numCache>
                <c:formatCode>0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12</c:v>
                </c:pt>
                <c:pt idx="4">
                  <c:v>13</c:v>
                </c:pt>
                <c:pt idx="5">
                  <c:v>23</c:v>
                </c:pt>
              </c:numCache>
            </c:numRef>
          </c:cat>
          <c:val>
            <c:numRef>
              <c:f>'Graficos de efeito e influencia'!$R$5:$R$10</c:f>
              <c:numCache>
                <c:formatCode>0.00</c:formatCode>
                <c:ptCount val="6"/>
                <c:pt idx="0">
                  <c:v>0.84000000000000008</c:v>
                </c:pt>
                <c:pt idx="1">
                  <c:v>91.179999999999993</c:v>
                </c:pt>
                <c:pt idx="2">
                  <c:v>3.94</c:v>
                </c:pt>
                <c:pt idx="3">
                  <c:v>2.86</c:v>
                </c:pt>
                <c:pt idx="4">
                  <c:v>0.37000000000000005</c:v>
                </c:pt>
                <c:pt idx="5">
                  <c:v>0.82000000000000006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539-49F9-9B8F-90AC8DCBC71E}"/>
            </c:ext>
          </c:extLst>
        </c:ser>
        <c:dLbls>
          <c:showVal val="1"/>
        </c:dLbls>
        <c:gapWidth val="100"/>
        <c:axId val="231072128"/>
        <c:axId val="231074432"/>
      </c:barChart>
      <c:lineChart>
        <c:grouping val="standard"/>
        <c:ser>
          <c:idx val="3"/>
          <c:order val="3"/>
          <c:tx>
            <c:strRef>
              <c:f>'Graficos de efeito e influencia'!$S$5</c:f>
              <c:strCache>
                <c:ptCount val="1"/>
                <c:pt idx="0">
                  <c:v>10.00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none"/>
          </c:marker>
          <c:dLbls>
            <c:delete val="1"/>
          </c:dLbls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forward val="0.5"/>
            <c:backward val="0.5"/>
          </c:trendline>
          <c:val>
            <c:numRef>
              <c:f>'Graficos de efeito e influencia'!$S$5:$S$10</c:f>
              <c:numCache>
                <c:formatCode>0.00</c:formatCode>
                <c:ptCount val="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7539-49F9-9B8F-90AC8DCBC71E}"/>
            </c:ext>
          </c:extLst>
        </c:ser>
        <c:dLbls>
          <c:showVal val="1"/>
        </c:dLbls>
        <c:marker val="1"/>
        <c:axId val="231072128"/>
        <c:axId val="231074432"/>
      </c:lineChart>
      <c:catAx>
        <c:axId val="23107212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>
                    <a:solidFill>
                      <a:sysClr val="windowText" lastClr="000000"/>
                    </a:solidFill>
                  </a:rPr>
                  <a:t>Variables/Interactions</a:t>
                </a:r>
              </a:p>
            </c:rich>
          </c:tx>
          <c:layout>
            <c:manualLayout>
              <c:xMode val="edge"/>
              <c:yMode val="edge"/>
              <c:x val="0.45622497059757572"/>
              <c:y val="0.94090266138147283"/>
            </c:manualLayout>
          </c:layout>
          <c:spPr>
            <a:noFill/>
            <a:ln>
              <a:noFill/>
            </a:ln>
            <a:effectLst/>
          </c:spPr>
        </c:title>
        <c:numFmt formatCode="0" sourceLinked="1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b" anchorCtr="0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1074432"/>
        <c:crosses val="autoZero"/>
        <c:lblAlgn val="ctr"/>
        <c:lblOffset val="100"/>
      </c:catAx>
      <c:valAx>
        <c:axId val="23107443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baseline="0">
                    <a:solidFill>
                      <a:sysClr val="windowText" lastClr="000000"/>
                    </a:solidFill>
                    <a:effectLst/>
                  </a:rPr>
                  <a:t>Effect  (%)</a:t>
                </a:r>
                <a:endParaRPr lang="pt-BR" sz="1000" b="0">
                  <a:solidFill>
                    <a:sysClr val="windowText" lastClr="000000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7.7202612493603232E-4"/>
              <c:y val="0.36207619136562841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0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31072128"/>
        <c:crossesAt val="0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55888783650881035"/>
          <c:y val="0.32787044526897913"/>
          <c:w val="0.18038462962962962"/>
          <c:h val="0.14825641678589488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0.10449449062034005"/>
          <c:y val="5.9355581637082239E-2"/>
          <c:w val="0.86520149446269412"/>
          <c:h val="0.78671785910695047"/>
        </c:manualLayout>
      </c:layout>
      <c:barChart>
        <c:barDir val="col"/>
        <c:grouping val="clustered"/>
        <c:ser>
          <c:idx val="0"/>
          <c:order val="0"/>
          <c:tx>
            <c:strRef>
              <c:f>'Graficos de efeito e influencia'!$P$22</c:f>
              <c:strCache>
                <c:ptCount val="1"/>
                <c:pt idx="0">
                  <c:v>Orientin</c:v>
                </c:pt>
              </c:strCache>
            </c:strRef>
          </c:tx>
          <c:spPr>
            <a:solidFill>
              <a:srgbClr val="FFAFAF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-7.0555555555555545E-3"/>
                  <c:y val="1.2450980392156863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AFF-45A0-8846-53C551045675}"/>
                </c:ext>
              </c:extLst>
            </c:dLbl>
            <c:dLbl>
              <c:idx val="3"/>
              <c:layout>
                <c:manualLayout>
                  <c:x val="-4.7037037037037056E-3"/>
                  <c:y val="4.1503267973856221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FF-45A0-8846-53C551045675}"/>
                </c:ext>
              </c:extLst>
            </c:dLbl>
            <c:dLbl>
              <c:idx val="4"/>
              <c:layout>
                <c:manualLayout>
                  <c:x val="-7.0555555555556421E-3"/>
                  <c:y val="1.2450980392156863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AFF-45A0-8846-53C551045675}"/>
                </c:ext>
              </c:extLst>
            </c:dLbl>
            <c:dLbl>
              <c:idx val="5"/>
              <c:layout>
                <c:manualLayout>
                  <c:x val="-7.0555555555555545E-3"/>
                  <c:y val="1.2450980392156863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FF-45A0-8846-53C551045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influencia'!$J$24:$J$29</c:f>
              <c:numCache>
                <c:formatCode>0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12</c:v>
                </c:pt>
                <c:pt idx="4">
                  <c:v>13</c:v>
                </c:pt>
                <c:pt idx="5">
                  <c:v>23</c:v>
                </c:pt>
              </c:numCache>
            </c:numRef>
          </c:cat>
          <c:val>
            <c:numRef>
              <c:f>'Graficos de efeito e influencia'!$P$24:$P$29</c:f>
              <c:numCache>
                <c:formatCode>0.00</c:formatCode>
                <c:ptCount val="6"/>
                <c:pt idx="0">
                  <c:v>86.910000000000011</c:v>
                </c:pt>
                <c:pt idx="1">
                  <c:v>11.229999999999999</c:v>
                </c:pt>
                <c:pt idx="2">
                  <c:v>0.88</c:v>
                </c:pt>
                <c:pt idx="3">
                  <c:v>0</c:v>
                </c:pt>
                <c:pt idx="4">
                  <c:v>0.96000000000000008</c:v>
                </c:pt>
                <c:pt idx="5">
                  <c:v>2.0000000000000004E-2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AFF-45A0-8846-53C551045675}"/>
            </c:ext>
          </c:extLst>
        </c:ser>
        <c:ser>
          <c:idx val="1"/>
          <c:order val="1"/>
          <c:tx>
            <c:strRef>
              <c:f>'Graficos de efeito e influencia'!$Q$22</c:f>
              <c:strCache>
                <c:ptCount val="1"/>
                <c:pt idx="0">
                  <c:v>Isoorientin</c:v>
                </c:pt>
              </c:strCache>
            </c:strRef>
          </c:tx>
          <c:spPr>
            <a:solidFill>
              <a:srgbClr val="89D6CA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0"/>
                  <c:y val="4.1503267973856221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FF-45A0-8846-53C551045675}"/>
                </c:ext>
              </c:extLst>
            </c:dLbl>
            <c:dLbl>
              <c:idx val="1"/>
              <c:layout>
                <c:manualLayout>
                  <c:x val="0"/>
                  <c:y val="1.574099494243072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AFF-45A0-8846-53C551045675}"/>
                </c:ext>
              </c:extLst>
            </c:dLbl>
            <c:dLbl>
              <c:idx val="5"/>
              <c:layout>
                <c:manualLayout>
                  <c:x val="0"/>
                  <c:y val="8.300653594771246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FF-45A0-8846-53C551045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influencia'!$J$24:$J$29</c:f>
              <c:numCache>
                <c:formatCode>0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12</c:v>
                </c:pt>
                <c:pt idx="4">
                  <c:v>13</c:v>
                </c:pt>
                <c:pt idx="5">
                  <c:v>23</c:v>
                </c:pt>
              </c:numCache>
            </c:numRef>
          </c:cat>
          <c:val>
            <c:numRef>
              <c:f>'Graficos de efeito e influencia'!$Q$24:$Q$29</c:f>
              <c:numCache>
                <c:formatCode>0.00</c:formatCode>
                <c:ptCount val="6"/>
                <c:pt idx="0">
                  <c:v>93.05</c:v>
                </c:pt>
                <c:pt idx="1">
                  <c:v>5.33</c:v>
                </c:pt>
                <c:pt idx="2">
                  <c:v>0.85000000000000009</c:v>
                </c:pt>
                <c:pt idx="3">
                  <c:v>6.0000000000000005E-2</c:v>
                </c:pt>
                <c:pt idx="4">
                  <c:v>0.70000000000000007</c:v>
                </c:pt>
                <c:pt idx="5">
                  <c:v>2.0000000000000004E-2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AFF-45A0-8846-53C551045675}"/>
            </c:ext>
          </c:extLst>
        </c:ser>
        <c:ser>
          <c:idx val="2"/>
          <c:order val="2"/>
          <c:tx>
            <c:strRef>
              <c:f>'Graficos de efeito e influencia'!$R$22</c:f>
              <c:strCache>
                <c:ptCount val="1"/>
                <c:pt idx="0">
                  <c:v>Isovitexin</c:v>
                </c:pt>
              </c:strCache>
            </c:strRef>
          </c:tx>
          <c:spPr>
            <a:solidFill>
              <a:srgbClr val="ACC964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9.4074074074073886E-3"/>
                  <c:y val="1.2450980392156844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FF-45A0-8846-53C551045675}"/>
                </c:ext>
              </c:extLst>
            </c:dLbl>
            <c:dLbl>
              <c:idx val="3"/>
              <c:layout>
                <c:manualLayout>
                  <c:x val="7.0555555555555545E-3"/>
                  <c:y val="4.1503267973856221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AFF-45A0-8846-53C551045675}"/>
                </c:ext>
              </c:extLst>
            </c:dLbl>
            <c:dLbl>
              <c:idx val="4"/>
              <c:layout>
                <c:manualLayout>
                  <c:x val="7.0555555555554695E-3"/>
                  <c:y val="8.300653594771246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AFF-45A0-8846-53C551045675}"/>
                </c:ext>
              </c:extLst>
            </c:dLbl>
            <c:dLbl>
              <c:idx val="5"/>
              <c:layout>
                <c:manualLayout>
                  <c:x val="9.4074074074074095E-3"/>
                  <c:y val="8.300653594771246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AFF-45A0-8846-53C5510456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influencia'!$J$24:$J$29</c:f>
              <c:numCache>
                <c:formatCode>0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12</c:v>
                </c:pt>
                <c:pt idx="4">
                  <c:v>13</c:v>
                </c:pt>
                <c:pt idx="5">
                  <c:v>23</c:v>
                </c:pt>
              </c:numCache>
            </c:numRef>
          </c:cat>
          <c:val>
            <c:numRef>
              <c:f>'Graficos de efeito e influencia'!$R$24:$R$29</c:f>
              <c:numCache>
                <c:formatCode>0.00</c:formatCode>
                <c:ptCount val="6"/>
                <c:pt idx="0">
                  <c:v>86.06</c:v>
                </c:pt>
                <c:pt idx="1">
                  <c:v>10.860000000000001</c:v>
                </c:pt>
                <c:pt idx="2">
                  <c:v>2.16</c:v>
                </c:pt>
                <c:pt idx="3">
                  <c:v>0.11</c:v>
                </c:pt>
                <c:pt idx="4">
                  <c:v>0.69000000000000006</c:v>
                </c:pt>
                <c:pt idx="5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CAFF-45A0-8846-53C551045675}"/>
            </c:ext>
          </c:extLst>
        </c:ser>
        <c:dLbls/>
        <c:gapWidth val="100"/>
        <c:axId val="258236416"/>
        <c:axId val="258238336"/>
      </c:barChart>
      <c:lineChart>
        <c:grouping val="standard"/>
        <c:ser>
          <c:idx val="3"/>
          <c:order val="3"/>
          <c:tx>
            <c:strRef>
              <c:f>'Graficos de efeito e influencia'!$S$23:$S$24</c:f>
              <c:strCache>
                <c:ptCount val="2"/>
                <c:pt idx="0">
                  <c:v>Influência (%)</c:v>
                </c:pt>
                <c:pt idx="1">
                  <c:v>10.00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forward val="0.5"/>
            <c:backward val="0.5"/>
          </c:trendline>
          <c:val>
            <c:numRef>
              <c:f>'Graficos de efeito e influencia'!$S$24:$S$29</c:f>
              <c:numCache>
                <c:formatCode>0.00</c:formatCode>
                <c:ptCount val="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CAFF-45A0-8846-53C551045675}"/>
            </c:ext>
          </c:extLst>
        </c:ser>
        <c:dLbls/>
        <c:marker val="1"/>
        <c:axId val="258236416"/>
        <c:axId val="258238336"/>
      </c:lineChart>
      <c:catAx>
        <c:axId val="25823641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>
                    <a:solidFill>
                      <a:sysClr val="windowText" lastClr="000000"/>
                    </a:solidFill>
                  </a:rPr>
                  <a:t>Variables/Interactions</a:t>
                </a:r>
              </a:p>
            </c:rich>
          </c:tx>
          <c:layout>
            <c:manualLayout>
              <c:xMode val="edge"/>
              <c:yMode val="edge"/>
              <c:x val="0.47321261098731598"/>
              <c:y val="0.91880197267722119"/>
            </c:manualLayout>
          </c:layout>
          <c:spPr>
            <a:noFill/>
            <a:ln>
              <a:noFill/>
            </a:ln>
            <a:effectLst/>
          </c:spPr>
        </c:title>
        <c:numFmt formatCode="0" sourceLinked="1"/>
        <c:tickLblPos val="low"/>
        <c:spPr>
          <a:noFill/>
          <a:ln w="9525" cap="flat" cmpd="sng" algn="ctr">
            <a:solidFill>
              <a:schemeClr val="tx1">
                <a:alpha val="96000"/>
              </a:schemeClr>
            </a:solidFill>
            <a:round/>
          </a:ln>
          <a:effectLst/>
        </c:spPr>
        <c:txPr>
          <a:bodyPr rot="-60000000" spcFirstLastPara="1" vertOverflow="ellipsis" vert="horz" wrap="square" anchor="b" anchorCtr="0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8238336"/>
        <c:crosses val="autoZero"/>
        <c:lblAlgn val="ctr"/>
        <c:lblOffset val="100"/>
      </c:catAx>
      <c:valAx>
        <c:axId val="258238336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baseline="0">
                    <a:solidFill>
                      <a:sysClr val="windowText" lastClr="000000"/>
                    </a:solidFill>
                    <a:effectLst/>
                  </a:rPr>
                  <a:t>Effect  (%)</a:t>
                </a:r>
                <a:endParaRPr lang="pt-BR" sz="1000">
                  <a:solidFill>
                    <a:sysClr val="windowText" lastClr="000000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1.6366666666666668E-2"/>
              <c:y val="0.35341209150326802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0"/>
        <c:minorTickMark val="out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8236416"/>
        <c:crossesAt val="0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38940018518518532"/>
          <c:y val="0.27187352941176468"/>
          <c:w val="0.16172444444444448"/>
          <c:h val="0.16843758169934644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>
        <c:manualLayout>
          <c:layoutTarget val="inner"/>
          <c:xMode val="edge"/>
          <c:yMode val="edge"/>
          <c:x val="9.9530555555555608E-2"/>
          <c:y val="8.2022100749805371E-2"/>
          <c:w val="0.90046925925925914"/>
          <c:h val="0.77598508247118392"/>
        </c:manualLayout>
      </c:layout>
      <c:barChart>
        <c:barDir val="col"/>
        <c:grouping val="clustered"/>
        <c:ser>
          <c:idx val="0"/>
          <c:order val="0"/>
          <c:tx>
            <c:strRef>
              <c:f>'Graficos de efeito e influencia'!$P$38</c:f>
              <c:strCache>
                <c:ptCount val="1"/>
                <c:pt idx="0">
                  <c:v>Orientin</c:v>
                </c:pt>
              </c:strCache>
            </c:strRef>
          </c:tx>
          <c:spPr>
            <a:solidFill>
              <a:srgbClr val="FFAFAF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-2.3518518518518411E-3"/>
                  <c:y val="1.0546044278438822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40-4886-960A-EFEE92EFE767}"/>
                </c:ext>
              </c:extLst>
            </c:dLbl>
            <c:dLbl>
              <c:idx val="1"/>
              <c:layout>
                <c:manualLayout>
                  <c:x val="-1.4111111111111133E-2"/>
                  <c:y val="3.5153480928129407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440-4886-960A-EFEE92EFE767}"/>
                </c:ext>
              </c:extLst>
            </c:dLbl>
            <c:dLbl>
              <c:idx val="2"/>
              <c:layout>
                <c:manualLayout>
                  <c:x val="-2.3518518518518518E-2"/>
                  <c:y val="7.0306961856258839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440-4886-960A-EFEE92EFE767}"/>
                </c:ext>
              </c:extLst>
            </c:dLbl>
            <c:dLbl>
              <c:idx val="3"/>
              <c:layout>
                <c:manualLayout>
                  <c:x val="-9.4074074074074095E-3"/>
                  <c:y val="1.054604427843869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440-4886-960A-EFEE92EFE767}"/>
                </c:ext>
              </c:extLst>
            </c:dLbl>
            <c:dLbl>
              <c:idx val="4"/>
              <c:layout>
                <c:manualLayout>
                  <c:x val="-1.1759259259259261E-2"/>
                  <c:y val="1.4061392371251757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440-4886-960A-EFEE92EFE767}"/>
                </c:ext>
              </c:extLst>
            </c:dLbl>
            <c:dLbl>
              <c:idx val="5"/>
              <c:layout>
                <c:manualLayout>
                  <c:x val="-1.8814814814814819E-2"/>
                  <c:y val="7.0306961856258839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440-4886-960A-EFEE92EFE767}"/>
                </c:ext>
              </c:extLst>
            </c:dLbl>
            <c:dLbl>
              <c:idx val="6"/>
              <c:layout>
                <c:manualLayout>
                  <c:x val="-1.6462962962962964E-2"/>
                  <c:y val="7.0306961856258839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440-4886-960A-EFEE92EFE767}"/>
                </c:ext>
              </c:extLst>
            </c:dLbl>
            <c:dLbl>
              <c:idx val="8"/>
              <c:layout>
                <c:manualLayout>
                  <c:x val="-8.623357172365549E-17"/>
                  <c:y val="-0.15467531608376936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440-4886-960A-EFEE92EFE7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influencia'!$J$40:$J$49</c:f>
              <c:numCache>
                <c:formatCode>0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23</c:v>
                </c:pt>
                <c:pt idx="8">
                  <c:v>24</c:v>
                </c:pt>
                <c:pt idx="9">
                  <c:v>34</c:v>
                </c:pt>
              </c:numCache>
            </c:numRef>
          </c:cat>
          <c:val>
            <c:numRef>
              <c:f>'Graficos de efeito e influencia'!$P$40:$P$49</c:f>
              <c:numCache>
                <c:formatCode>0.00</c:formatCode>
                <c:ptCount val="10"/>
                <c:pt idx="0">
                  <c:v>1.3095355975839189</c:v>
                </c:pt>
                <c:pt idx="1">
                  <c:v>4.7925537181899189</c:v>
                </c:pt>
                <c:pt idx="2">
                  <c:v>17.467075948113671</c:v>
                </c:pt>
                <c:pt idx="3">
                  <c:v>0.63372611149618796</c:v>
                </c:pt>
                <c:pt idx="4">
                  <c:v>3.0324784632141779</c:v>
                </c:pt>
                <c:pt idx="5">
                  <c:v>16.241707099712844</c:v>
                </c:pt>
                <c:pt idx="6">
                  <c:v>19.170214872759679</c:v>
                </c:pt>
                <c:pt idx="7">
                  <c:v>17.053668680067329</c:v>
                </c:pt>
                <c:pt idx="8">
                  <c:v>9.5157936429349448</c:v>
                </c:pt>
                <c:pt idx="9">
                  <c:v>10.78324586592732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440-4886-960A-EFEE92EFE767}"/>
            </c:ext>
          </c:extLst>
        </c:ser>
        <c:ser>
          <c:idx val="1"/>
          <c:order val="1"/>
          <c:tx>
            <c:strRef>
              <c:f>'Graficos de efeito e influencia'!$Q$38</c:f>
              <c:strCache>
                <c:ptCount val="1"/>
                <c:pt idx="0">
                  <c:v>Isoorientin</c:v>
                </c:pt>
              </c:strCache>
            </c:strRef>
          </c:tx>
          <c:spPr>
            <a:solidFill>
              <a:srgbClr val="89D6CA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0"/>
                  <c:y val="-2.8122784742503518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440-4886-960A-EFEE92EFE767}"/>
                </c:ext>
              </c:extLst>
            </c:dLbl>
            <c:dLbl>
              <c:idx val="1"/>
              <c:layout>
                <c:manualLayout>
                  <c:x val="0"/>
                  <c:y val="-0.15115996799095655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440-4886-960A-EFEE92EFE767}"/>
                </c:ext>
              </c:extLst>
            </c:dLbl>
            <c:dLbl>
              <c:idx val="3"/>
              <c:layout>
                <c:manualLayout>
                  <c:x val="-1.1759259259259304E-2"/>
                  <c:y val="1.0546044278438822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440-4886-960A-EFEE92EFE767}"/>
                </c:ext>
              </c:extLst>
            </c:dLbl>
            <c:dLbl>
              <c:idx val="4"/>
              <c:layout>
                <c:manualLayout>
                  <c:x val="-4.7037037037037056E-3"/>
                  <c:y val="7.0306961856258839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440-4886-960A-EFEE92EFE767}"/>
                </c:ext>
              </c:extLst>
            </c:dLbl>
            <c:dLbl>
              <c:idx val="5"/>
              <c:layout>
                <c:manualLayout>
                  <c:x val="0"/>
                  <c:y val="1.0546044278438822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440-4886-960A-EFEE92EFE767}"/>
                </c:ext>
              </c:extLst>
            </c:dLbl>
            <c:dLbl>
              <c:idx val="7"/>
              <c:layout>
                <c:manualLayout>
                  <c:x val="1.4111111111111197E-2"/>
                  <c:y val="1.0546044278438759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9440-4886-960A-EFEE92EFE767}"/>
                </c:ext>
              </c:extLst>
            </c:dLbl>
            <c:dLbl>
              <c:idx val="8"/>
              <c:layout>
                <c:manualLayout>
                  <c:x val="8.623357172365549E-17"/>
                  <c:y val="-0.2390436703112799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440-4886-960A-EFEE92EFE767}"/>
                </c:ext>
              </c:extLst>
            </c:dLbl>
            <c:dLbl>
              <c:idx val="9"/>
              <c:layout>
                <c:manualLayout>
                  <c:x val="9.4074074074072377E-3"/>
                  <c:y val="-1.28894607734967E-16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9440-4886-960A-EFEE92EFE7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influencia'!$J$40:$J$49</c:f>
              <c:numCache>
                <c:formatCode>0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23</c:v>
                </c:pt>
                <c:pt idx="8">
                  <c:v>24</c:v>
                </c:pt>
                <c:pt idx="9">
                  <c:v>34</c:v>
                </c:pt>
              </c:numCache>
            </c:numRef>
          </c:cat>
          <c:val>
            <c:numRef>
              <c:f>'Graficos de efeito e influencia'!$Q$40:$Q$49</c:f>
              <c:numCache>
                <c:formatCode>0.00</c:formatCode>
                <c:ptCount val="10"/>
                <c:pt idx="0">
                  <c:v>1.57</c:v>
                </c:pt>
                <c:pt idx="1">
                  <c:v>0.55000000000000004</c:v>
                </c:pt>
                <c:pt idx="2">
                  <c:v>22.3</c:v>
                </c:pt>
                <c:pt idx="3">
                  <c:v>2.36</c:v>
                </c:pt>
                <c:pt idx="4">
                  <c:v>5.45</c:v>
                </c:pt>
                <c:pt idx="5">
                  <c:v>17.8</c:v>
                </c:pt>
                <c:pt idx="6">
                  <c:v>24.5</c:v>
                </c:pt>
                <c:pt idx="7">
                  <c:v>12.5</c:v>
                </c:pt>
                <c:pt idx="8">
                  <c:v>7.78</c:v>
                </c:pt>
                <c:pt idx="9">
                  <c:v>5.1899999999999995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9440-4886-960A-EFEE92EFE767}"/>
            </c:ext>
          </c:extLst>
        </c:ser>
        <c:ser>
          <c:idx val="2"/>
          <c:order val="2"/>
          <c:tx>
            <c:strRef>
              <c:f>'Graficos de efeito e influencia'!$R$38</c:f>
              <c:strCache>
                <c:ptCount val="1"/>
                <c:pt idx="0">
                  <c:v>Isovitexin</c:v>
                </c:pt>
              </c:strCache>
            </c:strRef>
          </c:tx>
          <c:spPr>
            <a:solidFill>
              <a:srgbClr val="ACC964"/>
            </a:solidFill>
            <a:ln w="6350">
              <a:solidFill>
                <a:schemeClr val="tx1"/>
              </a:solidFill>
            </a:ln>
            <a:effectLst/>
          </c:spPr>
          <c:dLbls>
            <c:dLbl>
              <c:idx val="0"/>
              <c:layout>
                <c:manualLayout>
                  <c:x val="1.1759259259259261E-2"/>
                  <c:y val="7.0306961856258839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9440-4886-960A-EFEE92EFE767}"/>
                </c:ext>
              </c:extLst>
            </c:dLbl>
            <c:dLbl>
              <c:idx val="1"/>
              <c:layout>
                <c:manualLayout>
                  <c:x val="1.1759259259259261E-2"/>
                  <c:y val="7.0306961856258839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440-4886-960A-EFEE92EFE767}"/>
                </c:ext>
              </c:extLst>
            </c:dLbl>
            <c:dLbl>
              <c:idx val="2"/>
              <c:layout>
                <c:manualLayout>
                  <c:x val="1.6462962962962964E-2"/>
                  <c:y val="1.0546044278438759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9440-4886-960A-EFEE92EFE767}"/>
                </c:ext>
              </c:extLst>
            </c:dLbl>
            <c:dLbl>
              <c:idx val="4"/>
              <c:layout>
                <c:manualLayout>
                  <c:x val="1.1759259259259176E-2"/>
                  <c:y val="1.0546044278438822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440-4886-960A-EFEE92EFE767}"/>
                </c:ext>
              </c:extLst>
            </c:dLbl>
            <c:dLbl>
              <c:idx val="5"/>
              <c:layout>
                <c:manualLayout>
                  <c:x val="1.4111111111111111E-2"/>
                  <c:y val="1.054604427843869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9440-4886-960A-EFEE92EFE767}"/>
                </c:ext>
              </c:extLst>
            </c:dLbl>
            <c:dLbl>
              <c:idx val="6"/>
              <c:layout>
                <c:manualLayout>
                  <c:x val="1.1759259259259176E-2"/>
                  <c:y val="7.030696185625818E-3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9440-4886-960A-EFEE92EFE767}"/>
                </c:ext>
              </c:extLst>
            </c:dLbl>
            <c:dLbl>
              <c:idx val="7"/>
              <c:layout>
                <c:manualLayout>
                  <c:x val="1.4111111111111111E-2"/>
                  <c:y val="1.0546044278438759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9440-4886-960A-EFEE92EFE767}"/>
                </c:ext>
              </c:extLst>
            </c:dLbl>
            <c:dLbl>
              <c:idx val="8"/>
              <c:layout>
                <c:manualLayout>
                  <c:x val="7.0555555555555545E-3"/>
                  <c:y val="1.0546044278438822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440-4886-960A-EFEE92EFE767}"/>
                </c:ext>
              </c:extLst>
            </c:dLbl>
            <c:dLbl>
              <c:idx val="9"/>
              <c:layout>
                <c:manualLayout>
                  <c:x val="1.6462962962962964E-2"/>
                  <c:y val="1.0546044278438691E-2"/>
                </c:manualLayout>
              </c:layout>
              <c:dLblPos val="outEnd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9440-4886-960A-EFEE92EFE7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'Graficos de efeito e influencia'!$J$40:$J$49</c:f>
              <c:numCache>
                <c:formatCode>0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23</c:v>
                </c:pt>
                <c:pt idx="8">
                  <c:v>24</c:v>
                </c:pt>
                <c:pt idx="9">
                  <c:v>34</c:v>
                </c:pt>
              </c:numCache>
            </c:numRef>
          </c:cat>
          <c:val>
            <c:numRef>
              <c:f>'Graficos de efeito e influencia'!$R$40:$R$49</c:f>
              <c:numCache>
                <c:formatCode>0.00</c:formatCode>
                <c:ptCount val="10"/>
                <c:pt idx="0">
                  <c:v>0.85000000000000009</c:v>
                </c:pt>
                <c:pt idx="1">
                  <c:v>3.42</c:v>
                </c:pt>
                <c:pt idx="2">
                  <c:v>10.9</c:v>
                </c:pt>
                <c:pt idx="3">
                  <c:v>26.1</c:v>
                </c:pt>
                <c:pt idx="4">
                  <c:v>5.09</c:v>
                </c:pt>
                <c:pt idx="5">
                  <c:v>11.6</c:v>
                </c:pt>
                <c:pt idx="6">
                  <c:v>14.2</c:v>
                </c:pt>
                <c:pt idx="7">
                  <c:v>10.9</c:v>
                </c:pt>
                <c:pt idx="8">
                  <c:v>13.1</c:v>
                </c:pt>
                <c:pt idx="9">
                  <c:v>3.8299999999999996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B-9440-4886-960A-EFEE92EFE767}"/>
            </c:ext>
          </c:extLst>
        </c:ser>
        <c:dLbls/>
        <c:axId val="258527232"/>
        <c:axId val="258529152"/>
      </c:barChart>
      <c:lineChart>
        <c:grouping val="standard"/>
        <c:ser>
          <c:idx val="3"/>
          <c:order val="3"/>
          <c:tx>
            <c:strRef>
              <c:f>'Graficos de efeito e influencia'!$S$39</c:f>
              <c:strCache>
                <c:ptCount val="1"/>
                <c:pt idx="0">
                  <c:v>10.00</c:v>
                </c:pt>
              </c:strCache>
            </c:strRef>
          </c:tx>
          <c:spPr>
            <a:ln w="28575" cap="rnd">
              <a:noFill/>
              <a:prstDash val="sysDot"/>
              <a:round/>
            </a:ln>
            <a:effectLst/>
          </c:spPr>
          <c:marker>
            <c:symbol val="none"/>
          </c:marker>
          <c:trendline>
            <c:spPr>
              <a:ln w="19050" cap="rnd">
                <a:solidFill>
                  <a:srgbClr val="FF0000"/>
                </a:solidFill>
                <a:prstDash val="sysDot"/>
              </a:ln>
              <a:effectLst/>
            </c:spPr>
            <c:trendlineType val="linear"/>
            <c:backward val="0.5"/>
          </c:trendline>
          <c:cat>
            <c:numRef>
              <c:f>'Graficos de efeito e influencia'!$J$40:$J$49</c:f>
              <c:numCache>
                <c:formatCode>0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12</c:v>
                </c:pt>
                <c:pt idx="5">
                  <c:v>13</c:v>
                </c:pt>
                <c:pt idx="6">
                  <c:v>14</c:v>
                </c:pt>
                <c:pt idx="7">
                  <c:v>23</c:v>
                </c:pt>
                <c:pt idx="8">
                  <c:v>24</c:v>
                </c:pt>
                <c:pt idx="9">
                  <c:v>34</c:v>
                </c:pt>
              </c:numCache>
            </c:numRef>
          </c:cat>
          <c:val>
            <c:numRef>
              <c:f>'Graficos de efeito e influencia'!$S$39:$S$50</c:f>
              <c:numCache>
                <c:formatCode>0.00</c:formatCode>
                <c:ptCount val="10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  <c:pt idx="6">
                  <c:v>10</c:v>
                </c:pt>
                <c:pt idx="7">
                  <c:v>10</c:v>
                </c:pt>
                <c:pt idx="8">
                  <c:v>10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D-9440-4886-960A-EFEE92EFE767}"/>
            </c:ext>
          </c:extLst>
        </c:ser>
        <c:dLbls/>
        <c:marker val="1"/>
        <c:axId val="258527232"/>
        <c:axId val="258529152"/>
      </c:lineChart>
      <c:catAx>
        <c:axId val="258527232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>
                    <a:solidFill>
                      <a:sysClr val="windowText" lastClr="000000"/>
                    </a:solidFill>
                  </a:rPr>
                  <a:t>Variables/Interactions</a:t>
                </a:r>
              </a:p>
            </c:rich>
          </c:tx>
          <c:layout>
            <c:manualLayout>
              <c:xMode val="edge"/>
              <c:yMode val="edge"/>
              <c:x val="0.48742375532775567"/>
              <c:y val="0.92786863477486103"/>
            </c:manualLayout>
          </c:layout>
          <c:spPr>
            <a:noFill/>
            <a:ln>
              <a:noFill/>
            </a:ln>
            <a:effectLst/>
          </c:spPr>
        </c:title>
        <c:numFmt formatCode="0" sourceLinked="1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b" anchorCtr="0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8529152"/>
        <c:crosses val="autoZero"/>
        <c:lblAlgn val="ctr"/>
        <c:lblOffset val="100"/>
      </c:catAx>
      <c:valAx>
        <c:axId val="258529152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sz="1000" b="0" i="0" baseline="0">
                    <a:solidFill>
                      <a:sysClr val="windowText" lastClr="000000"/>
                    </a:solidFill>
                    <a:effectLst/>
                  </a:rPr>
                  <a:t>Effect (%)</a:t>
                </a:r>
                <a:endParaRPr lang="pt-BR" sz="1000">
                  <a:solidFill>
                    <a:sysClr val="windowText" lastClr="000000"/>
                  </a:solidFill>
                  <a:effectLst/>
                </a:endParaRPr>
              </a:p>
            </c:rich>
          </c:tx>
          <c:layout>
            <c:manualLayout>
              <c:xMode val="edge"/>
              <c:yMode val="edge"/>
              <c:x val="1.0958518518518522E-2"/>
              <c:y val="0.3775395275981121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0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58527232"/>
        <c:crossesAt val="0"/>
        <c:crossBetween val="between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ayout>
        <c:manualLayout>
          <c:xMode val="edge"/>
          <c:yMode val="edge"/>
          <c:x val="0.10105037037037036"/>
          <c:y val="7.427017083207739E-2"/>
          <c:w val="0.16892444444444449"/>
          <c:h val="0.1548411187221627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 Segatto</dc:creator>
  <cp:lastModifiedBy>0016236</cp:lastModifiedBy>
  <cp:revision>3</cp:revision>
  <dcterms:created xsi:type="dcterms:W3CDTF">2020-07-29T14:24:00Z</dcterms:created>
  <dcterms:modified xsi:type="dcterms:W3CDTF">2020-09-11T02:38:00Z</dcterms:modified>
</cp:coreProperties>
</file>