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9.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0.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11.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12.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3.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14.xml" ContentType="application/vnd.openxmlformats-officedocument.drawingml.chartshapes+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15.xml" ContentType="application/vnd.openxmlformats-officedocument.drawingml.chartshapes+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16.xml" ContentType="application/vnd.openxmlformats-officedocument.drawingml.chartshapes+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17.xml" ContentType="application/vnd.openxmlformats-officedocument.drawingml.chartshapes+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drawings/drawing18.xml" ContentType="application/vnd.openxmlformats-officedocument.drawingml.chartshapes+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drawings/drawing19.xml" ContentType="application/vnd.openxmlformats-officedocument.drawingml.chartshapes+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drawings/drawing20.xml" ContentType="application/vnd.openxmlformats-officedocument.drawingml.chartshapes+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drawings/drawing21.xml" ContentType="application/vnd.openxmlformats-officedocument.drawingml.chartshapes+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drawings/drawing22.xml" ContentType="application/vnd.openxmlformats-officedocument.drawingml.chartshapes+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drawings/drawing23.xml" ContentType="application/vnd.openxmlformats-officedocument.drawingml.chartshapes+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drawings/drawing24.xml" ContentType="application/vnd.openxmlformats-officedocument.drawingml.chartshapes+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drawings/drawing25.xml" ContentType="application/vnd.openxmlformats-officedocument.drawingml.chartshapes+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drawings/drawing26.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F715F9" w14:textId="70AB8E43" w:rsidR="00BF0FA0" w:rsidRDefault="00BF0FA0" w:rsidP="00BF0FA0">
      <w:pPr>
        <w:spacing w:line="480" w:lineRule="auto"/>
        <w:rPr>
          <w:b/>
          <w:bCs/>
        </w:rPr>
      </w:pPr>
      <w:r>
        <w:rPr>
          <w:b/>
          <w:bCs/>
        </w:rPr>
        <w:t xml:space="preserve">Supplementary Material </w:t>
      </w:r>
    </w:p>
    <w:p w14:paraId="5DAE9618" w14:textId="77777777" w:rsidR="00BF0FA0" w:rsidRDefault="00BF0FA0" w:rsidP="00BF0FA0">
      <w:pPr>
        <w:spacing w:line="480" w:lineRule="auto"/>
        <w:rPr>
          <w:b/>
          <w:bCs/>
        </w:rPr>
      </w:pPr>
    </w:p>
    <w:p w14:paraId="73293FD9" w14:textId="3B12DCD4" w:rsidR="00BF0FA0" w:rsidRPr="00E51D5D" w:rsidRDefault="00BF0FA0" w:rsidP="00BF0FA0">
      <w:pPr>
        <w:spacing w:line="480" w:lineRule="auto"/>
        <w:rPr>
          <w:b/>
          <w:bCs/>
        </w:rPr>
      </w:pPr>
      <w:r w:rsidRPr="00E51D5D">
        <w:rPr>
          <w:b/>
          <w:bCs/>
        </w:rPr>
        <w:t>Title</w:t>
      </w:r>
    </w:p>
    <w:p w14:paraId="10835049" w14:textId="77777777" w:rsidR="00BF0FA0" w:rsidRPr="001F2633" w:rsidRDefault="00BF0FA0" w:rsidP="00BF0FA0">
      <w:pPr>
        <w:spacing w:line="480" w:lineRule="auto"/>
      </w:pPr>
      <w:r>
        <w:t xml:space="preserve">Reliability of </w:t>
      </w:r>
      <w:r w:rsidRPr="001F2633">
        <w:t xml:space="preserve">A Dried Urine Test for Comprehensive Assessment of Urine Hormones and Metabolites </w:t>
      </w:r>
    </w:p>
    <w:p w14:paraId="18ABBC17" w14:textId="77777777" w:rsidR="00BF0FA0" w:rsidRDefault="00BF0FA0" w:rsidP="00BF0FA0">
      <w:pPr>
        <w:spacing w:line="480" w:lineRule="auto"/>
      </w:pPr>
    </w:p>
    <w:p w14:paraId="0F5B8158" w14:textId="77777777" w:rsidR="00BF0FA0" w:rsidRPr="00E51D5D" w:rsidRDefault="00BF0FA0" w:rsidP="00BF0FA0">
      <w:pPr>
        <w:spacing w:line="480" w:lineRule="auto"/>
        <w:rPr>
          <w:b/>
          <w:bCs/>
        </w:rPr>
      </w:pPr>
      <w:r w:rsidRPr="00E51D5D">
        <w:rPr>
          <w:b/>
          <w:bCs/>
        </w:rPr>
        <w:t>Authors</w:t>
      </w:r>
    </w:p>
    <w:p w14:paraId="447DCF48" w14:textId="77777777" w:rsidR="00BF0FA0" w:rsidRDefault="00BF0FA0" w:rsidP="00BF0FA0">
      <w:pPr>
        <w:spacing w:line="480" w:lineRule="auto"/>
      </w:pPr>
      <w:r>
        <w:t>Mark Newman, Precision Analytical, Inc. 3138 NE Rivergate Street #301C, McMinnville, OR 97128 USA, mnewman@dutchtest.com (Corresponding author)</w:t>
      </w:r>
    </w:p>
    <w:p w14:paraId="2985CD7B" w14:textId="77777777" w:rsidR="00BF0FA0" w:rsidRDefault="00BF0FA0" w:rsidP="00BF0FA0">
      <w:pPr>
        <w:spacing w:line="480" w:lineRule="auto"/>
      </w:pPr>
      <w:r>
        <w:t xml:space="preserve">Desmond A. Curran, Precision Analytical, Inc. 3138 NE Rivergate Street #301C, McMinnville, OR 97128 USA, </w:t>
      </w:r>
      <w:hyperlink r:id="rId5" w:history="1">
        <w:r w:rsidRPr="006D1894">
          <w:rPr>
            <w:rStyle w:val="Hyperlink"/>
          </w:rPr>
          <w:t>dcurran@dutchtest.com</w:t>
        </w:r>
      </w:hyperlink>
    </w:p>
    <w:p w14:paraId="4851D52A" w14:textId="77777777" w:rsidR="00BF0FA0" w:rsidRDefault="00BF0FA0" w:rsidP="00042CB6">
      <w:pPr>
        <w:spacing w:line="480" w:lineRule="auto"/>
        <w:rPr>
          <w:rFonts w:eastAsiaTheme="minorHAnsi"/>
          <w:b/>
          <w:bCs/>
          <w:lang w:eastAsia="en-US"/>
        </w:rPr>
      </w:pPr>
    </w:p>
    <w:p w14:paraId="66CD75B3" w14:textId="77777777" w:rsidR="00BF0FA0" w:rsidRDefault="00BF0FA0" w:rsidP="00042CB6">
      <w:pPr>
        <w:spacing w:line="480" w:lineRule="auto"/>
        <w:rPr>
          <w:rFonts w:eastAsiaTheme="minorHAnsi"/>
          <w:b/>
          <w:bCs/>
          <w:lang w:eastAsia="en-US"/>
        </w:rPr>
      </w:pPr>
    </w:p>
    <w:p w14:paraId="0265C2BB" w14:textId="007D917C" w:rsidR="00042CB6" w:rsidRDefault="00042CB6" w:rsidP="00042CB6">
      <w:pPr>
        <w:spacing w:line="480" w:lineRule="auto"/>
        <w:rPr>
          <w:rFonts w:eastAsiaTheme="minorHAnsi"/>
          <w:b/>
          <w:bCs/>
          <w:lang w:eastAsia="en-US"/>
        </w:rPr>
      </w:pPr>
      <w:r w:rsidRPr="009D4BCF">
        <w:rPr>
          <w:rFonts w:eastAsiaTheme="minorHAnsi"/>
          <w:b/>
          <w:bCs/>
          <w:lang w:eastAsia="en-US"/>
        </w:rPr>
        <w:t xml:space="preserve">Figure titles and legends for </w:t>
      </w:r>
      <w:r>
        <w:rPr>
          <w:rFonts w:eastAsiaTheme="minorHAnsi"/>
          <w:b/>
          <w:bCs/>
          <w:lang w:eastAsia="en-US"/>
        </w:rPr>
        <w:t>supplemental</w:t>
      </w:r>
      <w:r w:rsidRPr="009D4BCF">
        <w:rPr>
          <w:rFonts w:eastAsiaTheme="minorHAnsi"/>
          <w:b/>
          <w:bCs/>
          <w:lang w:eastAsia="en-US"/>
        </w:rPr>
        <w:t xml:space="preserve"> files</w:t>
      </w:r>
    </w:p>
    <w:p w14:paraId="6C43004F" w14:textId="77777777" w:rsidR="00BF0FA0" w:rsidRDefault="00BF0FA0" w:rsidP="00042CB6">
      <w:pPr>
        <w:spacing w:line="480" w:lineRule="auto"/>
        <w:rPr>
          <w:rFonts w:eastAsiaTheme="minorHAnsi"/>
          <w:b/>
          <w:bCs/>
          <w:lang w:eastAsia="en-US"/>
        </w:rPr>
      </w:pPr>
    </w:p>
    <w:p w14:paraId="14EC3656" w14:textId="77777777" w:rsidR="00042CB6" w:rsidRPr="009D4BCF" w:rsidRDefault="00042CB6" w:rsidP="00042CB6">
      <w:pPr>
        <w:spacing w:line="480" w:lineRule="auto"/>
        <w:rPr>
          <w:rFonts w:eastAsiaTheme="minorHAnsi"/>
          <w:lang w:eastAsia="en-US"/>
        </w:rPr>
      </w:pPr>
      <w:r w:rsidRPr="009D4BCF">
        <w:rPr>
          <w:rFonts w:eastAsiaTheme="minorHAnsi"/>
          <w:b/>
          <w:bCs/>
          <w:lang w:eastAsia="en-US"/>
        </w:rPr>
        <w:t xml:space="preserve">Supplemental Figure 1. </w:t>
      </w:r>
      <w:r w:rsidRPr="009D4BCF">
        <w:rPr>
          <w:rFonts w:eastAsiaTheme="minorHAnsi"/>
          <w:lang w:eastAsia="en-US"/>
        </w:rPr>
        <w:t xml:space="preserve">Correlations between the liquid versus dried measurements for selected urine hormones. Reported correlation coefficients are Spearman correlations. </w:t>
      </w:r>
    </w:p>
    <w:p w14:paraId="44ED2FC6" w14:textId="616FD4BA" w:rsidR="00042CB6" w:rsidRDefault="00042CB6" w:rsidP="00042CB6">
      <w:pPr>
        <w:spacing w:line="480" w:lineRule="auto"/>
        <w:rPr>
          <w:rFonts w:eastAsiaTheme="minorHAnsi"/>
          <w:lang w:eastAsia="en-US"/>
        </w:rPr>
      </w:pPr>
      <w:r w:rsidRPr="009D4BCF">
        <w:rPr>
          <w:rFonts w:eastAsiaTheme="minorHAnsi"/>
          <w:lang w:eastAsia="en-US"/>
        </w:rPr>
        <w:t>Cr = creatinine, OH = hydroxy</w:t>
      </w:r>
    </w:p>
    <w:p w14:paraId="1A40DCE2" w14:textId="77777777" w:rsidR="00BF0FA0" w:rsidRPr="009D4BCF" w:rsidRDefault="00BF0FA0" w:rsidP="00042CB6">
      <w:pPr>
        <w:spacing w:line="480" w:lineRule="auto"/>
        <w:rPr>
          <w:rFonts w:eastAsiaTheme="minorHAnsi"/>
          <w:lang w:eastAsia="en-US"/>
        </w:rPr>
      </w:pPr>
    </w:p>
    <w:p w14:paraId="5A4EA80E" w14:textId="45668080" w:rsidR="00042CB6" w:rsidRDefault="00042CB6" w:rsidP="00042CB6">
      <w:pPr>
        <w:spacing w:line="480" w:lineRule="auto"/>
        <w:rPr>
          <w:rFonts w:eastAsiaTheme="minorHAnsi"/>
          <w:lang w:eastAsia="en-US"/>
        </w:rPr>
      </w:pPr>
      <w:r w:rsidRPr="009D4BCF">
        <w:rPr>
          <w:rFonts w:eastAsiaTheme="minorHAnsi"/>
          <w:b/>
          <w:bCs/>
          <w:lang w:eastAsia="en-US"/>
        </w:rPr>
        <w:t xml:space="preserve">Supplemental Figure 2. </w:t>
      </w:r>
      <w:r w:rsidRPr="009D4BCF">
        <w:rPr>
          <w:rFonts w:eastAsiaTheme="minorHAnsi"/>
          <w:lang w:eastAsia="en-US"/>
        </w:rPr>
        <w:t>Correlations between the liquid versus dried measurements for selected urine organic acids. Reported correlation coefficients are Spearman correlations. Cr=creatinine, 5-HIAA = 5-hydroxyindoleacetic acid</w:t>
      </w:r>
    </w:p>
    <w:p w14:paraId="085C8366" w14:textId="77777777" w:rsidR="00BF0FA0" w:rsidRDefault="00BF0FA0" w:rsidP="00042CB6">
      <w:pPr>
        <w:spacing w:line="480" w:lineRule="auto"/>
        <w:rPr>
          <w:rFonts w:eastAsiaTheme="minorHAnsi"/>
          <w:lang w:eastAsia="en-US"/>
        </w:rPr>
      </w:pPr>
    </w:p>
    <w:p w14:paraId="1691F4DC" w14:textId="60298BD0" w:rsidR="00042CB6" w:rsidRDefault="00042CB6" w:rsidP="00042CB6">
      <w:pPr>
        <w:spacing w:line="480" w:lineRule="auto"/>
        <w:rPr>
          <w:rFonts w:eastAsiaTheme="minorHAnsi"/>
          <w:lang w:eastAsia="en-US"/>
        </w:rPr>
      </w:pPr>
      <w:r w:rsidRPr="009D4BCF">
        <w:rPr>
          <w:rFonts w:eastAsiaTheme="minorHAnsi"/>
          <w:b/>
          <w:bCs/>
          <w:lang w:eastAsia="en-US"/>
        </w:rPr>
        <w:t xml:space="preserve">Supplemental Figure 3. </w:t>
      </w:r>
      <w:r w:rsidRPr="009D4BCF">
        <w:rPr>
          <w:rFonts w:eastAsiaTheme="minorHAnsi"/>
          <w:lang w:eastAsia="en-US"/>
        </w:rPr>
        <w:t>Correlations between the 24-h urine collection and 4-spot (DUTCH) urine collection measurements. Reported correlation coefficients are Spearman correlations.</w:t>
      </w:r>
    </w:p>
    <w:p w14:paraId="34E58766" w14:textId="77777777" w:rsidR="00BF0FA0" w:rsidRDefault="00BF0FA0" w:rsidP="00042CB6">
      <w:pPr>
        <w:spacing w:line="480" w:lineRule="auto"/>
        <w:rPr>
          <w:rFonts w:eastAsiaTheme="minorHAnsi"/>
          <w:b/>
          <w:bCs/>
          <w:lang w:eastAsia="en-US"/>
        </w:rPr>
      </w:pPr>
    </w:p>
    <w:p w14:paraId="786B523E" w14:textId="340D2B01" w:rsidR="00042CB6" w:rsidRDefault="00042CB6" w:rsidP="00042CB6">
      <w:pPr>
        <w:spacing w:line="480" w:lineRule="auto"/>
        <w:rPr>
          <w:rFonts w:eastAsiaTheme="minorHAnsi"/>
          <w:lang w:eastAsia="en-US"/>
        </w:rPr>
      </w:pPr>
      <w:r w:rsidRPr="009D4BCF">
        <w:rPr>
          <w:rFonts w:eastAsiaTheme="minorHAnsi"/>
          <w:b/>
          <w:bCs/>
          <w:lang w:eastAsia="en-US"/>
        </w:rPr>
        <w:t xml:space="preserve">Supplemental Figure 4. </w:t>
      </w:r>
      <w:r w:rsidRPr="009D4BCF">
        <w:rPr>
          <w:rFonts w:eastAsiaTheme="minorHAnsi"/>
          <w:lang w:eastAsia="en-US"/>
        </w:rPr>
        <w:t xml:space="preserve">Correlations between the 24-h urine collection and the 4-spot (DUTCH) urine collection estradiol measurements with (C) and without the two creatinine (Cr) corrections (A &amp; B). The traditional creatinine correction (B) is simply dividing by the amount of creatinine in the sample. The full correction (A) also accounts for differences in expected </w:t>
      </w:r>
      <w:r w:rsidRPr="009D4BCF">
        <w:rPr>
          <w:rFonts w:eastAsiaTheme="minorHAnsi"/>
          <w:lang w:eastAsia="en-US"/>
        </w:rPr>
        <w:lastRenderedPageBreak/>
        <w:t>creatinine excretion based on body size. Reported correlation coefficients are Spearman correlations.</w:t>
      </w:r>
    </w:p>
    <w:p w14:paraId="783792E9" w14:textId="26B5AAEC" w:rsidR="00E21241" w:rsidRDefault="00E21241" w:rsidP="00042CB6">
      <w:pPr>
        <w:spacing w:line="480" w:lineRule="auto"/>
        <w:rPr>
          <w:rFonts w:eastAsiaTheme="minorHAnsi"/>
          <w:lang w:eastAsia="en-US"/>
        </w:rPr>
      </w:pPr>
    </w:p>
    <w:p w14:paraId="10B6913B" w14:textId="08934D40" w:rsidR="00E21241" w:rsidRDefault="00E21241" w:rsidP="00E21241">
      <w:pPr>
        <w:spacing w:line="480" w:lineRule="auto"/>
      </w:pPr>
      <w:r w:rsidRPr="00E21241">
        <w:rPr>
          <w:b/>
          <w:bCs/>
        </w:rPr>
        <w:t>Supplementary table 1.</w:t>
      </w:r>
      <w:r>
        <w:t xml:space="preserve"> Partial list of urine hormones and analytes that can be measured from dried urine </w:t>
      </w:r>
    </w:p>
    <w:p w14:paraId="226AE0B3" w14:textId="18B4F843" w:rsidR="00E21241" w:rsidRDefault="00E21241" w:rsidP="00E21241">
      <w:pPr>
        <w:spacing w:line="480" w:lineRule="auto"/>
        <w:rPr>
          <w:rFonts w:eastAsiaTheme="minorHAnsi"/>
          <w:lang w:eastAsia="en-US"/>
        </w:rPr>
      </w:pPr>
      <w:r>
        <w:t xml:space="preserve"> DHEA = dehydroepiandrosterone</w:t>
      </w:r>
    </w:p>
    <w:tbl>
      <w:tblPr>
        <w:tblStyle w:val="TableGrid"/>
        <w:tblW w:w="9985" w:type="dxa"/>
        <w:tblLook w:val="04A0" w:firstRow="1" w:lastRow="0" w:firstColumn="1" w:lastColumn="0" w:noHBand="0" w:noVBand="1"/>
      </w:tblPr>
      <w:tblGrid>
        <w:gridCol w:w="2737"/>
        <w:gridCol w:w="2445"/>
        <w:gridCol w:w="4803"/>
      </w:tblGrid>
      <w:tr w:rsidR="00E21241" w:rsidRPr="00506483" w14:paraId="77A8773F" w14:textId="77777777" w:rsidTr="00C2658D">
        <w:tc>
          <w:tcPr>
            <w:tcW w:w="2541" w:type="dxa"/>
            <w:vAlign w:val="center"/>
          </w:tcPr>
          <w:p w14:paraId="11330606" w14:textId="77777777" w:rsidR="00E21241" w:rsidRPr="00506483" w:rsidRDefault="00E21241" w:rsidP="00C2658D">
            <w:pPr>
              <w:rPr>
                <w:b/>
                <w:bCs/>
                <w:sz w:val="22"/>
                <w:szCs w:val="22"/>
              </w:rPr>
            </w:pPr>
            <w:r w:rsidRPr="00506483">
              <w:rPr>
                <w:b/>
                <w:bCs/>
                <w:sz w:val="22"/>
                <w:szCs w:val="22"/>
              </w:rPr>
              <w:t>Variable</w:t>
            </w:r>
          </w:p>
        </w:tc>
        <w:tc>
          <w:tcPr>
            <w:tcW w:w="2494" w:type="dxa"/>
            <w:vAlign w:val="center"/>
          </w:tcPr>
          <w:p w14:paraId="6D7ACEEC" w14:textId="77777777" w:rsidR="00E21241" w:rsidRPr="00506483" w:rsidRDefault="00E21241" w:rsidP="00C2658D">
            <w:pPr>
              <w:rPr>
                <w:b/>
                <w:bCs/>
                <w:sz w:val="22"/>
                <w:szCs w:val="22"/>
              </w:rPr>
            </w:pPr>
            <w:r w:rsidRPr="00506483">
              <w:rPr>
                <w:b/>
                <w:bCs/>
                <w:sz w:val="22"/>
                <w:szCs w:val="22"/>
              </w:rPr>
              <w:t>Pathway</w:t>
            </w:r>
          </w:p>
        </w:tc>
        <w:tc>
          <w:tcPr>
            <w:tcW w:w="4950" w:type="dxa"/>
            <w:vAlign w:val="center"/>
          </w:tcPr>
          <w:p w14:paraId="1B611D29" w14:textId="77777777" w:rsidR="00E21241" w:rsidRPr="00506483" w:rsidRDefault="00E21241" w:rsidP="00C2658D">
            <w:pPr>
              <w:rPr>
                <w:b/>
                <w:bCs/>
                <w:sz w:val="22"/>
                <w:szCs w:val="22"/>
              </w:rPr>
            </w:pPr>
            <w:r w:rsidRPr="00506483">
              <w:rPr>
                <w:b/>
                <w:bCs/>
                <w:sz w:val="22"/>
                <w:szCs w:val="22"/>
              </w:rPr>
              <w:t>Example</w:t>
            </w:r>
            <w:r>
              <w:rPr>
                <w:b/>
                <w:bCs/>
                <w:sz w:val="22"/>
                <w:szCs w:val="22"/>
              </w:rPr>
              <w:t>s</w:t>
            </w:r>
            <w:r w:rsidRPr="00506483">
              <w:rPr>
                <w:b/>
                <w:bCs/>
                <w:sz w:val="22"/>
                <w:szCs w:val="22"/>
              </w:rPr>
              <w:t xml:space="preserve"> of Clinical Relevance</w:t>
            </w:r>
          </w:p>
        </w:tc>
      </w:tr>
      <w:tr w:rsidR="00E21241" w:rsidRPr="00506483" w14:paraId="3F5B81C9" w14:textId="77777777" w:rsidTr="00C2658D">
        <w:tc>
          <w:tcPr>
            <w:tcW w:w="2541" w:type="dxa"/>
            <w:vAlign w:val="center"/>
          </w:tcPr>
          <w:p w14:paraId="14F3A56C" w14:textId="77777777" w:rsidR="00E21241" w:rsidRPr="00506483" w:rsidRDefault="00E21241" w:rsidP="00C2658D">
            <w:pPr>
              <w:rPr>
                <w:sz w:val="22"/>
                <w:szCs w:val="22"/>
              </w:rPr>
            </w:pPr>
            <w:r w:rsidRPr="00506483">
              <w:rPr>
                <w:b/>
                <w:bCs/>
                <w:sz w:val="22"/>
                <w:szCs w:val="22"/>
              </w:rPr>
              <w:t xml:space="preserve">Estrone </w:t>
            </w:r>
          </w:p>
        </w:tc>
        <w:tc>
          <w:tcPr>
            <w:tcW w:w="2494" w:type="dxa"/>
            <w:vAlign w:val="center"/>
          </w:tcPr>
          <w:p w14:paraId="621DEBAF" w14:textId="77777777" w:rsidR="00E21241" w:rsidRPr="00506483" w:rsidRDefault="00E21241" w:rsidP="00C2658D">
            <w:pPr>
              <w:rPr>
                <w:sz w:val="22"/>
                <w:szCs w:val="22"/>
              </w:rPr>
            </w:pPr>
            <w:r w:rsidRPr="00506483">
              <w:rPr>
                <w:sz w:val="22"/>
                <w:szCs w:val="22"/>
              </w:rPr>
              <w:t xml:space="preserve">Estrogen; estradiol metabolite </w:t>
            </w:r>
          </w:p>
        </w:tc>
        <w:tc>
          <w:tcPr>
            <w:tcW w:w="4950" w:type="dxa"/>
            <w:vAlign w:val="center"/>
          </w:tcPr>
          <w:p w14:paraId="30E79568" w14:textId="19587F47" w:rsidR="00E21241" w:rsidRPr="00506483" w:rsidRDefault="00E21241" w:rsidP="00C2658D">
            <w:pPr>
              <w:rPr>
                <w:b/>
                <w:bCs/>
                <w:sz w:val="22"/>
                <w:szCs w:val="22"/>
              </w:rPr>
            </w:pPr>
            <w:r w:rsidRPr="00506483">
              <w:rPr>
                <w:sz w:val="22"/>
                <w:szCs w:val="22"/>
              </w:rPr>
              <w:t>Monitoring of hormonal replacement therapy</w:t>
            </w:r>
            <w:r>
              <w:rPr>
                <w:sz w:val="22"/>
                <w:szCs w:val="22"/>
              </w:rPr>
              <w:t>; assessment of ovarian function or precocious puberty; evaluation of dietary effects</w:t>
            </w:r>
            <w:sdt>
              <w:sdtPr>
                <w:rPr>
                  <w:color w:val="000000"/>
                  <w:sz w:val="22"/>
                  <w:szCs w:val="22"/>
                  <w:vertAlign w:val="superscript"/>
                </w:rPr>
                <w:tag w:val="MENDELEY_CITATION_{&quot;citationID&quot;:&quot;MENDELEY_CITATION_112b7557-9a43-4502-ab04-d06b7760e361&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3926b388-1c71-3cf1-83b8-793740bfd9ab&quot;,&quot;itemData&quot;:{&quot;type&quot;:&quot;article-journal&quot;,&quot;id&quot;:&quot;3926b388-1c71-3cf1-83b8-793740bfd9ab&quot;,&quot;title&quot;:&quot;The concentrations of urinary oestrone-3-glucuronide, LH and pregnanediol-3α-glucuronide as indices of ovarian function&quot;,&quot;author&quot;:[{&quot;family&quot;:&quot;Collins&quot;,&quot;given&quot;:&quot;W. P.&quot;,&quot;parse-names&quot;:false,&quot;dropping-particle&quot;:&quot;&quot;,&quot;non-dropping-particle&quot;:&quot;&quot;},{&quot;family&quot;:&quot;Collins&quot;,&quot;given&quot;:&quot;P. O.&quot;,&quot;parse-names&quot;:false,&quot;dropping-particle&quot;:&quot;&quot;,&quot;non-dropping-particle&quot;:&quot;&quot;},{&quot;family&quot;:&quot;Kilpatrick&quot;,&quot;given&quot;:&quot;M. J.&quot;,&quot;parse-names&quot;:false,&quot;dropping-particle&quot;:&quot;&quot;,&quot;non-dropping-particle&quot;:&quot;&quot;},{&quot;family&quot;:&quot;Manning&quot;,&quot;given&quot;:&quot;P. A.&quot;,&quot;parse-names&quot;:false,&quot;dropping-particle&quot;:&quot;&quot;,&quot;non-dropping-particle&quot;:&quot;&quot;},{&quot;family&quot;:&quot;Pike&quot;,&quot;given&quot;:&quot;J. M.&quot;,&quot;parse-names&quot;:false,&quot;dropping-particle&quot;:&quot;&quot;,&quot;non-dropping-particle&quot;:&quot;&quot;},{&quot;family&quot;:&quot;Tyler&quot;,&quot;given&quot;:&quot;J. P.&quot;,&quot;parse-names&quot;:false,&quot;dropping-particle&quot;:&quot;&quot;,&quot;non-dropping-particle&quot;:&quot;&quot;}],&quot;container-title&quot;:&quot;Acta Endocrinologica&quot;,&quot;accessed&quot;:{&quot;date-parts&quot;:[[2020,10,12]]},&quot;DOI&quot;:&quot;10.1530/acta.0.0900336&quot;,&quot;ISSN&quot;:&quot;00015598&quot;,&quot;PMID&quot;:&quot;419920&quot;,&quot;URL&quot;:&quot;https://pubmed.ncbi.nlm.nih.gov/419920/&quot;,&quot;issued&quot;:{&quot;date-parts&quot;:[[1979]]},&quot;page&quot;:&quot;336-348&quot;,&quot;abstract&quot;:&quot;Methods based upon the principles of raioimmunoassay have been developed and evaluated for the measurement of oestrone-3-glucuronide, LH and pregnanediol-3α-glucuronide in samples of unextracted urine. The procedures have been applied to daily urine (early morning fraction and combined 24 hour collections) from 6 women throughout one complete menstrual cycle and to serial samples from an additional 14 women who only collected early morning specimens. The results showed that there were characteristic, well-defined changes in the concentration of all 3 metabolites in both samples of urine and from all subjects. In addition, there was a reasonable correlation between the concentration of all 3 compounds in samples of early morning urine and the corresponding rates of excretion per 24 hours. These findings suggest that the procedures may be of value for monitoring ovarian function over long periods of time, without the problems of stress and inconvenience to the patient. Furthermore, the ratio of values for oestrone-3-glucuronide to pregnanediol-3α-glucuronide may be used to indicate the start and finish of the fertile period.&quot;,&quot;publisher&quot;:&quot;Acta Endocrinol (Copenh)&quot;,&quot;issue&quot;:&quot;2&quot;,&quot;volume&quot;:&quot;90&quot;},&quot;isTemporary&quot;:false},{&quot;id&quot;:&quot;f3b9a976-25f4-3279-bc9a-5652290ced6a&quot;,&quot;itemData&quot;:{&quot;type&quot;:&quot;article-journal&quot;,&quot;id&quot;:&quot;f3b9a976-25f4-3279-bc9a-5652290ced6a&quot;,&quot;title&quot;:&quot;Usefulness of early morning urine estrone-3-glucuronide assay in the monitoring ovarian secretory function in precocious puberty&quot;,&quot;author&quot;:[{&quot;family&quot;:&quot;Bassi&quot;,&quot;given&quot;:&quot;Francesca&quot;,&quot;parse-names&quot;:false,&quot;dropping-particle&quot;:&quot;&quot;,&quot;non-dropping-particle&quot;:&quot;&quot;},{&quot;family&quot;:&quot;Bartolini&quot;,&quot;given&quot;:&quot;O.&quot;,&quot;parse-names&quot;:false,&quot;dropping-particle&quot;:&quot;&quot;,&quot;non-dropping-particle&quot;:&quot;&quot;},{&quot;family&quot;:&quot;Neri&quot;,&quot;given&quot;:&quot;A. S.&quot;,&quot;parse-names&quot;:false,&quot;dropping-particle&quot;:&quot;&quot;,&quot;non-dropping-particle&quot;:&quot;&quot;},{&quot;family&quot;:&quot;Gheri&quot;,&quot;given&quot;:&quot;R. G.&quot;,&quot;parse-names&quot;:false,&quot;dropping-particle&quot;:&quot;&quot;,&quot;non-dropping-particle&quot;:&quot;&quot;},{&quot;family&quot;:&quot;Magini&quot;,&quot;given&quot;:&quot;A.&quot;,&quot;parse-names&quot;:false,&quot;dropping-particle&quot;:&quot;&quot;,&quot;non-dropping-particle&quot;:&quot;&quot;},{&quot;family&quot;:&quot;Bucciantini&quot;,&quot;given&quot;:&quot;S.&quot;,&quot;parse-names&quot;:false,&quot;dropping-particle&quot;:&quot;&quot;,&quot;non-dropping-particle&quot;:&quot;&quot;},{&quot;family&quot;:&quot;Bruni&quot;,&quot;given&quot;:&quot;V.&quot;,&quot;parse-names&quot;:false,&quot;dropping-particle&quot;:&quot;&quot;,&quot;non-dropping-particle&quot;:&quot;&quot;}],&quot;container-title&quot;:&quot;Journal of Endocrinological Investigation&quot;,&quot;accessed&quot;:{&quot;date-parts&quot;:[[2020,10,12]]},&quot;DOI&quot;:&quot;10.1007/BF03349708&quot;,&quot;ISSN&quot;:&quot;17208386&quot;,&quot;PMID&quot;:&quot;7629394&quot;,&quot;issued&quot;:{&quot;date-parts&quot;:[[1995]]},&quot;page&quot;:&quot;98-103&quot;,&quot;abstract&quot;:&quot;To evaluate the usefulness of the urinary estrone-3-glucuronide (EI-3-G) in the monitoring of the ovarian function in girls, we studied 11 girls with idiopathic central precocious puberty (ICPP) treated with LHRH analogs (LHRHa) for 2–5 years. Plasma LH, FSH, 17 -ß-Estradiol (E2) levels, early morning urine (EMU) E1-3-G concentrations, were assessed before and 3, 6,12 months after the onset of treatment. As expected, mean basal plasma LH, FSH and E2 concentrations, as well as mean basal EMU E1-3-G levels were significantly (p&lt;0.01) higher in patients studied than in normal, age matched, prepubertal controls. Three out of the 11 sexually advanced girls showed undetectable (&lt;15 pg/ml) basal plasma E2 values. On the contrary, in each patient studied, individual basal EI-3-G levels were higher than in normal age-matched prepubertal girls. LHRHa treatment significantly suppressed both basal and peak stimulated plasma gonadotropins, plasma E2 and EMU E1-3-G. However, while serum E2 levels were below the assay detection limit, not allowing to assess the degree of gonadal suppression, E1-3-G urinary concentrations were detectable in each subject treated, in the range of the normal prepubertal values. EMU E1-3-G determination seems to be a very sensitive and reliable approach to the monitoring of the effectiveness of LHRHa treatment in sexually advanced girls, allowing to detect very low estrogen concentrations and to achieve the desired ovarian suppression. © 1995, Italian Society of Endocrinology (SIE). All rights reserved.&quot;,&quot;issue&quot;:&quot;2&quot;,&quot;volume&quot;:&quot;18&quot;},&quot;isTemporary&quot;:false},{&quot;id&quot;:&quot;a8c1cf55-07c9-35e4-9c04-bff53d5c154f&quot;,&quot;itemData&quot;:{&quot;type&quot;:&quot;article-journal&quot;,&quot;id&quot;:&quot;a8c1cf55-07c9-35e4-9c04-bff53d5c154f&quot;,&quot;title&quot;:&quot;Hormone replacement with estradiol: Conventional oral doses result in excessive exposure to estrone&quot;,&quot;author&quot;:[{&quot;family&quot;:&quot;Friel&quot;,&quot;given&quot;:&quot;Patrick N.&quot;,&quot;parse-names&quot;:false,&quot;dropping-particle&quot;:&quot;&quot;,&quot;non-dropping-particle&quot;:&quot;&quot;},{&quot;family&quot;:&quot;Hinchcliffe&quot;,&quot;given&quot;:&quot;Christa&quot;,&quot;parse-names&quot;:false,&quot;dropping-particle&quot;:&quot;&quot;,&quot;non-dropping-particle&quot;:&quot;&quot;},{&quot;family&quot;:&quot;Wright&quot;,&quot;given&quot;:&quot;Jonathan&quot;,&quot;parse-names&quot;:false,&quot;dropping-particle&quot;:&quot;v.&quot;,&quot;non-dropping-particle&quot;:&quot;&quot;}],&quot;container-title&quot;:&quot;Alternative Medicine Review&quot;,&quot;accessed&quot;:{&quot;date-parts&quot;:[[2020,10,12]]},&quot;ISSN&quot;:&quot;10895159&quot;,&quot;PMID&quot;:&quot;15771561&quot;,&quot;URL&quot;:&quot;https://pubmed.ncbi.nlm.nih.gov/15771561/&quot;,&quot;issued&quot;:{&quot;date-parts&quot;:[[2005,3]]},&quot;page&quot;:&quot;36-41&quot;,&quot;abstract&quot;:&quot;BACKGROUND: There is a lack of consensus about the safety of estrogen replacement therapy, especially with regard to its impact on a woman's risk for breast cancer. Elevated urinary or serum estrone and estradiol concentrations in postmenopausal women are associated with a moderately elevated risk of breast cancer. METHODS: Twenty-four-hour urinary steroid hormone profiles, including the measurement of estrone, estradiol, and estriol, were conducted for 35 postmenopausal women receiving oral estradiol at doses from 0.025-2.0 mg/day. RESULTS: Urinary excretion of estradiol exceeded premenopausal reference range values in women taking estradiol at doses greater than 0.5 mg/day. Urinary estrone excretion exceeded premenopausal reference range values in women taking estradiol doses of 0.25 mg/day or higher. Literature data indicate serum estrone concentrations also markedly exceed premenopausal reference ranges when estradiol is administered orally at a dose of 1 mg/day. CONCLUSIONS: The previously recommended oral dose of estradiol (1-2 mg/day) results in urinary excretion of estrone at values 5-10 times the upper limit of the reference range for premenopausal women. Retrospective studies associating oral estradiol with increased risk of breast cancer may reflect overdose conditions. Based on current knowledge, a prudent dose ceiling for oral estradiol replacement therapy of 0.25 mg/day is proposed.&quot;,&quot;publisher&quot;:&quot;Altern Med Rev&quot;,&quot;issue&quot;:&quot;1&quot;,&quot;volume&quot;:&quot;1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properties&quot;:{&quot;noteIndex&quot;:0},&quot;isEdited&quot;:false,&quot;manualOverride&quot;:{&quot;isManuallyOverriden&quot;:false,&quot;citeprocText&quot;:&quot;&lt;sup&gt;1–5&lt;/sup&gt;&quot;,&quot;manualOverrideText&quot;:&quot;&quot;}}"/>
                <w:id w:val="-95407455"/>
                <w:placeholder>
                  <w:docPart w:val="DefaultPlaceholder_-1854013440"/>
                </w:placeholder>
              </w:sdtPr>
              <w:sdtContent>
                <w:r w:rsidR="001B32B2" w:rsidRPr="001B32B2">
                  <w:rPr>
                    <w:color w:val="000000"/>
                    <w:sz w:val="22"/>
                    <w:szCs w:val="22"/>
                    <w:vertAlign w:val="superscript"/>
                  </w:rPr>
                  <w:t>1–5</w:t>
                </w:r>
              </w:sdtContent>
            </w:sdt>
            <w:r w:rsidR="007D32E6">
              <w:rPr>
                <w:sz w:val="22"/>
                <w:szCs w:val="22"/>
              </w:rPr>
              <w:t xml:space="preserve"> </w:t>
            </w:r>
          </w:p>
        </w:tc>
      </w:tr>
      <w:tr w:rsidR="00E21241" w:rsidRPr="00506483" w14:paraId="5C3EC672" w14:textId="77777777" w:rsidTr="00C2658D">
        <w:tc>
          <w:tcPr>
            <w:tcW w:w="2541" w:type="dxa"/>
            <w:vAlign w:val="center"/>
          </w:tcPr>
          <w:p w14:paraId="348ECF0B" w14:textId="77777777" w:rsidR="00E21241" w:rsidRPr="00506483" w:rsidRDefault="00E21241" w:rsidP="00C2658D">
            <w:pPr>
              <w:rPr>
                <w:sz w:val="22"/>
                <w:szCs w:val="22"/>
              </w:rPr>
            </w:pPr>
            <w:r w:rsidRPr="00506483">
              <w:rPr>
                <w:b/>
                <w:bCs/>
                <w:sz w:val="22"/>
                <w:szCs w:val="22"/>
              </w:rPr>
              <w:t xml:space="preserve">Estradiol </w:t>
            </w:r>
          </w:p>
        </w:tc>
        <w:tc>
          <w:tcPr>
            <w:tcW w:w="2494" w:type="dxa"/>
            <w:vAlign w:val="center"/>
          </w:tcPr>
          <w:p w14:paraId="65A9965C" w14:textId="77777777" w:rsidR="00E21241" w:rsidRPr="00506483" w:rsidRDefault="00E21241" w:rsidP="00C2658D">
            <w:pPr>
              <w:rPr>
                <w:sz w:val="22"/>
                <w:szCs w:val="22"/>
              </w:rPr>
            </w:pPr>
            <w:r>
              <w:rPr>
                <w:sz w:val="22"/>
                <w:szCs w:val="22"/>
              </w:rPr>
              <w:t>Primary a</w:t>
            </w:r>
            <w:r w:rsidRPr="00506483">
              <w:rPr>
                <w:sz w:val="22"/>
                <w:szCs w:val="22"/>
              </w:rPr>
              <w:t>ctive estrogen</w:t>
            </w:r>
          </w:p>
        </w:tc>
        <w:tc>
          <w:tcPr>
            <w:tcW w:w="4950" w:type="dxa"/>
            <w:vAlign w:val="center"/>
          </w:tcPr>
          <w:p w14:paraId="35FA3E8F" w14:textId="2C5C1044" w:rsidR="00E21241" w:rsidRPr="00506483" w:rsidRDefault="00E21241" w:rsidP="00C2658D">
            <w:pPr>
              <w:rPr>
                <w:sz w:val="22"/>
                <w:szCs w:val="22"/>
              </w:rPr>
            </w:pPr>
            <w:r w:rsidRPr="00506483">
              <w:rPr>
                <w:sz w:val="22"/>
                <w:szCs w:val="22"/>
              </w:rPr>
              <w:t xml:space="preserve">Investigation of amenorrhea; </w:t>
            </w:r>
            <w:r>
              <w:rPr>
                <w:sz w:val="22"/>
                <w:szCs w:val="22"/>
              </w:rPr>
              <w:t xml:space="preserve">assessment of precocious puberty; </w:t>
            </w:r>
            <w:r w:rsidRPr="00506483">
              <w:rPr>
                <w:sz w:val="22"/>
                <w:szCs w:val="22"/>
              </w:rPr>
              <w:t>monitoring of hormonal replacement therapy</w:t>
            </w:r>
            <w:r>
              <w:rPr>
                <w:sz w:val="22"/>
                <w:szCs w:val="22"/>
              </w:rPr>
              <w:t>; evaluation of dietary effects</w:t>
            </w:r>
            <w:sdt>
              <w:sdtPr>
                <w:rPr>
                  <w:color w:val="000000"/>
                  <w:sz w:val="22"/>
                  <w:szCs w:val="22"/>
                  <w:vertAlign w:val="superscript"/>
                </w:rPr>
                <w:tag w:val="MENDELEY_CITATION_{&quot;citationID&quot;:&quot;MENDELEY_CITATION_ed903ae3-7537-4390-87ca-d8868675cea6&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a7ad70a8-8749-3656-8068-9cdb82b64d77&quot;,&quot;itemData&quot;:{&quot;type&quot;:&quot;paper-conference&quot;,&quot;id&quot;:&quot;a7ad70a8-8749-3656-8068-9cdb82b64d77&quot;,&quot;title&quot;:&quot;Hormonal effects of soy in premenopausal women and men&quot;,&quot;author&quot;:[{&quot;family&quot;:&quot;Kurzer&quot;,&quot;given&quot;:&quot;Mindy S.&quot;,&quot;parse-names&quot;:false,&quot;dropping-particle&quot;:&quot;&quot;,&quot;non-dropping-particle&quot;:&quot;&quot;}],&quot;container-title&quot;:&quot;Journal of Nutrition&quot;,&quot;accessed&quot;:{&quot;date-parts&quot;:[[2020,10,12]]},&quot;DOI&quot;:&quot;10.1093/jn/132.3.570s&quot;,&quot;ISSN&quot;:&quot;00223166&quot;,&quot;PMID&quot;:&quot;11880595&quot;,&quot;URL&quot;:&quot;https://pubmed.ncbi.nlm.nih.gov/11880595/&quot;,&quot;issued&quot;:{&quot;date-parts&quot;:[[2002]]},&quot;abstract&quot;:&quot;Over the past few years, there has been increasing interest in the possible hormonal effects of soy and soy isoflavone consumption in both women and men. Soy consumption has been suggested to exert potentially cancer-preventive effects in premenopausal women, such as increased menstrual cycle length and sex hormone-binding globulin levels and decreased estrogen levels. There has been some concern that consumption of phytoestrogens might exert adverse effects on men's fertility, such as lowered testosterone levels and semen quality. The studies in women have provided modest support for beneficial effects. One cross-sectional study showed serum estrogens to be inversely associated with soy intake. Seven soy intervention studies controlled for phase of menstrual cycle. These studies provided 32-200 mg/d of isoflavones and generally showed decreased midcycle plasma gonadotropins and trends toward increased menstrual cycle length and decreased blood concentrations of estradiol, progesterone and sex hormone-binding globulin. A few studies also showed decreased urinary estrogens and increased ratios of urinary 2-(OH) to 16α-(OH) and 2-(OH) to 4-(OH) estrogens. Soy and isoflavone consumption does not seem to affect the endometrium in premenopausal women, although there have been weak estrogenic effects reported in the breast. Thus, studies in women have mostly been consistent with beneficial effects, although the magnitude of the effects is quite small and of uncertain significance. Only three intervention studies reported hormonal effects of soy isoflavones in men. These recent studies in men consuming soyfoods or supplements containing 40-70 mg/d of soy isoflavones showed few effects on plasma hormones or semen quality. These data do not support concerns about effects on reproductive hormones and semen quality.&quot;,&quot;publisher&quot;:&quot;American Institute of Nutrition&quot;,&quot;issue&quot;:&quot;3&quot;,&quot;volume&quot;:&quot;132&quot;},&quot;isTemporary&quot;:false}],&quot;properties&quot;:{&quot;noteIndex&quot;:0},&quot;isEdited&quot;:false,&quot;manualOverride&quot;:{&quot;isManuallyOverriden&quot;:false,&quot;citeprocText&quot;:&quot;&lt;sup&gt;1,5–8&lt;/sup&gt;&quot;,&quot;manualOverrideText&quot;:&quot;&quot;}}"/>
                <w:id w:val="1950119027"/>
                <w:placeholder>
                  <w:docPart w:val="DefaultPlaceholder_-1854013440"/>
                </w:placeholder>
              </w:sdtPr>
              <w:sdtContent>
                <w:r w:rsidR="00C05973" w:rsidRPr="00C05973">
                  <w:rPr>
                    <w:color w:val="000000"/>
                    <w:sz w:val="22"/>
                    <w:szCs w:val="22"/>
                    <w:vertAlign w:val="superscript"/>
                  </w:rPr>
                  <w:t>1,5–8</w:t>
                </w:r>
              </w:sdtContent>
            </w:sdt>
            <w:r w:rsidR="001B32B2">
              <w:rPr>
                <w:sz w:val="22"/>
                <w:szCs w:val="22"/>
              </w:rPr>
              <w:t xml:space="preserve"> </w:t>
            </w:r>
          </w:p>
        </w:tc>
      </w:tr>
      <w:tr w:rsidR="00E21241" w:rsidRPr="00506483" w14:paraId="39170452" w14:textId="77777777" w:rsidTr="00C2658D">
        <w:tc>
          <w:tcPr>
            <w:tcW w:w="2541" w:type="dxa"/>
            <w:vAlign w:val="center"/>
          </w:tcPr>
          <w:p w14:paraId="6F4FDCBA" w14:textId="77777777" w:rsidR="00E21241" w:rsidRPr="00506483" w:rsidRDefault="00E21241" w:rsidP="00C2658D">
            <w:pPr>
              <w:rPr>
                <w:sz w:val="22"/>
                <w:szCs w:val="22"/>
              </w:rPr>
            </w:pPr>
            <w:r w:rsidRPr="00506483">
              <w:rPr>
                <w:b/>
                <w:bCs/>
                <w:sz w:val="22"/>
                <w:szCs w:val="22"/>
              </w:rPr>
              <w:t xml:space="preserve">Estriol </w:t>
            </w:r>
          </w:p>
        </w:tc>
        <w:tc>
          <w:tcPr>
            <w:tcW w:w="2494" w:type="dxa"/>
            <w:vAlign w:val="center"/>
          </w:tcPr>
          <w:p w14:paraId="65D3B930" w14:textId="77777777" w:rsidR="00E21241" w:rsidRPr="00506483" w:rsidRDefault="00E21241" w:rsidP="00C2658D">
            <w:pPr>
              <w:rPr>
                <w:sz w:val="22"/>
                <w:szCs w:val="22"/>
              </w:rPr>
            </w:pPr>
            <w:r w:rsidRPr="00506483">
              <w:rPr>
                <w:sz w:val="22"/>
                <w:szCs w:val="22"/>
              </w:rPr>
              <w:t>Estrogen; estrogen metabolite via 16</w:t>
            </w:r>
            <w:r w:rsidRPr="00506483">
              <w:rPr>
                <w:sz w:val="22"/>
                <w:szCs w:val="22"/>
              </w:rPr>
              <w:sym w:font="Symbol" w:char="F061"/>
            </w:r>
            <w:r w:rsidRPr="00506483">
              <w:rPr>
                <w:sz w:val="22"/>
                <w:szCs w:val="22"/>
              </w:rPr>
              <w:t>-</w:t>
            </w:r>
            <w:proofErr w:type="spellStart"/>
            <w:r w:rsidRPr="00506483">
              <w:rPr>
                <w:sz w:val="22"/>
                <w:szCs w:val="22"/>
              </w:rPr>
              <w:t>hydroxyestrone</w:t>
            </w:r>
            <w:proofErr w:type="spellEnd"/>
          </w:p>
        </w:tc>
        <w:tc>
          <w:tcPr>
            <w:tcW w:w="4950" w:type="dxa"/>
            <w:vAlign w:val="center"/>
          </w:tcPr>
          <w:p w14:paraId="06745CC1" w14:textId="076BC53E" w:rsidR="00E21241" w:rsidRPr="00506483" w:rsidRDefault="00E21241" w:rsidP="00C2658D">
            <w:pPr>
              <w:rPr>
                <w:sz w:val="22"/>
                <w:szCs w:val="22"/>
              </w:rPr>
            </w:pPr>
            <w:r w:rsidRPr="00506483">
              <w:rPr>
                <w:sz w:val="22"/>
                <w:szCs w:val="22"/>
              </w:rPr>
              <w:t>Monitoring of hormonal replacement therapy</w:t>
            </w:r>
            <w:r>
              <w:rPr>
                <w:sz w:val="22"/>
                <w:szCs w:val="22"/>
              </w:rPr>
              <w:t>; evaluation of polycystic ovarian syndrome (PCOS); evaluation of dietary effects</w:t>
            </w:r>
            <w:sdt>
              <w:sdtPr>
                <w:rPr>
                  <w:color w:val="000000"/>
                  <w:sz w:val="22"/>
                  <w:szCs w:val="22"/>
                  <w:vertAlign w:val="superscript"/>
                </w:rPr>
                <w:tag w:val="MENDELEY_CITATION_{&quot;citationID&quot;:&quot;MENDELEY_CITATION_0e97e605-e63f-48fa-9a0b-af988018da3e&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1,5,9&lt;/sup&gt;&quot;,&quot;manualOverrideText&quot;:&quot;&quot;}}"/>
                <w:id w:val="-1024628052"/>
                <w:placeholder>
                  <w:docPart w:val="DefaultPlaceholder_-1854013440"/>
                </w:placeholder>
              </w:sdtPr>
              <w:sdtContent>
                <w:r w:rsidR="005D0427" w:rsidRPr="005D0427">
                  <w:rPr>
                    <w:color w:val="000000"/>
                    <w:sz w:val="22"/>
                    <w:szCs w:val="22"/>
                    <w:vertAlign w:val="superscript"/>
                  </w:rPr>
                  <w:t>1,5,9</w:t>
                </w:r>
              </w:sdtContent>
            </w:sdt>
            <w:r w:rsidR="005D0427">
              <w:rPr>
                <w:sz w:val="22"/>
                <w:szCs w:val="22"/>
              </w:rPr>
              <w:t xml:space="preserve">    </w:t>
            </w:r>
          </w:p>
        </w:tc>
      </w:tr>
      <w:tr w:rsidR="00E21241" w:rsidRPr="00506483" w14:paraId="653CEB41" w14:textId="77777777" w:rsidTr="00C2658D">
        <w:tc>
          <w:tcPr>
            <w:tcW w:w="2541" w:type="dxa"/>
            <w:vAlign w:val="center"/>
          </w:tcPr>
          <w:p w14:paraId="430D9E12" w14:textId="77777777" w:rsidR="00E21241" w:rsidRPr="00506483" w:rsidRDefault="00E21241" w:rsidP="00C2658D">
            <w:pPr>
              <w:rPr>
                <w:sz w:val="22"/>
                <w:szCs w:val="22"/>
              </w:rPr>
            </w:pPr>
            <w:r w:rsidRPr="00506483">
              <w:rPr>
                <w:b/>
                <w:bCs/>
                <w:sz w:val="22"/>
                <w:szCs w:val="22"/>
              </w:rPr>
              <w:t>2-hydroxyestrone</w:t>
            </w:r>
          </w:p>
        </w:tc>
        <w:tc>
          <w:tcPr>
            <w:tcW w:w="2494" w:type="dxa"/>
            <w:vAlign w:val="center"/>
          </w:tcPr>
          <w:p w14:paraId="7C760209" w14:textId="77777777" w:rsidR="00E21241" w:rsidRPr="00506483" w:rsidRDefault="00E21241" w:rsidP="00C2658D">
            <w:pPr>
              <w:rPr>
                <w:sz w:val="22"/>
                <w:szCs w:val="22"/>
              </w:rPr>
            </w:pPr>
            <w:r w:rsidRPr="00506483">
              <w:rPr>
                <w:sz w:val="22"/>
                <w:szCs w:val="22"/>
              </w:rPr>
              <w:t>Estrogen metabolite via estrone</w:t>
            </w:r>
          </w:p>
        </w:tc>
        <w:tc>
          <w:tcPr>
            <w:tcW w:w="4950" w:type="dxa"/>
            <w:vAlign w:val="center"/>
          </w:tcPr>
          <w:p w14:paraId="563909E1" w14:textId="3D9AFFDA" w:rsidR="00E21241" w:rsidRPr="00506483" w:rsidRDefault="00E21241" w:rsidP="00C2658D">
            <w:pPr>
              <w:rPr>
                <w:sz w:val="22"/>
                <w:szCs w:val="22"/>
              </w:rPr>
            </w:pPr>
            <w:r w:rsidRPr="00506483">
              <w:rPr>
                <w:sz w:val="22"/>
                <w:szCs w:val="22"/>
              </w:rPr>
              <w:t xml:space="preserve">Estrogen </w:t>
            </w:r>
            <w:r>
              <w:rPr>
                <w:sz w:val="22"/>
                <w:szCs w:val="22"/>
              </w:rPr>
              <w:t xml:space="preserve">receptor </w:t>
            </w:r>
            <w:r w:rsidRPr="00506483">
              <w:rPr>
                <w:sz w:val="22"/>
                <w:szCs w:val="22"/>
              </w:rPr>
              <w:t>antagonist; antiproliferative</w:t>
            </w:r>
            <w:r>
              <w:rPr>
                <w:sz w:val="22"/>
                <w:szCs w:val="22"/>
              </w:rPr>
              <w:t>; relative to other metabolites, may indicate health risks</w:t>
            </w:r>
            <w:sdt>
              <w:sdtPr>
                <w:rPr>
                  <w:color w:val="000000"/>
                  <w:sz w:val="22"/>
                  <w:szCs w:val="22"/>
                  <w:vertAlign w:val="superscript"/>
                </w:rPr>
                <w:tag w:val="MENDELEY_CITATION_{&quot;citationID&quot;:&quot;MENDELEY_CITATION_ebda305d-8129-4164-8337-447595da97f2&quot;,&quot;citationItems&quot;:[{&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148e64cb-1abb-324b-8962-f0c598dd3551&quot;,&quot;itemData&quot;:{&quot;type&quot;:&quot;article-journal&quot;,&quot;id&quot;:&quot;148e64cb-1abb-324b-8962-f0c598dd3551&quot;,&quot;title&quot;:&quot;The effects of aerobic exercise on estrogen metabolism in healthy premenopausal women&quot;,&quot;author&quot;:[{&quot;family&quot;:&quot;Smith&quot;,&quot;given&quot;:&quot;Alma J.&quot;,&quot;parse-names&quot;:false,&quot;dropping-particle&quot;:&quot;&quot;,&quot;non-dropping-particle&quot;:&quot;&quot;},{&quot;family&quot;:&quot;Phipps&quot;,&quot;given&quot;:&quot;William R.&quot;,&quot;parse-names&quot;:false,&quot;dropping-particle&quot;:&quot;&quot;,&quot;non-dropping-particle&quot;:&quot;&quot;},{&quot;family&quot;:&quot;Thomas&quot;,&quot;given&quot;:&quot;William&quot;,&quot;parse-names&quot;:false,&quot;dropping-particle&quot;:&quot;&quot;,&quot;non-dropping-particle&quot;:&quot;&quot;},{&quot;family&quot;:&quot;Schmitz&quot;,&quot;given&quot;:&quot;Kathryn H.&quot;,&quot;parse-names&quot;:false,&quot;dropping-particle&quot;:&quot;&quot;,&quot;non-dropping-particle&quot;:&quot;&quot;},{&quot;family&quot;:&quot;Kurzer&quot;,&quot;given&quot;:&quot;Mindy S.&quot;,&quot;parse-names&quot;:false,&quot;dropping-particle&quot;:&quot;&quot;,&quot;non-dropping-particle&quot;:&quot;&quot;}],&quot;container-title&quot;:&quot;Cancer Epidemiology Biomarkers and Prevention&quot;,&quot;accessed&quot;:{&quot;date-parts&quot;:[[2020,10,12]]},&quot;DOI&quot;:&quot;10.1158/1055-9965.EPI-12-1325&quot;,&quot;ISSN&quot;:&quot;10559965&quot;,&quot;PMID&quot;:&quot;23652373&quot;,&quot;URL&quot;:&quot;https://pubmed.ncbi.nlm.nih.gov/23652373/&quot;,&quot;issued&quot;:{&quot;date-parts&quot;:[[2013,5]]},&quot;page&quot;:&quot;756-764&quot;,&quot;abstract&quot;:&quot;Background: It is well accepted that exercise can decrease breast cancer risk. Limited clinical evidence suggests that this risk could be mediated through changes in estrogen metabolism in premenopausal women. Our objective was to investigate the effects of exercise on premenopausal estrogen metabolism pertinent to breast cancer risk. Methods: Sedentary, healthy, young eumenorrheic women were randomized into an intervention of 30 minutes of moderate-to-vigorous aerobic exercise five times a week for approximately 16 weeks (n = 212), or into a usual-lifestyle sedentary control group (n = 179). Urinary levels of estrogens [estrone [E1], estradiol, and estriol] and nine estrogen metabolites were measured at baseline and at study end by liquid chromatography/ tandem mass spectrometry. The ratios of 2-hydroxyestrone to 16a-hydroxyestrone (2-OHE1/16a-OHE1) and 2- OHE 1 to 4-hydroxyestrone (2- OHE1/4-OHE1) were also calculated. Results: The exercise intervention resulted in significant increases in aerobic fitness and lean body mass and a significant decrease in percent body fat. For exerciserswhocompleted the study (n=165),2-OHE 1/16a-OHE1 increased significantly (P = 0.043), whereas E1 decreased significantly (P = 0.030) in control participants (n = 153). The change from baseline in 2-OHE1/16alpha;-OHE1 was significantly different between groups (P = 0.045), even after adjustment for baseline values. Conclusions: The exercise intervention resulted in a significant increase in the 2-OHE1/16alpha;-OHE1 ratio but no differences in other estrogen metabolites or ratios. Impact: Our results suggest that changes in premenopausal estrogen metabolism may be a mechanism by which increased physical activity lowers breast cancer risk. Cancer Epidemiol Biomarkers Prev; 22(5); 756-64. © 2013 AACR.&quot;,&quot;publisher&quot;:&quot;Cancer Epidemiol Biomarkers Prev&quot;,&quot;issue&quot;:&quot;5&quot;,&quot;volume&quot;:&quot;22&quot;},&quot;isTemporary&quot;:false},{&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6,7,10,11&lt;/sup&gt;&quot;,&quot;manualOverrideText&quot;:&quot;&quot;}}"/>
                <w:id w:val="73484395"/>
                <w:placeholder>
                  <w:docPart w:val="DefaultPlaceholder_-1854013440"/>
                </w:placeholder>
              </w:sdtPr>
              <w:sdtContent>
                <w:r w:rsidR="00D67E97" w:rsidRPr="00D67E97">
                  <w:rPr>
                    <w:color w:val="000000"/>
                    <w:sz w:val="22"/>
                    <w:szCs w:val="22"/>
                    <w:vertAlign w:val="superscript"/>
                  </w:rPr>
                  <w:t>6,7,10,11</w:t>
                </w:r>
              </w:sdtContent>
            </w:sdt>
            <w:r w:rsidR="00A6395B">
              <w:rPr>
                <w:sz w:val="22"/>
                <w:szCs w:val="22"/>
              </w:rPr>
              <w:t xml:space="preserve">        </w:t>
            </w:r>
          </w:p>
        </w:tc>
      </w:tr>
      <w:tr w:rsidR="00E21241" w:rsidRPr="00506483" w14:paraId="63401B3D" w14:textId="77777777" w:rsidTr="00C2658D">
        <w:tc>
          <w:tcPr>
            <w:tcW w:w="2541" w:type="dxa"/>
            <w:vAlign w:val="center"/>
          </w:tcPr>
          <w:p w14:paraId="6D1A19BE" w14:textId="77777777" w:rsidR="00E21241" w:rsidRPr="00506483" w:rsidRDefault="00E21241" w:rsidP="00C2658D">
            <w:pPr>
              <w:rPr>
                <w:sz w:val="22"/>
                <w:szCs w:val="22"/>
              </w:rPr>
            </w:pPr>
            <w:r w:rsidRPr="00506483">
              <w:rPr>
                <w:b/>
                <w:bCs/>
                <w:sz w:val="22"/>
                <w:szCs w:val="22"/>
              </w:rPr>
              <w:t xml:space="preserve">2-hydroxyestradiol </w:t>
            </w:r>
          </w:p>
        </w:tc>
        <w:tc>
          <w:tcPr>
            <w:tcW w:w="2494" w:type="dxa"/>
            <w:vAlign w:val="center"/>
          </w:tcPr>
          <w:p w14:paraId="1D5A74E7" w14:textId="77777777" w:rsidR="00E21241" w:rsidRPr="00506483" w:rsidRDefault="00E21241" w:rsidP="00C2658D">
            <w:pPr>
              <w:rPr>
                <w:sz w:val="22"/>
                <w:szCs w:val="22"/>
              </w:rPr>
            </w:pPr>
            <w:r>
              <w:rPr>
                <w:sz w:val="22"/>
                <w:szCs w:val="22"/>
              </w:rPr>
              <w:t>Estrogen metabolite via 2-hydroxyestrone</w:t>
            </w:r>
          </w:p>
        </w:tc>
        <w:tc>
          <w:tcPr>
            <w:tcW w:w="4950" w:type="dxa"/>
            <w:vAlign w:val="center"/>
          </w:tcPr>
          <w:p w14:paraId="32438488" w14:textId="691F07C1" w:rsidR="00E21241" w:rsidRPr="00506483" w:rsidRDefault="00E21241" w:rsidP="00C2658D">
            <w:pPr>
              <w:rPr>
                <w:sz w:val="22"/>
                <w:szCs w:val="22"/>
              </w:rPr>
            </w:pPr>
            <w:r>
              <w:rPr>
                <w:sz w:val="22"/>
                <w:szCs w:val="22"/>
              </w:rPr>
              <w:t>Antiproliferative; relative to other metabolites, may indicate health risks; potential placental antioxidant</w:t>
            </w:r>
            <w:sdt>
              <w:sdtPr>
                <w:rPr>
                  <w:color w:val="000000"/>
                  <w:sz w:val="22"/>
                  <w:szCs w:val="22"/>
                  <w:vertAlign w:val="superscript"/>
                </w:rPr>
                <w:tag w:val="MENDELEY_CITATION_{&quot;citationID&quot;:&quot;MENDELEY_CITATION_622ec6f5-bf11-4089-b7a0-404321fb9c50&quot;,&quot;citationItems&quot;:[{&quot;id&quot;:&quot;d80a76be-bc07-36a2-9c79-82f18f1d2b7d&quot;,&quot;itemData&quot;:{&quot;type&quot;:&quot;article-journal&quot;,&quot;id&quot;:&quot;d80a76be-bc07-36a2-9c79-82f18f1d2b7d&quot;,&quot;title&quot;:&quot;Detection and measurement of urinary 2-hydroxyestradiol 17-sulfate, a potential placental antioxidant during pregnancy&quot;,&quot;author&quot;:[{&quot;family&quot;:&quot;Takanashi&quot;,&quot;given&quot;:&quot;Kaori&quot;,&quot;parse-names&quot;:false,&quot;dropping-particle&quot;:&quot;&quot;,&quot;non-dropping-particle&quot;:&quot;&quot;},{&quot;family&quot;:&quot;Honma&quot;,&quot;given&quot;:&quot;Takashi&quot;,&quot;parse-names&quot;:false,&quot;dropping-particle&quot;:&quot;&quot;,&quot;non-dropping-particle&quot;:&quot;&quot;},{&quot;family&quot;:&quot;Kashiwagi&quot;,&quot;given&quot;:&quot;Tomohiro&quot;,&quot;parse-names&quot;:false,&quot;dropping-particle&quot;:&quot;&quot;,&quot;non-dropping-particle&quot;:&quot;&quot;},{&quot;family&quot;:&quot;Honjo&quot;,&quot;given&quot;:&quot;Hideo&quot;,&quot;parse-names&quot;:false,&quot;dropping-particle&quot;:&quot;&quot;,&quot;non-dropping-particle&quot;:&quot;&quot;},{&quot;family&quot;:&quot;Yoshizawa&quot;,&quot;given&quot;:&quot;Itsuo&quot;,&quot;parse-names&quot;:false,&quot;dropping-particle&quot;:&quot;&quot;,&quot;non-dropping-particle&quot;:&quot;&quot;}],&quot;container-title&quot;:&quot;Clinical Chemistry&quot;,&quot;accessed&quot;:{&quot;date-parts&quot;:[[2020,10,12]]},&quot;DOI&quot;:&quot;10.1093/clinchem/46.3.373&quot;,&quot;ISSN&quot;:&quot;00099147&quot;,&quot;PMID&quot;:&quot;10702524&quot;,&quot;URL&quot;:&quot;https://pubmed.ncbi.nlm.nih.gov/10702524/&quot;,&quot;issued&quot;:{&quot;date-parts&quot;:[[2000]]},&quot;page&quot;:&quot;373-378&quot;,&quot;abstract&quot;:&quot;Background: Preeclampsia is associated with a quantitative imbalance between lipid peroxide and an antioxidant coproduced in the placenta. To investigate our hypothesis that 2-hydroxyestradiol 17-sulfate (2-OH-ES) is the placental antioxidant during pregnancy, we developed an assay for 2-OH-ES in urine and studied samples from women with and without preeclampsia. Methods: The detection and measurement of 2-OH-ES in the urine of pregnant women were performed by RIA using highly specific antiserum to 2-OH-ES. To confirm the reliability of the RIA method, the same samples were analyzed by HPLC using an electrochemical detector. Results: Urinary 2-OH-ES values obtained by RIA showed a close relationship to those obtained by HPLC (y = 1.1x - 0.01; r = 0.96). The urinary 2-OH-ES concentrations during the first, second, and third trimesters were 2.0 ± 0.6 (mean ± SE, n = 13), 5.3 ± 1.3 (n = 21), and 15.3 ± 2.0 μg/mg creatinine (n = 54), respectively, and &lt;0.15 μg/mg creatinine (n = 10) at 2-24 h after delivery. The concentrations in preeclamptic women during the third trimester were significantly lower, 3.9 ± 1.9 μg/mg creatinine (mean ± SE, n = 12). Conclusions: RIA can be used to measure urinary 2-OH-ES during pregnancy. The increase in urinary 2-OH-ES during gestation, its decrease after delivery, and the lower values in preeclampsia are consistent with a role of 2-OH-ES as a placental antioxidant. (C) 2000 American Association for Clinical Chemistry.&quot;,&quot;publisher&quot;:&quot;American Association for Clinical Chemistry Inc.&quot;,&quot;issue&quot;:&quot;3&quot;,&quot;volume&quot;:&quot;46&quot;},&quot;isTemporary&quot;:false}],&quot;properties&quot;:{&quot;noteIndex&quot;:0},&quot;isEdited&quot;:false,&quot;manualOverride&quot;:{&quot;isManuallyOverriden&quot;:false,&quot;citeprocText&quot;:&quot;&lt;sup&gt;12&lt;/sup&gt;&quot;,&quot;manualOverrideText&quot;:&quot;&quot;}}"/>
                <w:id w:val="1714221319"/>
                <w:placeholder>
                  <w:docPart w:val="DefaultPlaceholder_-1854013440"/>
                </w:placeholder>
              </w:sdtPr>
              <w:sdtContent>
                <w:r w:rsidR="00D67E97" w:rsidRPr="00D67E97">
                  <w:rPr>
                    <w:color w:val="000000"/>
                    <w:sz w:val="22"/>
                    <w:szCs w:val="22"/>
                    <w:vertAlign w:val="superscript"/>
                  </w:rPr>
                  <w:t>12</w:t>
                </w:r>
              </w:sdtContent>
            </w:sdt>
            <w:r w:rsidR="00D67E97">
              <w:rPr>
                <w:sz w:val="22"/>
                <w:szCs w:val="22"/>
              </w:rPr>
              <w:t xml:space="preserve">       </w:t>
            </w:r>
          </w:p>
        </w:tc>
      </w:tr>
      <w:tr w:rsidR="00E21241" w:rsidRPr="00506483" w14:paraId="005C9A9D" w14:textId="77777777" w:rsidTr="00C2658D">
        <w:tc>
          <w:tcPr>
            <w:tcW w:w="2541" w:type="dxa"/>
            <w:vAlign w:val="center"/>
          </w:tcPr>
          <w:p w14:paraId="2D61D817" w14:textId="77777777" w:rsidR="00E21241" w:rsidRPr="00506483" w:rsidRDefault="00E21241" w:rsidP="00C2658D">
            <w:pPr>
              <w:rPr>
                <w:sz w:val="22"/>
                <w:szCs w:val="22"/>
              </w:rPr>
            </w:pPr>
            <w:r w:rsidRPr="00506483">
              <w:rPr>
                <w:b/>
                <w:bCs/>
                <w:sz w:val="22"/>
                <w:szCs w:val="22"/>
              </w:rPr>
              <w:t>4-hydroxyestrone</w:t>
            </w:r>
          </w:p>
        </w:tc>
        <w:tc>
          <w:tcPr>
            <w:tcW w:w="2494" w:type="dxa"/>
            <w:vAlign w:val="center"/>
          </w:tcPr>
          <w:p w14:paraId="1DABB789" w14:textId="77777777" w:rsidR="00E21241" w:rsidRPr="00506483" w:rsidRDefault="00E21241" w:rsidP="00C2658D">
            <w:pPr>
              <w:rPr>
                <w:sz w:val="22"/>
                <w:szCs w:val="22"/>
              </w:rPr>
            </w:pPr>
            <w:r w:rsidRPr="00506483">
              <w:rPr>
                <w:sz w:val="22"/>
                <w:szCs w:val="22"/>
              </w:rPr>
              <w:t>Estrogen metabolite via estrone</w:t>
            </w:r>
          </w:p>
        </w:tc>
        <w:tc>
          <w:tcPr>
            <w:tcW w:w="4950" w:type="dxa"/>
            <w:vAlign w:val="center"/>
          </w:tcPr>
          <w:p w14:paraId="5FACB9B1" w14:textId="02A10E07" w:rsidR="00E21241" w:rsidRPr="00506483" w:rsidRDefault="00E21241" w:rsidP="00C2658D">
            <w:pPr>
              <w:rPr>
                <w:sz w:val="22"/>
                <w:szCs w:val="22"/>
              </w:rPr>
            </w:pPr>
            <w:r w:rsidRPr="00506483">
              <w:rPr>
                <w:sz w:val="22"/>
                <w:szCs w:val="22"/>
              </w:rPr>
              <w:t xml:space="preserve">Estrogen </w:t>
            </w:r>
            <w:r>
              <w:rPr>
                <w:sz w:val="22"/>
                <w:szCs w:val="22"/>
              </w:rPr>
              <w:t xml:space="preserve">receptor </w:t>
            </w:r>
            <w:proofErr w:type="gramStart"/>
            <w:r w:rsidRPr="00506483">
              <w:rPr>
                <w:sz w:val="22"/>
                <w:szCs w:val="22"/>
              </w:rPr>
              <w:t>agonist;</w:t>
            </w:r>
            <w:proofErr w:type="gramEnd"/>
            <w:r w:rsidRPr="00506483">
              <w:rPr>
                <w:sz w:val="22"/>
                <w:szCs w:val="22"/>
              </w:rPr>
              <w:t xml:space="preserve"> </w:t>
            </w:r>
            <w:r>
              <w:rPr>
                <w:sz w:val="22"/>
                <w:szCs w:val="22"/>
              </w:rPr>
              <w:t>relative to other metabolites, may indicate health risks;</w:t>
            </w:r>
            <w:r w:rsidRPr="00506483">
              <w:rPr>
                <w:sz w:val="22"/>
                <w:szCs w:val="22"/>
              </w:rPr>
              <w:t xml:space="preserve"> may be proangiogenic</w:t>
            </w:r>
            <w:sdt>
              <w:sdtPr>
                <w:rPr>
                  <w:color w:val="000000"/>
                  <w:sz w:val="22"/>
                  <w:szCs w:val="22"/>
                  <w:vertAlign w:val="superscript"/>
                </w:rPr>
                <w:tag w:val="MENDELEY_CITATION_{&quot;citationID&quot;:&quot;MENDELEY_CITATION_96a9944c-fba0-487e-9de2-66c92730d814&quot;,&quot;citationItems&quot;:[{&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11&lt;/sup&gt;&quot;,&quot;manualOverrideText&quot;:&quot;&quot;}}"/>
                <w:id w:val="467872257"/>
                <w:placeholder>
                  <w:docPart w:val="DefaultPlaceholder_-1854013440"/>
                </w:placeholder>
              </w:sdtPr>
              <w:sdtContent>
                <w:r w:rsidR="00FB2EC7" w:rsidRPr="00FB2EC7">
                  <w:rPr>
                    <w:color w:val="000000"/>
                    <w:sz w:val="22"/>
                    <w:szCs w:val="22"/>
                    <w:vertAlign w:val="superscript"/>
                  </w:rPr>
                  <w:t>11</w:t>
                </w:r>
              </w:sdtContent>
            </w:sdt>
            <w:r w:rsidR="00FB2EC7">
              <w:rPr>
                <w:sz w:val="22"/>
                <w:szCs w:val="22"/>
              </w:rPr>
              <w:t xml:space="preserve">     </w:t>
            </w:r>
          </w:p>
        </w:tc>
      </w:tr>
      <w:tr w:rsidR="00E21241" w:rsidRPr="00506483" w14:paraId="2870DE32" w14:textId="77777777" w:rsidTr="00C2658D">
        <w:tc>
          <w:tcPr>
            <w:tcW w:w="2541" w:type="dxa"/>
            <w:vAlign w:val="center"/>
          </w:tcPr>
          <w:p w14:paraId="7BA42E4E" w14:textId="77777777" w:rsidR="00E21241" w:rsidRPr="00506483" w:rsidRDefault="00E21241" w:rsidP="00C2658D">
            <w:pPr>
              <w:rPr>
                <w:sz w:val="22"/>
                <w:szCs w:val="22"/>
              </w:rPr>
            </w:pPr>
            <w:r w:rsidRPr="00506483">
              <w:rPr>
                <w:b/>
                <w:bCs/>
                <w:sz w:val="22"/>
                <w:szCs w:val="22"/>
              </w:rPr>
              <w:t xml:space="preserve">16-hydroxyestrone </w:t>
            </w:r>
          </w:p>
        </w:tc>
        <w:tc>
          <w:tcPr>
            <w:tcW w:w="2494" w:type="dxa"/>
            <w:vAlign w:val="center"/>
          </w:tcPr>
          <w:p w14:paraId="64916C28" w14:textId="77777777" w:rsidR="00E21241" w:rsidRPr="00506483" w:rsidRDefault="00E21241" w:rsidP="00C2658D">
            <w:pPr>
              <w:rPr>
                <w:sz w:val="22"/>
                <w:szCs w:val="22"/>
              </w:rPr>
            </w:pPr>
            <w:r w:rsidRPr="00506483">
              <w:rPr>
                <w:sz w:val="22"/>
                <w:szCs w:val="22"/>
              </w:rPr>
              <w:t>Estrogen metabolite via estrone</w:t>
            </w:r>
          </w:p>
        </w:tc>
        <w:tc>
          <w:tcPr>
            <w:tcW w:w="4950" w:type="dxa"/>
            <w:vAlign w:val="center"/>
          </w:tcPr>
          <w:p w14:paraId="39EF327E" w14:textId="01E5A38D" w:rsidR="00E21241" w:rsidRPr="00506483" w:rsidRDefault="00E21241" w:rsidP="00C2658D">
            <w:pPr>
              <w:rPr>
                <w:sz w:val="22"/>
                <w:szCs w:val="22"/>
              </w:rPr>
            </w:pPr>
            <w:r w:rsidRPr="00506483">
              <w:rPr>
                <w:sz w:val="22"/>
                <w:szCs w:val="22"/>
              </w:rPr>
              <w:t xml:space="preserve">Estrogen </w:t>
            </w:r>
            <w:r>
              <w:rPr>
                <w:sz w:val="22"/>
                <w:szCs w:val="22"/>
              </w:rPr>
              <w:t xml:space="preserve">receptor </w:t>
            </w:r>
            <w:r w:rsidRPr="00506483">
              <w:rPr>
                <w:sz w:val="22"/>
                <w:szCs w:val="22"/>
              </w:rPr>
              <w:t>agonist; proliferative</w:t>
            </w:r>
            <w:r>
              <w:rPr>
                <w:sz w:val="22"/>
                <w:szCs w:val="22"/>
              </w:rPr>
              <w:t>; relative to other metabolites, may indicate health risks;</w:t>
            </w:r>
            <w:r w:rsidRPr="00506483">
              <w:rPr>
                <w:sz w:val="22"/>
                <w:szCs w:val="22"/>
              </w:rPr>
              <w:t xml:space="preserve"> 2/16OHE1 ratio may be a marker of estrogen related cancer risk</w:t>
            </w:r>
            <w:r>
              <w:rPr>
                <w:sz w:val="22"/>
                <w:szCs w:val="22"/>
              </w:rPr>
              <w:t>; t</w:t>
            </w:r>
            <w:r w:rsidRPr="00506483">
              <w:rPr>
                <w:sz w:val="22"/>
                <w:szCs w:val="22"/>
              </w:rPr>
              <w:t xml:space="preserve">ogether with </w:t>
            </w:r>
            <w:r>
              <w:rPr>
                <w:sz w:val="22"/>
                <w:szCs w:val="22"/>
              </w:rPr>
              <w:t>estriol indicates activity of 16-hydroxylation pathway</w:t>
            </w:r>
            <w:sdt>
              <w:sdtPr>
                <w:rPr>
                  <w:color w:val="000000"/>
                  <w:sz w:val="22"/>
                  <w:szCs w:val="22"/>
                  <w:vertAlign w:val="superscript"/>
                </w:rPr>
                <w:tag w:val="MENDELEY_CITATION_{&quot;citationID&quot;:&quot;MENDELEY_CITATION_d545e535-68d3-4caf-8215-062a018009fd&quot;,&quot;citationItems&quot;:[{&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148e64cb-1abb-324b-8962-f0c598dd3551&quot;,&quot;itemData&quot;:{&quot;type&quot;:&quot;article-journal&quot;,&quot;id&quot;:&quot;148e64cb-1abb-324b-8962-f0c598dd3551&quot;,&quot;title&quot;:&quot;The effects of aerobic exercise on estrogen metabolism in healthy premenopausal women&quot;,&quot;author&quot;:[{&quot;family&quot;:&quot;Smith&quot;,&quot;given&quot;:&quot;Alma J.&quot;,&quot;parse-names&quot;:false,&quot;dropping-particle&quot;:&quot;&quot;,&quot;non-dropping-particle&quot;:&quot;&quot;},{&quot;family&quot;:&quot;Phipps&quot;,&quot;given&quot;:&quot;William R.&quot;,&quot;parse-names&quot;:false,&quot;dropping-particle&quot;:&quot;&quot;,&quot;non-dropping-particle&quot;:&quot;&quot;},{&quot;family&quot;:&quot;Thomas&quot;,&quot;given&quot;:&quot;William&quot;,&quot;parse-names&quot;:false,&quot;dropping-particle&quot;:&quot;&quot;,&quot;non-dropping-particle&quot;:&quot;&quot;},{&quot;family&quot;:&quot;Schmitz&quot;,&quot;given&quot;:&quot;Kathryn H.&quot;,&quot;parse-names&quot;:false,&quot;dropping-particle&quot;:&quot;&quot;,&quot;non-dropping-particle&quot;:&quot;&quot;},{&quot;family&quot;:&quot;Kurzer&quot;,&quot;given&quot;:&quot;Mindy S.&quot;,&quot;parse-names&quot;:false,&quot;dropping-particle&quot;:&quot;&quot;,&quot;non-dropping-particle&quot;:&quot;&quot;}],&quot;container-title&quot;:&quot;Cancer Epidemiology Biomarkers and Prevention&quot;,&quot;accessed&quot;:{&quot;date-parts&quot;:[[2020,10,12]]},&quot;DOI&quot;:&quot;10.1158/1055-9965.EPI-12-1325&quot;,&quot;ISSN&quot;:&quot;10559965&quot;,&quot;PMID&quot;:&quot;23652373&quot;,&quot;URL&quot;:&quot;https://pubmed.ncbi.nlm.nih.gov/23652373/&quot;,&quot;issued&quot;:{&quot;date-parts&quot;:[[2013,5]]},&quot;page&quot;:&quot;756-764&quot;,&quot;abstract&quot;:&quot;Background: It is well accepted that exercise can decrease breast cancer risk. Limited clinical evidence suggests that this risk could be mediated through changes in estrogen metabolism in premenopausal women. Our objective was to investigate the effects of exercise on premenopausal estrogen metabolism pertinent to breast cancer risk. Methods: Sedentary, healthy, young eumenorrheic women were randomized into an intervention of 30 minutes of moderate-to-vigorous aerobic exercise five times a week for approximately 16 weeks (n = 212), or into a usual-lifestyle sedentary control group (n = 179). Urinary levels of estrogens [estrone [E1], estradiol, and estriol] and nine estrogen metabolites were measured at baseline and at study end by liquid chromatography/ tandem mass spectrometry. The ratios of 2-hydroxyestrone to 16a-hydroxyestrone (2-OHE1/16a-OHE1) and 2- OHE 1 to 4-hydroxyestrone (2- OHE1/4-OHE1) were also calculated. Results: The exercise intervention resulted in significant increases in aerobic fitness and lean body mass and a significant decrease in percent body fat. For exerciserswhocompleted the study (n=165),2-OHE 1/16a-OHE1 increased significantly (P = 0.043), whereas E1 decreased significantly (P = 0.030) in control participants (n = 153). The change from baseline in 2-OHE1/16alpha;-OHE1 was significantly different between groups (P = 0.045), even after adjustment for baseline values. Conclusions: The exercise intervention resulted in a significant increase in the 2-OHE1/16alpha;-OHE1 ratio but no differences in other estrogen metabolites or ratios. Impact: Our results suggest that changes in premenopausal estrogen metabolism may be a mechanism by which increased physical activity lowers breast cancer risk. Cancer Epidemiol Biomarkers Prev; 22(5); 756-64. © 2013 AACR.&quot;,&quot;publisher&quot;:&quot;Cancer Epidemiol Biomarkers Prev&quot;,&quot;issue&quot;:&quot;5&quot;,&quot;volume&quot;:&quot;22&quot;},&quot;isTemporary&quot;:false},{&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6,7,10,11&lt;/sup&gt;&quot;,&quot;manualOverrideText&quot;:&quot;&quot;}}"/>
                <w:id w:val="328178880"/>
                <w:placeholder>
                  <w:docPart w:val="DefaultPlaceholder_-1854013440"/>
                </w:placeholder>
              </w:sdtPr>
              <w:sdtContent>
                <w:r w:rsidR="009D133E" w:rsidRPr="009D133E">
                  <w:rPr>
                    <w:color w:val="000000"/>
                    <w:sz w:val="22"/>
                    <w:szCs w:val="22"/>
                    <w:vertAlign w:val="superscript"/>
                  </w:rPr>
                  <w:t>6,7,10,11</w:t>
                </w:r>
              </w:sdtContent>
            </w:sdt>
            <w:r w:rsidR="00FB2EC7">
              <w:rPr>
                <w:sz w:val="22"/>
                <w:szCs w:val="22"/>
              </w:rPr>
              <w:t xml:space="preserve">        </w:t>
            </w:r>
          </w:p>
        </w:tc>
      </w:tr>
      <w:tr w:rsidR="00E21241" w:rsidRPr="00506483" w14:paraId="3ACEA558" w14:textId="77777777" w:rsidTr="00C2658D">
        <w:tc>
          <w:tcPr>
            <w:tcW w:w="2541" w:type="dxa"/>
            <w:vAlign w:val="center"/>
          </w:tcPr>
          <w:p w14:paraId="0D08F684" w14:textId="77777777" w:rsidR="00E21241" w:rsidRPr="00506483" w:rsidRDefault="00E21241" w:rsidP="00C2658D">
            <w:pPr>
              <w:rPr>
                <w:b/>
                <w:bCs/>
                <w:sz w:val="22"/>
                <w:szCs w:val="22"/>
              </w:rPr>
            </w:pPr>
            <w:r w:rsidRPr="00506483">
              <w:rPr>
                <w:b/>
                <w:bCs/>
                <w:sz w:val="22"/>
                <w:szCs w:val="22"/>
              </w:rPr>
              <w:t>2-methoxyestrone</w:t>
            </w:r>
          </w:p>
        </w:tc>
        <w:tc>
          <w:tcPr>
            <w:tcW w:w="2494" w:type="dxa"/>
            <w:vAlign w:val="center"/>
          </w:tcPr>
          <w:p w14:paraId="2BE5CAF8" w14:textId="77777777" w:rsidR="00E21241" w:rsidRPr="00506483" w:rsidRDefault="00E21241" w:rsidP="00C2658D">
            <w:pPr>
              <w:rPr>
                <w:sz w:val="22"/>
                <w:szCs w:val="22"/>
              </w:rPr>
            </w:pPr>
            <w:r>
              <w:rPr>
                <w:sz w:val="22"/>
                <w:szCs w:val="22"/>
              </w:rPr>
              <w:t>Estrogen metabolite via 2-hydroxyestrone</w:t>
            </w:r>
          </w:p>
        </w:tc>
        <w:tc>
          <w:tcPr>
            <w:tcW w:w="4950" w:type="dxa"/>
            <w:vAlign w:val="center"/>
          </w:tcPr>
          <w:p w14:paraId="29A85B98" w14:textId="6DECFA2E" w:rsidR="00E21241" w:rsidRPr="00506483" w:rsidRDefault="00E21241" w:rsidP="00C2658D">
            <w:pPr>
              <w:rPr>
                <w:sz w:val="22"/>
                <w:szCs w:val="22"/>
              </w:rPr>
            </w:pPr>
            <w:r w:rsidRPr="00506483">
              <w:rPr>
                <w:sz w:val="22"/>
                <w:szCs w:val="22"/>
              </w:rPr>
              <w:t xml:space="preserve">May be anti-angiogenic; </w:t>
            </w:r>
            <w:r>
              <w:rPr>
                <w:sz w:val="22"/>
                <w:szCs w:val="22"/>
              </w:rPr>
              <w:t>t</w:t>
            </w:r>
            <w:r w:rsidRPr="00506483">
              <w:rPr>
                <w:sz w:val="22"/>
                <w:szCs w:val="22"/>
              </w:rPr>
              <w:t>ogether with 2-</w:t>
            </w:r>
            <w:r>
              <w:rPr>
                <w:sz w:val="22"/>
                <w:szCs w:val="22"/>
              </w:rPr>
              <w:t xml:space="preserve">hydroxyestrone and </w:t>
            </w:r>
            <w:r w:rsidRPr="00506483">
              <w:rPr>
                <w:sz w:val="22"/>
                <w:szCs w:val="22"/>
              </w:rPr>
              <w:t>2-</w:t>
            </w:r>
            <w:r>
              <w:rPr>
                <w:sz w:val="22"/>
                <w:szCs w:val="22"/>
              </w:rPr>
              <w:t>hydroxyestradiol indicates activity of 2-hydroxylation pathway</w:t>
            </w:r>
            <w:sdt>
              <w:sdtPr>
                <w:rPr>
                  <w:color w:val="000000"/>
                  <w:sz w:val="22"/>
                  <w:szCs w:val="22"/>
                  <w:vertAlign w:val="superscript"/>
                </w:rPr>
                <w:tag w:val="MENDELEY_CITATION_{&quot;citationID&quot;:&quot;MENDELEY_CITATION_d89b33f3-2f35-43ea-abef-2d65a705437a&quot;,&quot;citationItems&quot;:[{&quot;id&quot;:&quot;89961140-c029-38c6-bb4f-f75e9a6a8969&quot;,&quot;itemData&quot;:{&quot;type&quot;:&quot;article-journal&quot;,&quot;id&quot;:&quot;89961140-c029-38c6-bb4f-f75e9a6a8969&quot;,&quot;title&quot;:&quot;A phase II multicenter, randomized, double-blind, safety trial assessing the pharmacokinetics, pharmacodynamics, and efficacy of oral 2-methoxyestradiol capsules in hormone-refractory prostate cancer&quot;,&quot;author&quot;:[{&quot;family&quot;:&quot;Sweeney&quot;,&quot;given&quot;:&quot;Christopher&quot;,&quot;parse-names&quot;:false,&quot;dropping-particle&quot;:&quot;&quot;,&quot;non-dropping-particle&quot;:&quot;&quot;},{&quot;family&quot;:&quot;Liu&quot;,&quot;given&quot;:&quot;Glenn&quot;,&quot;parse-names&quot;:false,&quot;dropping-particle&quot;:&quot;&quot;,&quot;non-dropping-particle&quot;:&quot;&quot;},{&quot;family&quot;:&quot;Yiannoutsos&quot;,&quot;given&quot;:&quot;Constantin&quot;,&quot;parse-names&quot;:false,&quot;dropping-particle&quot;:&quot;&quot;,&quot;non-dropping-particle&quot;:&quot;&quot;},{&quot;family&quot;:&quot;Kolesar&quot;,&quot;given&quot;:&quot;Jill&quot;,&quot;parse-names&quot;:false,&quot;dropping-particle&quot;:&quot;&quot;,&quot;non-dropping-particle&quot;:&quot;&quot;},{&quot;family&quot;:&quot;Horvath&quot;,&quot;given&quot;:&quot;Dorothea&quot;,&quot;parse-names&quot;:false,&quot;dropping-particle&quot;:&quot;&quot;,&quot;non-dropping-particle&quot;:&quot;&quot;},{&quot;family&quot;:&quot;Staab&quot;,&quot;given&quot;:&quot;Mary Jane&quot;,&quot;parse-names&quot;:false,&quot;dropping-particle&quot;:&quot;&quot;,&quot;non-dropping-particle&quot;:&quot;&quot;},{&quot;family&quot;:&quot;Fife&quot;,&quot;given&quot;:&quot;Karen&quot;,&quot;parse-names&quot;:false,&quot;dropping-particle&quot;:&quot;&quot;,&quot;non-dropping-particle&quot;:&quot;&quot;},{&quot;family&quot;:&quot;Armstrong&quot;,&quot;given&quot;:&quot;Victoria&quot;,&quot;parse-names&quot;:false,&quot;dropping-particle&quot;:&quot;&quot;,&quot;non-dropping-particle&quot;:&quot;&quot;},{&quot;family&quot;:&quot;Treston&quot;,&quot;given&quot;:&quot;Anthony&quot;,&quot;parse-names&quot;:false,&quot;dropping-particle&quot;:&quot;&quot;,&quot;non-dropping-particle&quot;:&quot;&quot;},{&quot;family&quot;:&quot;Sidor&quot;,&quot;given&quot;:&quot;Carolyn&quot;,&quot;parse-names&quot;:false,&quot;dropping-particle&quot;:&quot;&quot;,&quot;non-dropping-particle&quot;:&quot;&quot;},{&quot;family&quot;:&quot;Wilding&quot;,&quot;given&quot;:&quot;George&quot;,&quot;parse-names&quot;:false,&quot;dropping-particle&quot;:&quot;&quot;,&quot;non-dropping-particle&quot;:&quot;&quot;}],&quot;container-title&quot;:&quot;Clinical Cancer Research&quot;,&quot;accessed&quot;:{&quot;date-parts&quot;:[[2020,10,12]]},&quot;DOI&quot;:&quot;10.1158/1078-0432.CCR-05-0440&quot;,&quot;ISSN&quot;:&quot;10780432&quot;,&quot;PMID&quot;:&quot;16166441&quot;,&quot;URL&quot;:&quot;https://pubmed.ncbi.nlm.nih.gov/16166441/&quot;,&quot;issued&quot;:{&quot;date-parts&quot;:[[2005,9,15]]},&quot;page&quot;:&quot;6625-6633&quot;,&quot;abstract&quot;:&quot;Purpose: To determine whether the preclinical antitumor and antiangiogenic activity of 2-methoxyestradiol can be translated to the clinic. Experimental Design: Men with hormone-refractory prostate cancer were enrolled into this phase II randomized, double-blind trial of two doses of oral 2-methoxyestradiol capsules (400 and 1,200 mg/d) given in 4-week cycles. Pharmacokinetic sampling was done on day 1 of cycles 1 and 2 and trough samples were obtained weekly. Results: Thirty-three men were accrued between February and September 2001. The notable toxicity related to therapy was one grade 2 and two grade 3 episodes of liver transaminase elevation, which resolved with continued treatment in two patients. There were two cases of deep venous thromboses. The drug had nonlinear pharmacokinetic, rapid conversion to 2-methoxyestrone and ∼85% conjugation. Trough plasma levels of unconjugated 2-methoxyestradiol and 2-methoxyestrone were ∼4 and 40 ng/mL, respectively. Prostate-specific antigen declines between 21% and 40% were seen in seven patients in the 1,200 mg group and in one patient in the 400 mg group. The higher-dose group showed significantly decreased prostate-specific antigen velocity (P = 0.037) and compared with the 400 mg dose had a longer median time to prostate-specific antigen progression (109 versus 67 days; P = 0.094) and time on study (126 versus 61 days; P = 0.024). There was a 2.5- and 4-fold increase in sex hormone-binding globulin for the 400 and 1,200 mg dose levels, respectively, at days 28 and 56. Conclusion: 2-Methoxyestradiol is well tolerated and, despite suboptimal plasma levels and limited oral bioavailability with this capsule formulation, still showed some anticancer activity at 1,200 mg/d. © 2005 American Association for Cancer Research.&quot;,&quot;publisher&quot;:&quot;Clin Cancer Res&quot;,&quot;issue&quot;:&quot;18&quot;,&quot;volume&quot;:&quot;11&quot;},&quot;isTemporary&quot;:false},{&quot;id&quot;:&quot;374f5cac-c13c-3bef-8f27-dbcae3a2bf3e&quot;,&quot;itemData&quot;:{&quot;type&quot;:&quot;article-journal&quot;,&quot;id&quot;:&quot;374f5cac-c13c-3bef-8f27-dbcae3a2bf3e&quot;,&quot;title&quot;:&quot;Inhibition of in vitro angiogenesis by 2-methoxy- and 2-ethyl-estrogen sulfamates&quot;,&quot;author&quot;:[{&quot;family&quot;:&quot;Newman&quot;,&quot;given&quot;:&quot;Simon P.&quot;,&quot;parse-names&quot;:false,&quot;dropping-particle&quot;:&quot;&quot;,&quot;non-dropping-particle&quot;:&quot;&quot;},{&quot;family&quot;:&quot;Leese&quot;,&quot;given&quot;:&quot;Mathew P.&quot;,&quot;parse-names&quot;:false,&quot;dropping-particle&quot;:&quot;&quot;,&quot;non-dropping-particle&quot;:&quot;&quot;},{&quot;family&quot;:&quot;Purohit&quot;,&quot;given&quot;:&quot;Atul&quot;,&quot;parse-names&quot;:false,&quot;dropping-particle&quot;:&quot;&quot;,&quot;non-dropping-particle&quot;:&quot;&quot;},{&quot;family&quot;:&quot;James&quot;,&quot;given&quot;:&quot;David R.C.&quot;,&quot;parse-names&quot;:false,&quot;dropping-particle&quot;:&quot;&quot;,&quot;non-dropping-particle&quot;:&quot;&quot;},{&quot;family&quot;:&quot;Rennie&quot;,&quot;given&quot;:&quot;Catherine E.&quot;,&quot;parse-names&quot;:false,&quot;dropping-particle&quot;:&quot;&quot;,&quot;non-dropping-particle&quot;:&quot;&quot;},{&quot;family&quot;:&quot;Potter&quot;,&quot;given&quot;:&quot;Barry V.L.&quot;,&quot;parse-names&quot;:false,&quot;dropping-particle&quot;:&quot;&quot;,&quot;non-dropping-particle&quot;:&quot;&quot;},{&quot;family&quot;:&quot;Reed&quot;,&quot;given&quot;:&quot;Michael J.&quot;,&quot;parse-names&quot;:false,&quot;dropping-particle&quot;:&quot;&quot;,&quot;non-dropping-particle&quot;:&quot;&quot;}],&quot;container-title&quot;:&quot;International Journal of Cancer&quot;,&quot;accessed&quot;:{&quot;date-parts&quot;:[[2020,10,12]]},&quot;DOI&quot;:&quot;10.1002/ijc.20045&quot;,&quot;ISSN&quot;:&quot;00207136&quot;,&quot;PMID&quot;:&quot;14991574&quot;,&quot;URL&quot;:&quot;https://pubmed.ncbi.nlm.nih.gov/14991574/&quot;,&quot;issued&quot;:{&quot;date-parts&quot;:[[2004,4,20]]},&quot;page&quot;:&quot;533-540&quot;,&quot;abstract&quot;:&quot;Sulfamoylation of 2-methoxyestrone (2-MeOEI) was shown previously to enhance its potency as an anti-proliferative agent against breast cancer cells. We have examined the ability of a series of 2-methoxyestradiol (2-MeOE2) and 2-ethylestradiol (2-EtE2) sulfamates to inhibit angiogenesis in vitro. 2-MeOE2 bis-sulfamate and 2-EtE2 sulfamate were potent inhibitors of human umbilical vein endothelial cell (HUVEC) proliferation with IC50 values of 0.05 μM and 0.01 μM, respectively. A novel co-culture system, in which endothelial cells were cultured in a matrix of human dermal fibroblasts, was also used to assess the anti-angiogenic potential of these drugs. In this system endothelial cells proliferate and migrate through the culture matrix to form tubule structures. Whereas 2-MeOE2 (1.0 μM) caused a small reduction in tubule formation, both 2-MeOE2 bis-sulfamate (0.1 μM) and 2-EtE2 sulfamate (0.1 μM) almost completely abolished tubule formation. 2-MeOE2 bis-sulfamate and 2-EtE2 sulfamate both induced BCL-2 phosphorylation, p53 protein expression and apoptosis in HUVECs. Microarray analysis of a limited number of genes known to be involved in the angiogenic process did not show any gross changes in cells treated with the 2-substituted estrogens. The sulfamoylated derivatives of 2-MeOE2 and 2-EtE2 are potent inhibitors of in vitro angiogenesis and both compounds should have therapeutic potential. © 2004 Wiley-Liss, Inc.&quot;,&quot;publisher&quot;:&quot;Int J Cancer&quot;,&quot;issue&quot;:&quot;4&quot;,&quot;volume&quot;:&quot;109&quot;},&quot;isTemporary&quot;:false}],&quot;properties&quot;:{&quot;noteIndex&quot;:0},&quot;isEdited&quot;:false,&quot;manualOverride&quot;:{&quot;isManuallyOverriden&quot;:false,&quot;citeprocText&quot;:&quot;&lt;sup&gt;13,14&lt;/sup&gt;&quot;,&quot;manualOverrideText&quot;:&quot;&quot;}}"/>
                <w:id w:val="1113096698"/>
                <w:placeholder>
                  <w:docPart w:val="DefaultPlaceholder_-1854013440"/>
                </w:placeholder>
              </w:sdtPr>
              <w:sdtContent>
                <w:r w:rsidR="009D133E" w:rsidRPr="009D133E">
                  <w:rPr>
                    <w:color w:val="000000"/>
                    <w:sz w:val="22"/>
                    <w:szCs w:val="22"/>
                    <w:vertAlign w:val="superscript"/>
                  </w:rPr>
                  <w:t>13,14</w:t>
                </w:r>
              </w:sdtContent>
            </w:sdt>
            <w:r w:rsidR="009D133E">
              <w:rPr>
                <w:sz w:val="22"/>
                <w:szCs w:val="22"/>
              </w:rPr>
              <w:t xml:space="preserve">    </w:t>
            </w:r>
          </w:p>
        </w:tc>
      </w:tr>
      <w:tr w:rsidR="00E21241" w:rsidRPr="00506483" w14:paraId="096FC62E" w14:textId="77777777" w:rsidTr="00C2658D">
        <w:tc>
          <w:tcPr>
            <w:tcW w:w="2541" w:type="dxa"/>
            <w:vAlign w:val="center"/>
          </w:tcPr>
          <w:p w14:paraId="24A9F39E" w14:textId="77777777" w:rsidR="00E21241" w:rsidRPr="00506483" w:rsidRDefault="00E21241" w:rsidP="00C2658D">
            <w:pPr>
              <w:rPr>
                <w:b/>
                <w:bCs/>
                <w:sz w:val="22"/>
                <w:szCs w:val="22"/>
              </w:rPr>
            </w:pPr>
            <w:r w:rsidRPr="00506483">
              <w:rPr>
                <w:b/>
                <w:bCs/>
                <w:sz w:val="22"/>
                <w:szCs w:val="22"/>
              </w:rPr>
              <w:t xml:space="preserve">Testosterone </w:t>
            </w:r>
          </w:p>
        </w:tc>
        <w:tc>
          <w:tcPr>
            <w:tcW w:w="2494" w:type="dxa"/>
            <w:vAlign w:val="center"/>
          </w:tcPr>
          <w:p w14:paraId="26F3B54A" w14:textId="77777777" w:rsidR="00E21241" w:rsidRPr="00506483" w:rsidRDefault="00E21241" w:rsidP="00C2658D">
            <w:pPr>
              <w:rPr>
                <w:sz w:val="22"/>
                <w:szCs w:val="22"/>
              </w:rPr>
            </w:pPr>
            <w:r>
              <w:rPr>
                <w:sz w:val="22"/>
                <w:szCs w:val="22"/>
              </w:rPr>
              <w:t>Primary active androgen</w:t>
            </w:r>
          </w:p>
        </w:tc>
        <w:tc>
          <w:tcPr>
            <w:tcW w:w="4950" w:type="dxa"/>
            <w:vAlign w:val="center"/>
          </w:tcPr>
          <w:p w14:paraId="6E7E96E5" w14:textId="1D2C9192" w:rsidR="00E21241" w:rsidRPr="00506483" w:rsidRDefault="00E21241" w:rsidP="00C2658D">
            <w:pPr>
              <w:rPr>
                <w:sz w:val="22"/>
                <w:szCs w:val="22"/>
              </w:rPr>
            </w:pPr>
            <w:r>
              <w:rPr>
                <w:sz w:val="22"/>
                <w:szCs w:val="22"/>
              </w:rPr>
              <w:t>Evaluation of male hypogonadism and infertility; monitoring of hormone therapy; anabolic to muscle and bone; evaluation of PCOS</w:t>
            </w:r>
            <w:sdt>
              <w:sdtPr>
                <w:rPr>
                  <w:color w:val="000000"/>
                  <w:sz w:val="22"/>
                  <w:szCs w:val="22"/>
                  <w:vertAlign w:val="superscript"/>
                </w:rPr>
                <w:tag w:val="MENDELEY_CITATION_{&quot;citationID&quot;:&quot;MENDELEY_CITATION_cb18883b-dd71-494d-a831-1c663821d178&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3f28a68d-b553-30b0-b0c7-c0997fcd631a&quot;,&quot;itemData&quot;:{&quot;type&quot;:&quot;article-journal&quot;,&quot;id&quot;:&quot;3f28a68d-b553-30b0-b0c7-c0997fcd631a&quot;,&quot;title&quot;:&quot;Measurement of androgens in women&quot;,&quot;author&quot;:[{&quot;family&quot;:&quot;Stanczyk&quot;,&quot;given&quot;:&quot;Frank Z.&quot;,&quot;parse-names&quot;:false,&quot;dropping-particle&quot;:&quot;&quot;,&quot;non-dropping-particle&quot;:&quot;&quot;}],&quot;container-title&quot;:&quot;Seminars in Reproductive Medicine&quot;,&quot;accessed&quot;:{&quot;date-parts&quot;:[[2020,9,13]]},&quot;DOI&quot;:&quot;10.1055/s-2006-939566&quot;,&quot;ISSN&quot;:&quot;15268004&quot;,&quot;PMID&quot;:&quot;16633981&quot;,&quot;URL&quot;:&quot;https://pubmed.ncbi.nlm.nih.gov/16633981/&quot;,&quot;issued&quot;:{&quot;date-parts&quot;:[[2006,4]]},&quot;page&quot;:&quot;78-85&quot;,&quot;abstract&quot;:&quot;Much of our knowledge about the physiologic role of androgens in women is based on measurements, primarily in serum, using radioimmunoassay (RIA) methodology that involves purification of the analyte by organic solvent extraction and column chromatography. Although the extraction/chromatographic RIA is highly reliable when properly validated, it is time consuming and costly. For this reason, direct RIA methods were developed. Subsequently, the radioactive marker was replaced by other labels that have been used in direct chemiluminescent, fluorescent, and enzyme immunoassays on autoanalyzers. Although direct immunoassays are simple and rapid, they are seldom thoroughly validated, and generally lack the sensitivity and specificity for reliable measurements of testosterone levels found in postmenopausal serum. In recent years there has been increased use of mass spectrometry assay methods to quantify steroid hormones. These methods are touted to become the gold standard for all steroid hormone measurements. Because urine contains predominantly glucuronidated androgens, multistep procedures are required for the measurement, which is not practical for diagnostic testing. Androgens also can be measured in saliva, but major methodologic problems are associated with the measurements. In addition, there is a misconception that salivary testosterone levels reflect free testosterone levels in serum. Copyright © 2006 by Thieme Medical Publishers, Inc.&quot;,&quot;publisher&quot;:&quot;Semin Reprod Med&quot;,&quot;issue&quot;:&quot;2&quot;,&quot;volume&quot;:&quot;24&quot;},&quot;isTemporary&quot;:false},{&quot;id&quot;:&quot;f9492d66-dfc3-300a-a4bc-b8776d712716&quot;,&quot;itemData&quot;:{&quot;type&quot;:&quot;article&quot;,&quot;id&quot;:&quot;f9492d66-dfc3-300a-a4bc-b8776d712716&quot;,&quot;title&quot;:&quot;Male hormones and men's quality of life&quot;,&quot;author&quot;:[{&quot;family&quot;:&quot;Khera&quot;,&quot;given&quot;:&quot;Mohit&quot;,&quot;parse-names&quot;:false,&quot;dropping-particle&quot;:&quot;&quot;,&quot;non-dropping-particle&quot;:&quot;&quot;}],&quot;container-title&quot;:&quot;Current Opinion in Urology&quot;,&quot;accessed&quot;:{&quot;date-parts&quot;:[[2020,10,12]]},&quot;DOI&quot;:&quot;10.1097/MOU.0000000000000256&quot;,&quot;ISSN&quot;:&quot;14736586&quot;,&quot;PMID&quot;:&quot;26765046&quot;,&quot;URL&quot;:&quot;https://pubmed.ncbi.nlm.nih.gov/26765046/&quot;,&quot;issued&quot;:{&quot;date-parts&quot;:[[2016,1,13]]},&quot;page&quot;:&quot;152-157&quot;,&quot;abstract&quot;:&quot;Purpose of review Male hormones can significantly impact a man's quality of life. Recently, there has been controversy with the use of testosterone and its impact on a man's quality of life. These controversies include testosterone's effect on cardiovascular disease, benign prostatic hyperplasia, prostate cancer, and fertility. The purpose of this manuscript is to further evaluate mainly testosterone's effect in these controversial areas as well as testosterone's overall effect on a man's quality of life. Recent findings Recent findings suggest that testosterone does not increase a man's risk of developing benign prostatic hyperplasia or prostate cancer. Men with low testosterone levels are more likely to suffer a cardiovascular event and develop insulin resistance. Exogenous testosterone is a natural contraceptive and men desiring to preserve their fertility should use mechanisms to raise their own natural endogenous testosterone production. Summary Although testosterone deficiency can significantly impair a man's quality of life, testosterone therapy has been shown to significantly improve many of these qualities, such as depression, bone mineral density, energy, libido, erectile function, muscle mass, insulin resistance, and lower urinary tract symptoms. Testosterone therapy can be administered safely to symptomatic hypogonadal men.&quot;,&quot;publisher&quot;:&quot;Lippincott Williams and Wilkins&quot;,&quot;issue&quot;:&quot;2&quot;,&quot;volume&quot;:&quot;26&quot;},&quot;isTemporary&quot;:false},{&quot;id&quot;:&quot;0121b602-040f-38e4-8368-d2170dc47543&quot;,&quot;itemData&quot;:{&quot;type&quot;:&quot;article-journal&quot;,&quot;id&quot;:&quot;0121b602-040f-38e4-8368-d2170dc47543&quot;,&quot;title&quot;:&quot;Testosterone/epitestosterone ratio in urine: a possible diagnostic tool in the disclosure of exogenous testosterone administration&quot;,&quot;author&quot;:[{&quot;family&quot;:&quot;KAPELRUD&quot;,&quot;given&quot;:&quot;H.&quot;,&quot;parse-names&quot;:false,&quot;dropping-particle&quot;:&quot;&quot;,&quot;non-dropping-particle&quot;:&quot;&quot;},{&quot;family&quot;:&quot;JOHANNESEN&quot;,&quot;given&quot;:&quot;&quot;,&quot;parse-names&quot;:false,&quot;dropping-particle&quot;:&quot;&quot;,&quot;non-dropping-particle&quot;:&quot;&quot;},{&quot;family&quot;:&quot;OFTEBRO&quot;,&quot;given&quot;:&quot;H.&quot;,&quot;parse-names&quot;:false,&quot;dropping-particle&quot;:&quot;&quot;,&quot;non-dropping-particle&quot;:&quot;&quot;}],&quot;container-title&quot;:&quot;Journal of Internal Medicine&quot;,&quot;accessed&quot;:{&quot;date-parts&quot;:[[2020,10,12]]},&quot;DOI&quot;:&quot;10.1111/j.1365-2796.1992.tb00614.x&quot;,&quot;ISSN&quot;:&quot;13652796&quot;,&quot;PMID&quot;:&quot;1453132&quot;,&quot;URL&quot;:&quot;https://pubmed.ncbi.nlm.nih.gov/1453132/&quot;,&quot;issued&quot;:{&quot;date-parts&quot;:[[1992]]},&quot;page&quot;:&quot;453-455&quot;,&quot;abstract&quot;:&quot;A 37‐year‐old woman presented with a history of secondary amenorrhoea and hirsutism for 4 years. She had elevated serum levels of testosterone and dihydrotestosterone, and decreased serum levels of sex hormone binding globulin and oestradiol. Almost daily use of a testosterone‐containing ointment in the vulvar region for 6 years was disclosed as the cause of the hyperandrogenism. Serum testosterone, testosterone excretion rate in urine and testosterone/epitestosterone ratio in urine were determined at fixed intervals 24 h before and 48 h after application of the testosterone‐containing ointment. There was a rapid increase in serum testosterone, with a peak level after 4–6 h. The testosterone excretion rate and the testosterone/epitestosterone ratio in urine peaked after 2–4 h. After 48 h the serum testosterone level was still about twice the basal value. The testosterone/epitestosterone level was over the ‘doping limit’ of 6 for 28 h. We conclude that determination of the testosterone/epitestosterone ratio in urine would have disclosed exogenous testosterone administration in this patient. We recommend this test for patients in whom exogenous testosterone administration is suspected. 1992 Blackwell Publishing Ltd&quot;,&quot;publisher&quot;:&quot;J Intern Med&quot;,&quot;issue&quot;:&quot;5&quot;,&quot;volume&quot;:&quot;232&quot;},&quot;isTemporary&quot;:false}],&quot;properties&quot;:{&quot;noteIndex&quot;:0},&quot;isEdited&quot;:false,&quot;manualOverride&quot;:{&quot;isManuallyOverriden&quot;:false,&quot;citeprocText&quot;:&quot;&lt;sup&gt;1,15–18&lt;/sup&gt;&quot;,&quot;manualOverrideText&quot;:&quot;&quot;}}"/>
                <w:id w:val="-2072100323"/>
                <w:placeholder>
                  <w:docPart w:val="DefaultPlaceholder_-1854013440"/>
                </w:placeholder>
              </w:sdtPr>
              <w:sdtContent>
                <w:r w:rsidR="00603495" w:rsidRPr="00603495">
                  <w:rPr>
                    <w:color w:val="000000"/>
                    <w:sz w:val="22"/>
                    <w:szCs w:val="22"/>
                    <w:vertAlign w:val="superscript"/>
                  </w:rPr>
                  <w:t>1,15–18</w:t>
                </w:r>
              </w:sdtContent>
            </w:sdt>
            <w:r w:rsidR="009D133E">
              <w:rPr>
                <w:sz w:val="22"/>
                <w:szCs w:val="22"/>
              </w:rPr>
              <w:t xml:space="preserve">       </w:t>
            </w:r>
          </w:p>
        </w:tc>
      </w:tr>
      <w:tr w:rsidR="00E21241" w:rsidRPr="00506483" w14:paraId="38E6C8C5" w14:textId="77777777" w:rsidTr="00C2658D">
        <w:tc>
          <w:tcPr>
            <w:tcW w:w="2541" w:type="dxa"/>
            <w:vAlign w:val="center"/>
          </w:tcPr>
          <w:p w14:paraId="20129746" w14:textId="77777777" w:rsidR="00E21241" w:rsidRPr="00506483" w:rsidRDefault="00E21241" w:rsidP="00C2658D">
            <w:pPr>
              <w:rPr>
                <w:b/>
                <w:bCs/>
                <w:sz w:val="22"/>
                <w:szCs w:val="22"/>
              </w:rPr>
            </w:pPr>
            <w:r w:rsidRPr="00506483">
              <w:rPr>
                <w:b/>
                <w:bCs/>
                <w:sz w:val="22"/>
                <w:szCs w:val="22"/>
              </w:rPr>
              <w:t xml:space="preserve">Epitestosterone </w:t>
            </w:r>
          </w:p>
        </w:tc>
        <w:tc>
          <w:tcPr>
            <w:tcW w:w="2494" w:type="dxa"/>
            <w:vAlign w:val="center"/>
          </w:tcPr>
          <w:p w14:paraId="044213A1" w14:textId="77777777" w:rsidR="00E21241" w:rsidRPr="00506483" w:rsidRDefault="00E21241" w:rsidP="00C2658D">
            <w:pPr>
              <w:rPr>
                <w:sz w:val="22"/>
                <w:szCs w:val="22"/>
              </w:rPr>
            </w:pPr>
            <w:r>
              <w:rPr>
                <w:sz w:val="22"/>
                <w:szCs w:val="22"/>
              </w:rPr>
              <w:t>Inactive epimer of testosterone</w:t>
            </w:r>
          </w:p>
        </w:tc>
        <w:tc>
          <w:tcPr>
            <w:tcW w:w="4950" w:type="dxa"/>
            <w:vAlign w:val="center"/>
          </w:tcPr>
          <w:p w14:paraId="75F7A7A1" w14:textId="61498776" w:rsidR="00E21241" w:rsidRPr="00506483" w:rsidRDefault="00E21241" w:rsidP="00C2658D">
            <w:pPr>
              <w:rPr>
                <w:sz w:val="22"/>
                <w:szCs w:val="22"/>
              </w:rPr>
            </w:pPr>
            <w:r>
              <w:rPr>
                <w:sz w:val="22"/>
                <w:szCs w:val="22"/>
              </w:rPr>
              <w:t>Evaluation of exogenous testosterone use; weak androgen antagonist</w:t>
            </w:r>
            <w:sdt>
              <w:sdtPr>
                <w:rPr>
                  <w:color w:val="000000"/>
                  <w:sz w:val="22"/>
                  <w:szCs w:val="22"/>
                  <w:vertAlign w:val="superscript"/>
                </w:rPr>
                <w:tag w:val="MENDELEY_CITATION_{&quot;citationID&quot;:&quot;MENDELEY_CITATION_cf77dc04-f457-4471-86a8-25a0498abcba&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121b602-040f-38e4-8368-d2170dc47543&quot;,&quot;itemData&quot;:{&quot;type&quot;:&quot;article-journal&quot;,&quot;id&quot;:&quot;0121b602-040f-38e4-8368-d2170dc47543&quot;,&quot;title&quot;:&quot;Testosterone/epitestosterone ratio in urine: a possible diagnostic tool in the disclosure of exogenous testosterone administration&quot;,&quot;author&quot;:[{&quot;family&quot;:&quot;KAPELRUD&quot;,&quot;given&quot;:&quot;H.&quot;,&quot;parse-names&quot;:false,&quot;dropping-particle&quot;:&quot;&quot;,&quot;non-dropping-particle&quot;:&quot;&quot;},{&quot;family&quot;:&quot;JOHANNESEN&quot;,&quot;given&quot;:&quot;&quot;,&quot;parse-names&quot;:false,&quot;dropping-particle&quot;:&quot;&quot;,&quot;non-dropping-particle&quot;:&quot;&quot;},{&quot;family&quot;:&quot;OFTEBRO&quot;,&quot;given&quot;:&quot;H.&quot;,&quot;parse-names&quot;:false,&quot;dropping-particle&quot;:&quot;&quot;,&quot;non-dropping-particle&quot;:&quot;&quot;}],&quot;container-title&quot;:&quot;Journal of Internal Medicine&quot;,&quot;accessed&quot;:{&quot;date-parts&quot;:[[2020,10,12]]},&quot;DOI&quot;:&quot;10.1111/j.1365-2796.1992.tb00614.x&quot;,&quot;ISSN&quot;:&quot;13652796&quot;,&quot;PMID&quot;:&quot;1453132&quot;,&quot;URL&quot;:&quot;https://pubmed.ncbi.nlm.nih.gov/1453132/&quot;,&quot;issued&quot;:{&quot;date-parts&quot;:[[1992]]},&quot;page&quot;:&quot;453-455&quot;,&quot;abstract&quot;:&quot;A 37‐year‐old woman presented with a history of secondary amenorrhoea and hirsutism for 4 years. She had elevated serum levels of testosterone and dihydrotestosterone, and decreased serum levels of sex hormone binding globulin and oestradiol. Almost daily use of a testosterone‐containing ointment in the vulvar region for 6 years was disclosed as the cause of the hyperandrogenism. Serum testosterone, testosterone excretion rate in urine and testosterone/epitestosterone ratio in urine were determined at fixed intervals 24 h before and 48 h after application of the testosterone‐containing ointment. There was a rapid increase in serum testosterone, with a peak level after 4–6 h. The testosterone excretion rate and the testosterone/epitestosterone ratio in urine peaked after 2–4 h. After 48 h the serum testosterone level was still about twice the basal value. The testosterone/epitestosterone level was over the ‘doping limit’ of 6 for 28 h. We conclude that determination of the testosterone/epitestosterone ratio in urine would have disclosed exogenous testosterone administration in this patient. We recommend this test for patients in whom exogenous testosterone administration is suspected. 1992 Blackwell Publishing Ltd&quot;,&quot;publisher&quot;:&quot;J Intern Med&quot;,&quot;issue&quot;:&quot;5&quot;,&quot;volume&quot;:&quot;232&quot;},&quot;isTemporary&quot;:false}],&quot;properties&quot;:{&quot;noteIndex&quot;:0},&quot;isEdited&quot;:false,&quot;manualOverride&quot;:{&quot;isManuallyOverriden&quot;:false,&quot;citeprocText&quot;:&quot;&lt;sup&gt;15,18&lt;/sup&gt;&quot;,&quot;manualOverrideText&quot;:&quot;&quot;}}"/>
                <w:id w:val="407495313"/>
                <w:placeholder>
                  <w:docPart w:val="DefaultPlaceholder_-1854013440"/>
                </w:placeholder>
              </w:sdtPr>
              <w:sdtContent>
                <w:r w:rsidR="00603495" w:rsidRPr="00603495">
                  <w:rPr>
                    <w:color w:val="000000"/>
                    <w:sz w:val="22"/>
                    <w:szCs w:val="22"/>
                    <w:vertAlign w:val="superscript"/>
                  </w:rPr>
                  <w:t>15,18</w:t>
                </w:r>
              </w:sdtContent>
            </w:sdt>
            <w:r w:rsidR="00603495">
              <w:rPr>
                <w:sz w:val="22"/>
                <w:szCs w:val="22"/>
              </w:rPr>
              <w:t xml:space="preserve">    </w:t>
            </w:r>
          </w:p>
        </w:tc>
      </w:tr>
      <w:tr w:rsidR="00E21241" w:rsidRPr="00506483" w14:paraId="54D401CF" w14:textId="77777777" w:rsidTr="00C2658D">
        <w:tc>
          <w:tcPr>
            <w:tcW w:w="2541" w:type="dxa"/>
            <w:vAlign w:val="center"/>
          </w:tcPr>
          <w:p w14:paraId="08B0FC05" w14:textId="77777777" w:rsidR="00E21241" w:rsidRPr="00506483" w:rsidRDefault="00E21241" w:rsidP="00C2658D">
            <w:pPr>
              <w:rPr>
                <w:b/>
                <w:bCs/>
                <w:sz w:val="22"/>
                <w:szCs w:val="22"/>
              </w:rPr>
            </w:pPr>
            <w:r w:rsidRPr="00506483">
              <w:rPr>
                <w:b/>
                <w:bCs/>
                <w:sz w:val="22"/>
                <w:szCs w:val="22"/>
              </w:rPr>
              <w:t>5</w:t>
            </w:r>
            <w:r>
              <w:rPr>
                <w:b/>
                <w:bCs/>
                <w:sz w:val="22"/>
                <w:szCs w:val="22"/>
              </w:rPr>
              <w:sym w:font="Symbol" w:char="F061"/>
            </w:r>
            <w:r w:rsidRPr="00506483">
              <w:rPr>
                <w:b/>
                <w:bCs/>
                <w:sz w:val="22"/>
                <w:szCs w:val="22"/>
              </w:rPr>
              <w:t xml:space="preserve">-Dihydrotestosterone </w:t>
            </w:r>
          </w:p>
        </w:tc>
        <w:tc>
          <w:tcPr>
            <w:tcW w:w="2494" w:type="dxa"/>
            <w:vAlign w:val="center"/>
          </w:tcPr>
          <w:p w14:paraId="08C1061D" w14:textId="77777777" w:rsidR="00E21241" w:rsidRPr="00506483" w:rsidRDefault="00E21241" w:rsidP="00C2658D">
            <w:pPr>
              <w:rPr>
                <w:sz w:val="22"/>
                <w:szCs w:val="22"/>
              </w:rPr>
            </w:pPr>
            <w:r>
              <w:rPr>
                <w:sz w:val="22"/>
                <w:szCs w:val="22"/>
              </w:rPr>
              <w:t>Active form of testosterone in tissues</w:t>
            </w:r>
          </w:p>
        </w:tc>
        <w:tc>
          <w:tcPr>
            <w:tcW w:w="4950" w:type="dxa"/>
            <w:vAlign w:val="center"/>
          </w:tcPr>
          <w:p w14:paraId="70144626" w14:textId="4A127137" w:rsidR="00E21241" w:rsidRPr="00506483" w:rsidRDefault="00E21241" w:rsidP="00C2658D">
            <w:pPr>
              <w:rPr>
                <w:sz w:val="22"/>
                <w:szCs w:val="22"/>
              </w:rPr>
            </w:pPr>
            <w:r>
              <w:rPr>
                <w:sz w:val="22"/>
                <w:szCs w:val="22"/>
              </w:rPr>
              <w:t>Potent androgen; evaluation of hirsutism; evaluation of male infertility, hypogonadism, and low libido</w:t>
            </w:r>
            <w:sdt>
              <w:sdtPr>
                <w:rPr>
                  <w:color w:val="000000"/>
                  <w:sz w:val="22"/>
                  <w:szCs w:val="22"/>
                  <w:vertAlign w:val="superscript"/>
                </w:rPr>
                <w:tag w:val="MENDELEY_CITATION_{&quot;citationID&quot;:&quot;MENDELEY_CITATION_3bd235df-fe1f-4570-8276-e71da7f0ec16&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ea2235d-2e23-3ef3-80aa-b943bd9c953d&quot;,&quot;itemData&quot;:{&quot;type&quot;:&quot;article&quot;,&quot;id&quot;:&quot;dea2235d-2e23-3ef3-80aa-b943bd9c953d&quot;,&quot;title&quot;:&quot;Hirsutism.&quot;,&quot;author&quot;:[{&quot;family&quot;:&quot;Mauvais-Jarvis&quot;,&quot;given&quot;:&quot;P.&quot;,&quot;parse-names&quot;:false,&quot;dropping-particle&quot;:&quot;&quot;,&quot;non-dropping-particle&quot;:&quot;&quot;},{&quot;family&quot;:&quot;Kuttenn&quot;,&quot;given&quot;:&quot;F.&quot;,&quot;parse-names&quot;:false,&quot;dropping-particle&quot;:&quot;&quot;,&quot;non-dropping-particle&quot;:&quot;&quot;},{&quot;family&quot;:&quot;Mowszowicz&quot;,&quot;given&quot;:&quot;I.&quot;,&quot;parse-names&quot;:false,&quot;dropping-particle&quot;:&quot;&quot;,&quot;non-dropping-particle&quot;:&quot;&quot;}],&quot;container-title&quot;:&quot;Monographs on endocrinology&quot;,&quot;accessed&quot;:{&quot;date-parts&quot;:[[2020,10,12]]},&quot;ISSN&quot;:&quot;00771015&quot;,&quot;PMID&quot;:&quot;6454061&quot;,&quot;URL&quot;:&quot;https://pubmed.ncbi.nlm.nih.gov/6454061/&quot;,&quot;issued&quot;:{&quot;date-parts&quot;:[[1981]]},&quot;page&quot;:&quot;1-116&quot;,&quot;publisher&quot;:&quot;Monogr Endocrinol&quot;,&quot;volume&quot;:&quot;19&quot;},&quot;isTemporary&quot;:false}],&quot;properties&quot;:{&quot;noteIndex&quot;:0},&quot;isEdited&quot;:false,&quot;manualOverride&quot;:{&quot;isManuallyOverriden&quot;:false,&quot;citeprocText&quot;:&quot;&lt;sup&gt;15,19&lt;/sup&gt;&quot;,&quot;manualOverrideText&quot;:&quot;&quot;}}"/>
                <w:id w:val="-1312940684"/>
                <w:placeholder>
                  <w:docPart w:val="DefaultPlaceholder_-1854013440"/>
                </w:placeholder>
              </w:sdtPr>
              <w:sdtContent>
                <w:r w:rsidR="00960CE1" w:rsidRPr="00960CE1">
                  <w:rPr>
                    <w:color w:val="000000"/>
                    <w:sz w:val="22"/>
                    <w:szCs w:val="22"/>
                    <w:vertAlign w:val="superscript"/>
                  </w:rPr>
                  <w:t>15,19</w:t>
                </w:r>
              </w:sdtContent>
            </w:sdt>
            <w:r w:rsidR="00603495">
              <w:rPr>
                <w:sz w:val="22"/>
                <w:szCs w:val="22"/>
              </w:rPr>
              <w:t xml:space="preserve">     </w:t>
            </w:r>
          </w:p>
        </w:tc>
      </w:tr>
      <w:tr w:rsidR="00E21241" w:rsidRPr="00506483" w14:paraId="7C70349F" w14:textId="77777777" w:rsidTr="00C2658D">
        <w:tc>
          <w:tcPr>
            <w:tcW w:w="2541" w:type="dxa"/>
            <w:vAlign w:val="center"/>
          </w:tcPr>
          <w:p w14:paraId="64565284" w14:textId="77777777" w:rsidR="00E21241" w:rsidRPr="00506483" w:rsidRDefault="00E21241" w:rsidP="00C2658D">
            <w:pPr>
              <w:rPr>
                <w:b/>
                <w:bCs/>
                <w:sz w:val="22"/>
                <w:szCs w:val="22"/>
              </w:rPr>
            </w:pPr>
            <w:r w:rsidRPr="00506483">
              <w:rPr>
                <w:b/>
                <w:bCs/>
                <w:sz w:val="22"/>
                <w:szCs w:val="22"/>
              </w:rPr>
              <w:t>Androsterone</w:t>
            </w:r>
          </w:p>
        </w:tc>
        <w:tc>
          <w:tcPr>
            <w:tcW w:w="2494" w:type="dxa"/>
            <w:vAlign w:val="center"/>
          </w:tcPr>
          <w:p w14:paraId="5EA87681" w14:textId="77777777" w:rsidR="00E21241" w:rsidRPr="00506483" w:rsidRDefault="00E21241" w:rsidP="00C2658D">
            <w:pPr>
              <w:rPr>
                <w:sz w:val="22"/>
                <w:szCs w:val="22"/>
              </w:rPr>
            </w:pPr>
            <w:r>
              <w:rPr>
                <w:sz w:val="22"/>
                <w:szCs w:val="22"/>
              </w:rPr>
              <w:t>Metabolite of testosterone via 5</w:t>
            </w:r>
            <w:r>
              <w:rPr>
                <w:sz w:val="22"/>
                <w:szCs w:val="22"/>
              </w:rPr>
              <w:sym w:font="Symbol" w:char="F061"/>
            </w:r>
            <w:r>
              <w:rPr>
                <w:sz w:val="22"/>
                <w:szCs w:val="22"/>
              </w:rPr>
              <w:t>DHT</w:t>
            </w:r>
          </w:p>
        </w:tc>
        <w:tc>
          <w:tcPr>
            <w:tcW w:w="4950" w:type="dxa"/>
            <w:vAlign w:val="center"/>
          </w:tcPr>
          <w:p w14:paraId="7FD729EC" w14:textId="27353C46" w:rsidR="00E21241" w:rsidRPr="00506483" w:rsidRDefault="00E21241" w:rsidP="00C2658D">
            <w:pPr>
              <w:rPr>
                <w:sz w:val="22"/>
                <w:szCs w:val="22"/>
              </w:rPr>
            </w:pPr>
            <w:r>
              <w:rPr>
                <w:sz w:val="22"/>
                <w:szCs w:val="22"/>
              </w:rPr>
              <w:t xml:space="preserve">Weak androgenic activity; </w:t>
            </w:r>
            <w:proofErr w:type="spellStart"/>
            <w:r>
              <w:rPr>
                <w:sz w:val="22"/>
                <w:szCs w:val="22"/>
              </w:rPr>
              <w:t>neurosteroid</w:t>
            </w:r>
            <w:proofErr w:type="spellEnd"/>
            <w:r>
              <w:rPr>
                <w:sz w:val="22"/>
                <w:szCs w:val="22"/>
              </w:rPr>
              <w:t>; primary androgen metabolite in urine; evaluation of male infertility, hypogonadism, low libido, and hormone therapy; evaluation of PCOS</w:t>
            </w:r>
            <w:sdt>
              <w:sdtPr>
                <w:rPr>
                  <w:color w:val="000000"/>
                  <w:sz w:val="22"/>
                  <w:szCs w:val="22"/>
                  <w:vertAlign w:val="superscript"/>
                </w:rPr>
                <w:tag w:val="MENDELEY_CITATION_{&quot;citationID&quot;:&quot;MENDELEY_CITATION_fe1e049a-49df-41e3-a964-1bf8d34f21b5&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a8790da-5eac-38ff-96e8-da5115387f40&quot;,&quot;itemData&quot;:{&quot;type&quot;:&quot;article-journal&quot;,&quot;id&quot;:&quot;0a8790da-5eac-38ff-96e8-da5115387f40&quot;,&quot;title&quot;:&quot;5aα-reductase activity in women with polycystic ovary syndrome: A systematic review and meta-analysis&quot;,&quot;author&quot;:[{&quot;family&quot;:&quot;Wu&quot;,&quot;given&quot;:&quot;Chuyan&quot;,&quot;parse-names&quot;:false,&quot;dropping-particle&quot;:&quot;&quot;,&quot;non-dropping-particle&quot;:&quot;&quot;},{&quot;family&quot;:&quot;Wei&quot;,&quot;given&quot;:&quot;Ke&quot;,&quot;parse-names&quot;:false,&quot;dropping-particle&quot;:&quot;&quot;,&quot;non-dropping-particle&quot;:&quot;&quot;},{&quot;family&quot;:&quot;Jiang&quot;,&quot;given&quot;:&quot;Zhongli&quot;,&quot;parse-names&quot;:false,&quot;dropping-particle&quot;:&quot;&quot;,&quot;non-dropping-particle&quot;:&quot;&quot;}],&quot;container-title&quot;:&quot;Reproductive Biology and Endocrinology&quot;,&quot;DOI&quot;:&quot;10.1186/s12958-017-0242-9&quot;,&quot;ISSN&quot;:&quot;14777827&quot;,&quot;PMID&quot;:&quot;28347315&quot;,&quot;issued&quot;:{&quot;date-parts&quot;:[[2017]]},&quot;page&quot;:&quot;1-9&quot;,&quot;abstract&quot;:&quot;Background: 5aα-reductase activity might be important during the development of polycystic ovary syndrome (PCOS). However, the changes of 5aα-reductase activity in PCOS subjects and the relationship between 5aα-reductase activity and body mass index (BMI), insulin resistance (IR) remain largely unknown. Methods: We performed a meta-analysis to examine 5aα-reductase activity in women with PCOS; exploratory subgroup analyses were also performed. Results: Five articles (with 356 cases and 236 controls) reporting 5aα-reductase activity in patients with PCOS were selected for the meta-analysis. We observed significantly higher ratios of 5aαTHF/THF (5aα-reduced tetrahydrocortisol to 5β-reduced tetrahydrocortisol) and An/Et (androsteroneto/etiocholanolone) levels, which were used to assess 5aα-reductase activity, among the patients with PCOS, [standardized mean differences (SMD) =0.43, 95%confidence intervals (95%CI) =0.25-0.61, P &lt; 0.00001; SMD = 0.86, 95% CI = 0.29-1.44, P = 0.003]. We observed significant heterogeneity between studies for An/Et (I2 = 89% and P &lt; 0.00001). According to the group analysis, women with PCOS exhibited increased 5aα-reductase activity which was significantly associated with homeostasis model assessment of insulin resistance (HOMA-IR) regardless of obesity. Conclusions: 5aα-reductase activity was enhanced in women with PCOS. Increased 5aα-reductase activity in patients with PCOS was related to IR.&quot;,&quot;publisher&quot;:&quot;Reproductive Biology and Endocrinology&quot;,&quot;issue&quot;:&quot;1&quot;,&quot;volume&quot;:&quot;15&quot;},&quot;isTemporary&quot;:false}],&quot;properties&quot;:{&quot;noteIndex&quot;:0},&quot;isEdited&quot;:false,&quot;manualOverride&quot;:{&quot;isManuallyOverriden&quot;:false,&quot;citeprocText&quot;:&quot;&lt;sup&gt;15,20&lt;/sup&gt;&quot;,&quot;manualOverrideText&quot;:&quot;&quot;}}"/>
                <w:id w:val="-1587522628"/>
                <w:placeholder>
                  <w:docPart w:val="DefaultPlaceholder_-1854013440"/>
                </w:placeholder>
              </w:sdtPr>
              <w:sdtContent>
                <w:r w:rsidR="00960CE1" w:rsidRPr="00960CE1">
                  <w:rPr>
                    <w:color w:val="000000"/>
                    <w:sz w:val="22"/>
                    <w:szCs w:val="22"/>
                    <w:vertAlign w:val="superscript"/>
                  </w:rPr>
                  <w:t>15,20</w:t>
                </w:r>
              </w:sdtContent>
            </w:sdt>
            <w:r w:rsidR="00960CE1">
              <w:rPr>
                <w:sz w:val="22"/>
                <w:szCs w:val="22"/>
              </w:rPr>
              <w:t xml:space="preserve">   </w:t>
            </w:r>
          </w:p>
        </w:tc>
      </w:tr>
      <w:tr w:rsidR="00E21241" w:rsidRPr="00506483" w14:paraId="35321EEB" w14:textId="77777777" w:rsidTr="00C2658D">
        <w:tc>
          <w:tcPr>
            <w:tcW w:w="2541" w:type="dxa"/>
            <w:vAlign w:val="center"/>
          </w:tcPr>
          <w:p w14:paraId="779FBB8F" w14:textId="77777777" w:rsidR="00E21241" w:rsidRPr="00506483" w:rsidRDefault="00E21241" w:rsidP="00C2658D">
            <w:pPr>
              <w:rPr>
                <w:b/>
                <w:bCs/>
                <w:sz w:val="22"/>
                <w:szCs w:val="22"/>
              </w:rPr>
            </w:pPr>
            <w:r w:rsidRPr="00506483">
              <w:rPr>
                <w:b/>
                <w:bCs/>
                <w:sz w:val="22"/>
                <w:szCs w:val="22"/>
              </w:rPr>
              <w:t>Etiocholanolone</w:t>
            </w:r>
          </w:p>
        </w:tc>
        <w:tc>
          <w:tcPr>
            <w:tcW w:w="2494" w:type="dxa"/>
            <w:vAlign w:val="center"/>
          </w:tcPr>
          <w:p w14:paraId="45EB4A45" w14:textId="77777777" w:rsidR="00E21241" w:rsidRPr="00506483" w:rsidRDefault="00E21241" w:rsidP="00C2658D">
            <w:pPr>
              <w:rPr>
                <w:sz w:val="22"/>
                <w:szCs w:val="22"/>
              </w:rPr>
            </w:pPr>
            <w:r>
              <w:rPr>
                <w:sz w:val="22"/>
                <w:szCs w:val="22"/>
              </w:rPr>
              <w:t>5</w:t>
            </w:r>
            <w:r>
              <w:rPr>
                <w:sz w:val="22"/>
                <w:szCs w:val="22"/>
              </w:rPr>
              <w:sym w:font="Symbol" w:char="F062"/>
            </w:r>
            <w:r>
              <w:rPr>
                <w:sz w:val="22"/>
                <w:szCs w:val="22"/>
              </w:rPr>
              <w:t xml:space="preserve"> epimer of androsterone</w:t>
            </w:r>
          </w:p>
        </w:tc>
        <w:tc>
          <w:tcPr>
            <w:tcW w:w="4950" w:type="dxa"/>
            <w:vAlign w:val="center"/>
          </w:tcPr>
          <w:p w14:paraId="6E8D1381" w14:textId="1E1DE646" w:rsidR="00E21241" w:rsidRPr="00506483" w:rsidRDefault="00E21241" w:rsidP="00C2658D">
            <w:pPr>
              <w:rPr>
                <w:sz w:val="22"/>
                <w:szCs w:val="22"/>
              </w:rPr>
            </w:pPr>
            <w:r>
              <w:rPr>
                <w:sz w:val="22"/>
                <w:szCs w:val="22"/>
              </w:rPr>
              <w:t xml:space="preserve">Primary androgen metabolite in urine; inhibitory </w:t>
            </w:r>
            <w:proofErr w:type="spellStart"/>
            <w:r>
              <w:rPr>
                <w:sz w:val="22"/>
                <w:szCs w:val="22"/>
              </w:rPr>
              <w:t>neurosteroid</w:t>
            </w:r>
            <w:proofErr w:type="spellEnd"/>
            <w:r>
              <w:rPr>
                <w:sz w:val="22"/>
                <w:szCs w:val="22"/>
              </w:rPr>
              <w:t>; evaluation of male infertility, hypogonadism, low libido, and hormone therapy; evaluation of PCOS</w:t>
            </w:r>
            <w:sdt>
              <w:sdtPr>
                <w:rPr>
                  <w:color w:val="000000"/>
                  <w:sz w:val="22"/>
                  <w:szCs w:val="22"/>
                  <w:vertAlign w:val="superscript"/>
                </w:rPr>
                <w:tag w:val="MENDELEY_CITATION_{&quot;citationID&quot;:&quot;MENDELEY_CITATION_1ad24bd8-7c0a-450b-8153-56a5abf4186f&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a8790da-5eac-38ff-96e8-da5115387f40&quot;,&quot;itemData&quot;:{&quot;type&quot;:&quot;article-journal&quot;,&quot;id&quot;:&quot;0a8790da-5eac-38ff-96e8-da5115387f40&quot;,&quot;title&quot;:&quot;5aα-reductase activity in women with polycystic ovary syndrome: A systematic review and meta-analysis&quot;,&quot;author&quot;:[{&quot;family&quot;:&quot;Wu&quot;,&quot;given&quot;:&quot;Chuyan&quot;,&quot;parse-names&quot;:false,&quot;dropping-particle&quot;:&quot;&quot;,&quot;non-dropping-particle&quot;:&quot;&quot;},{&quot;family&quot;:&quot;Wei&quot;,&quot;given&quot;:&quot;Ke&quot;,&quot;parse-names&quot;:false,&quot;dropping-particle&quot;:&quot;&quot;,&quot;non-dropping-particle&quot;:&quot;&quot;},{&quot;family&quot;:&quot;Jiang&quot;,&quot;given&quot;:&quot;Zhongli&quot;,&quot;parse-names&quot;:false,&quot;dropping-particle&quot;:&quot;&quot;,&quot;non-dropping-particle&quot;:&quot;&quot;}],&quot;container-title&quot;:&quot;Reproductive Biology and Endocrinology&quot;,&quot;DOI&quot;:&quot;10.1186/s12958-017-0242-9&quot;,&quot;ISSN&quot;:&quot;14777827&quot;,&quot;PMID&quot;:&quot;28347315&quot;,&quot;issued&quot;:{&quot;date-parts&quot;:[[2017]]},&quot;page&quot;:&quot;1-9&quot;,&quot;abstract&quot;:&quot;Background: 5aα-reductase activity might be important during the development of polycystic ovary syndrome (PCOS). However, the changes of 5aα-reductase activity in PCOS subjects and the relationship between 5aα-reductase activity and body mass index (BMI), insulin resistance (IR) remain largely unknown. Methods: We performed a meta-analysis to examine 5aα-reductase activity in women with PCOS; exploratory subgroup analyses were also performed. Results: Five articles (with 356 cases and 236 controls) reporting 5aα-reductase activity in patients with PCOS were selected for the meta-analysis. We observed significantly higher ratios of 5aαTHF/THF (5aα-reduced tetrahydrocortisol to 5β-reduced tetrahydrocortisol) and An/Et (androsteroneto/etiocholanolone) levels, which were used to assess 5aα-reductase activity, among the patients with PCOS, [standardized mean differences (SMD) =0.43, 95%confidence intervals (95%CI) =0.25-0.61, P &lt; 0.00001; SMD = 0.86, 95% CI = 0.29-1.44, P = 0.003]. We observed significant heterogeneity between studies for An/Et (I2 = 89% and P &lt; 0.00001). According to the group analysis, women with PCOS exhibited increased 5aα-reductase activity which was significantly associated with homeostasis model assessment of insulin resistance (HOMA-IR) regardless of obesity. Conclusions: 5aα-reductase activity was enhanced in women with PCOS. Increased 5aα-reductase activity in patients with PCOS was related to IR.&quot;,&quot;publisher&quot;:&quot;Reproductive Biology and Endocrinology&quot;,&quot;issue&quot;:&quot;1&quot;,&quot;volume&quot;:&quot;15&quot;},&quot;isTemporary&quot;:false}],&quot;properties&quot;:{&quot;noteIndex&quot;:0},&quot;isEdited&quot;:false,&quot;manualOverride&quot;:{&quot;isManuallyOverriden&quot;:false,&quot;citeprocText&quot;:&quot;&lt;sup&gt;15,20&lt;/sup&gt;&quot;,&quot;manualOverrideText&quot;:&quot;&quot;}}"/>
                <w:id w:val="-1670705781"/>
                <w:placeholder>
                  <w:docPart w:val="DefaultPlaceholder_-1854013440"/>
                </w:placeholder>
              </w:sdtPr>
              <w:sdtContent>
                <w:r w:rsidR="00960CE1" w:rsidRPr="00960CE1">
                  <w:rPr>
                    <w:color w:val="000000"/>
                    <w:sz w:val="22"/>
                    <w:szCs w:val="22"/>
                    <w:vertAlign w:val="superscript"/>
                  </w:rPr>
                  <w:t>15,20</w:t>
                </w:r>
              </w:sdtContent>
            </w:sdt>
            <w:r w:rsidR="00960CE1">
              <w:rPr>
                <w:sz w:val="22"/>
                <w:szCs w:val="22"/>
              </w:rPr>
              <w:t xml:space="preserve">    </w:t>
            </w:r>
          </w:p>
        </w:tc>
      </w:tr>
      <w:tr w:rsidR="00E21241" w:rsidRPr="00506483" w14:paraId="5B538D71" w14:textId="77777777" w:rsidTr="00C2658D">
        <w:tc>
          <w:tcPr>
            <w:tcW w:w="2541" w:type="dxa"/>
            <w:vAlign w:val="center"/>
          </w:tcPr>
          <w:p w14:paraId="5ED8FC4E" w14:textId="77777777" w:rsidR="00E21241" w:rsidRPr="00506483" w:rsidRDefault="00E21241" w:rsidP="00C2658D">
            <w:pPr>
              <w:rPr>
                <w:b/>
                <w:bCs/>
                <w:sz w:val="22"/>
                <w:szCs w:val="22"/>
              </w:rPr>
            </w:pPr>
            <w:r w:rsidRPr="00506483">
              <w:rPr>
                <w:b/>
                <w:bCs/>
                <w:sz w:val="22"/>
                <w:szCs w:val="22"/>
              </w:rPr>
              <w:t>5</w:t>
            </w:r>
            <w:r w:rsidRPr="00506483">
              <w:rPr>
                <w:rFonts w:ascii="Symbol" w:hAnsi="Symbol"/>
                <w:b/>
                <w:bCs/>
                <w:sz w:val="22"/>
                <w:szCs w:val="22"/>
              </w:rPr>
              <w:t>a</w:t>
            </w:r>
            <w:r w:rsidRPr="00506483">
              <w:rPr>
                <w:b/>
                <w:bCs/>
                <w:sz w:val="22"/>
                <w:szCs w:val="22"/>
              </w:rPr>
              <w:t>-</w:t>
            </w:r>
            <w:proofErr w:type="spellStart"/>
            <w:r w:rsidRPr="00506483">
              <w:rPr>
                <w:b/>
                <w:bCs/>
                <w:sz w:val="22"/>
                <w:szCs w:val="22"/>
              </w:rPr>
              <w:t>Androstanediol</w:t>
            </w:r>
            <w:proofErr w:type="spellEnd"/>
            <w:r w:rsidRPr="00506483">
              <w:rPr>
                <w:b/>
                <w:bCs/>
                <w:sz w:val="22"/>
                <w:szCs w:val="22"/>
              </w:rPr>
              <w:t xml:space="preserve"> </w:t>
            </w:r>
          </w:p>
        </w:tc>
        <w:tc>
          <w:tcPr>
            <w:tcW w:w="2494" w:type="dxa"/>
            <w:vAlign w:val="center"/>
          </w:tcPr>
          <w:p w14:paraId="45541B7F" w14:textId="77777777" w:rsidR="00E21241" w:rsidRPr="00506483" w:rsidRDefault="00E21241" w:rsidP="00C2658D">
            <w:pPr>
              <w:rPr>
                <w:sz w:val="22"/>
                <w:szCs w:val="22"/>
              </w:rPr>
            </w:pPr>
            <w:r>
              <w:rPr>
                <w:sz w:val="22"/>
                <w:szCs w:val="22"/>
              </w:rPr>
              <w:t>Metabolite of testosterone and 5</w:t>
            </w:r>
            <w:r>
              <w:rPr>
                <w:sz w:val="22"/>
                <w:szCs w:val="22"/>
              </w:rPr>
              <w:sym w:font="Symbol" w:char="F061"/>
            </w:r>
            <w:r>
              <w:rPr>
                <w:sz w:val="22"/>
                <w:szCs w:val="22"/>
              </w:rPr>
              <w:t>DHT</w:t>
            </w:r>
          </w:p>
        </w:tc>
        <w:tc>
          <w:tcPr>
            <w:tcW w:w="4950" w:type="dxa"/>
            <w:vAlign w:val="center"/>
          </w:tcPr>
          <w:p w14:paraId="46AFA4D6" w14:textId="52214FC1" w:rsidR="00E21241" w:rsidRPr="00506483" w:rsidRDefault="00E21241" w:rsidP="00C2658D">
            <w:pPr>
              <w:rPr>
                <w:sz w:val="22"/>
                <w:szCs w:val="22"/>
              </w:rPr>
            </w:pPr>
            <w:r>
              <w:rPr>
                <w:sz w:val="22"/>
                <w:szCs w:val="22"/>
              </w:rPr>
              <w:t xml:space="preserve">Weak androgenic and estrogenic properties; inhibitory </w:t>
            </w:r>
            <w:proofErr w:type="spellStart"/>
            <w:r>
              <w:rPr>
                <w:sz w:val="22"/>
                <w:szCs w:val="22"/>
              </w:rPr>
              <w:t>neurosteroid</w:t>
            </w:r>
            <w:proofErr w:type="spellEnd"/>
            <w:r>
              <w:rPr>
                <w:sz w:val="22"/>
                <w:szCs w:val="22"/>
              </w:rPr>
              <w:t>; involved in prostate growth; evaluation of male infertility, hypogonadism, and low libido; evaluation of PCOS</w:t>
            </w:r>
            <w:sdt>
              <w:sdtPr>
                <w:rPr>
                  <w:color w:val="000000"/>
                  <w:sz w:val="22"/>
                  <w:szCs w:val="22"/>
                  <w:vertAlign w:val="superscript"/>
                </w:rPr>
                <w:tag w:val="MENDELEY_CITATION_{&quot;citationID&quot;:&quot;MENDELEY_CITATION_970ff9c0-5f91-49dc-8324-1c2e2d6bde9a&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9,15&lt;/sup&gt;&quot;,&quot;manualOverrideText&quot;:&quot;&quot;}}"/>
                <w:id w:val="863020764"/>
                <w:placeholder>
                  <w:docPart w:val="DefaultPlaceholder_-1854013440"/>
                </w:placeholder>
              </w:sdtPr>
              <w:sdtContent>
                <w:r w:rsidR="004B759E" w:rsidRPr="004B759E">
                  <w:rPr>
                    <w:color w:val="000000"/>
                    <w:sz w:val="22"/>
                    <w:szCs w:val="22"/>
                    <w:vertAlign w:val="superscript"/>
                  </w:rPr>
                  <w:t>9,15</w:t>
                </w:r>
              </w:sdtContent>
            </w:sdt>
            <w:r w:rsidR="00960CE1">
              <w:rPr>
                <w:sz w:val="22"/>
                <w:szCs w:val="22"/>
              </w:rPr>
              <w:t xml:space="preserve">  </w:t>
            </w:r>
          </w:p>
        </w:tc>
      </w:tr>
      <w:tr w:rsidR="00E21241" w:rsidRPr="00506483" w14:paraId="47300DAE" w14:textId="77777777" w:rsidTr="00C2658D">
        <w:tc>
          <w:tcPr>
            <w:tcW w:w="2541" w:type="dxa"/>
            <w:vAlign w:val="center"/>
          </w:tcPr>
          <w:p w14:paraId="2F6610E0" w14:textId="77777777" w:rsidR="00E21241" w:rsidRPr="00506483" w:rsidRDefault="00E21241" w:rsidP="00C2658D">
            <w:pPr>
              <w:rPr>
                <w:b/>
                <w:bCs/>
                <w:sz w:val="22"/>
                <w:szCs w:val="22"/>
              </w:rPr>
            </w:pPr>
            <w:r w:rsidRPr="00506483">
              <w:rPr>
                <w:b/>
                <w:bCs/>
                <w:sz w:val="22"/>
                <w:szCs w:val="22"/>
              </w:rPr>
              <w:t>5</w:t>
            </w:r>
            <w:r w:rsidRPr="00506483">
              <w:rPr>
                <w:rFonts w:ascii="Symbol" w:hAnsi="Symbol"/>
                <w:b/>
                <w:bCs/>
                <w:sz w:val="22"/>
                <w:szCs w:val="22"/>
              </w:rPr>
              <w:t>b</w:t>
            </w:r>
            <w:r w:rsidRPr="00506483">
              <w:rPr>
                <w:b/>
                <w:bCs/>
                <w:sz w:val="22"/>
                <w:szCs w:val="22"/>
              </w:rPr>
              <w:t>-</w:t>
            </w:r>
            <w:proofErr w:type="spellStart"/>
            <w:r w:rsidRPr="00506483">
              <w:rPr>
                <w:b/>
                <w:bCs/>
                <w:sz w:val="22"/>
                <w:szCs w:val="22"/>
              </w:rPr>
              <w:t>Androstanediol</w:t>
            </w:r>
            <w:proofErr w:type="spellEnd"/>
            <w:r w:rsidRPr="00506483">
              <w:rPr>
                <w:b/>
                <w:bCs/>
                <w:sz w:val="22"/>
                <w:szCs w:val="22"/>
              </w:rPr>
              <w:t xml:space="preserve"> </w:t>
            </w:r>
          </w:p>
        </w:tc>
        <w:tc>
          <w:tcPr>
            <w:tcW w:w="2494" w:type="dxa"/>
            <w:vAlign w:val="center"/>
          </w:tcPr>
          <w:p w14:paraId="79A23FA2" w14:textId="77777777" w:rsidR="00E21241" w:rsidRPr="00506483" w:rsidRDefault="00E21241" w:rsidP="00C2658D">
            <w:pPr>
              <w:rPr>
                <w:sz w:val="22"/>
                <w:szCs w:val="22"/>
              </w:rPr>
            </w:pPr>
            <w:r>
              <w:rPr>
                <w:sz w:val="22"/>
                <w:szCs w:val="22"/>
              </w:rPr>
              <w:t>Metabolite of testosterone and 5</w:t>
            </w:r>
            <w:r>
              <w:rPr>
                <w:sz w:val="22"/>
                <w:szCs w:val="22"/>
              </w:rPr>
              <w:sym w:font="Symbol" w:char="F061"/>
            </w:r>
            <w:r>
              <w:rPr>
                <w:sz w:val="22"/>
                <w:szCs w:val="22"/>
              </w:rPr>
              <w:t xml:space="preserve">DHT; </w:t>
            </w:r>
            <w:r>
              <w:rPr>
                <w:sz w:val="22"/>
                <w:szCs w:val="22"/>
              </w:rPr>
              <w:sym w:font="Symbol" w:char="F062"/>
            </w:r>
            <w:r>
              <w:rPr>
                <w:sz w:val="22"/>
                <w:szCs w:val="22"/>
              </w:rPr>
              <w:t xml:space="preserve"> epimer of 5</w:t>
            </w:r>
            <w:r>
              <w:rPr>
                <w:sz w:val="22"/>
                <w:szCs w:val="22"/>
              </w:rPr>
              <w:sym w:font="Symbol" w:char="F061"/>
            </w:r>
            <w:r>
              <w:rPr>
                <w:sz w:val="22"/>
                <w:szCs w:val="22"/>
              </w:rPr>
              <w:t>-</w:t>
            </w:r>
            <w:proofErr w:type="spellStart"/>
            <w:r>
              <w:rPr>
                <w:sz w:val="22"/>
                <w:szCs w:val="22"/>
              </w:rPr>
              <w:t>androstanediol</w:t>
            </w:r>
            <w:proofErr w:type="spellEnd"/>
          </w:p>
        </w:tc>
        <w:tc>
          <w:tcPr>
            <w:tcW w:w="4950" w:type="dxa"/>
            <w:vAlign w:val="center"/>
          </w:tcPr>
          <w:p w14:paraId="60701705" w14:textId="13CBF51C" w:rsidR="00E21241" w:rsidRPr="00506483" w:rsidRDefault="00E21241" w:rsidP="00C2658D">
            <w:pPr>
              <w:rPr>
                <w:sz w:val="22"/>
                <w:szCs w:val="22"/>
              </w:rPr>
            </w:pPr>
            <w:r>
              <w:rPr>
                <w:sz w:val="22"/>
                <w:szCs w:val="22"/>
              </w:rPr>
              <w:t>Has estrogen agonist properties; evaluation of male infertility, hypogonadism, and low libido; evaluation of PCOS</w:t>
            </w:r>
            <w:sdt>
              <w:sdtPr>
                <w:rPr>
                  <w:color w:val="000000"/>
                  <w:sz w:val="22"/>
                  <w:szCs w:val="22"/>
                  <w:vertAlign w:val="superscript"/>
                </w:rPr>
                <w:tag w:val="MENDELEY_CITATION_{&quot;citationID&quot;:&quot;MENDELEY_CITATION_31d28d3c-ac6c-4c5d-b28b-05aca58b7d1b&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9,15&lt;/sup&gt;&quot;,&quot;manualOverrideText&quot;:&quot;&quot;}}"/>
                <w:id w:val="800496174"/>
                <w:placeholder>
                  <w:docPart w:val="DefaultPlaceholder_-1854013440"/>
                </w:placeholder>
              </w:sdtPr>
              <w:sdtContent>
                <w:r w:rsidR="004B759E" w:rsidRPr="004B759E">
                  <w:rPr>
                    <w:color w:val="000000"/>
                    <w:sz w:val="22"/>
                    <w:szCs w:val="22"/>
                    <w:vertAlign w:val="superscript"/>
                  </w:rPr>
                  <w:t>9,15</w:t>
                </w:r>
              </w:sdtContent>
            </w:sdt>
            <w:r w:rsidR="004B759E">
              <w:rPr>
                <w:sz w:val="22"/>
                <w:szCs w:val="22"/>
              </w:rPr>
              <w:t xml:space="preserve">     </w:t>
            </w:r>
          </w:p>
        </w:tc>
      </w:tr>
      <w:tr w:rsidR="00E21241" w:rsidRPr="00506483" w14:paraId="58C3A119" w14:textId="77777777" w:rsidTr="00C2658D">
        <w:tc>
          <w:tcPr>
            <w:tcW w:w="2541" w:type="dxa"/>
            <w:vAlign w:val="center"/>
          </w:tcPr>
          <w:p w14:paraId="1989B783" w14:textId="70C3E3F9" w:rsidR="00E21241" w:rsidRPr="00506483" w:rsidRDefault="009F2A61" w:rsidP="00C2658D">
            <w:pPr>
              <w:rPr>
                <w:b/>
                <w:bCs/>
                <w:sz w:val="22"/>
                <w:szCs w:val="22"/>
              </w:rPr>
            </w:pPr>
            <w:r w:rsidRPr="009F2A61">
              <w:rPr>
                <w:b/>
                <w:bCs/>
              </w:rPr>
              <w:lastRenderedPageBreak/>
              <w:t>D</w:t>
            </w:r>
            <w:r w:rsidR="00E21241" w:rsidRPr="009F2A61">
              <w:rPr>
                <w:b/>
                <w:bCs/>
              </w:rPr>
              <w:t>ehydroepiandrosterone</w:t>
            </w:r>
            <w:r>
              <w:t xml:space="preserve"> </w:t>
            </w:r>
            <w:r>
              <w:rPr>
                <w:b/>
                <w:bCs/>
                <w:sz w:val="22"/>
                <w:szCs w:val="22"/>
              </w:rPr>
              <w:t>(</w:t>
            </w:r>
            <w:r w:rsidR="00E21241" w:rsidRPr="00506483">
              <w:rPr>
                <w:b/>
                <w:bCs/>
                <w:sz w:val="22"/>
                <w:szCs w:val="22"/>
              </w:rPr>
              <w:t>DHEA</w:t>
            </w:r>
            <w:r>
              <w:rPr>
                <w:b/>
                <w:bCs/>
                <w:sz w:val="22"/>
                <w:szCs w:val="22"/>
              </w:rPr>
              <w:t>)</w:t>
            </w:r>
          </w:p>
        </w:tc>
        <w:tc>
          <w:tcPr>
            <w:tcW w:w="2494" w:type="dxa"/>
            <w:vAlign w:val="center"/>
          </w:tcPr>
          <w:p w14:paraId="5351D443" w14:textId="77777777" w:rsidR="00E21241" w:rsidRPr="00506483" w:rsidRDefault="00E21241" w:rsidP="00C2658D">
            <w:pPr>
              <w:rPr>
                <w:sz w:val="22"/>
                <w:szCs w:val="22"/>
              </w:rPr>
            </w:pPr>
            <w:r>
              <w:rPr>
                <w:sz w:val="22"/>
                <w:szCs w:val="22"/>
              </w:rPr>
              <w:t>Major metabolite in urine is DHEAS</w:t>
            </w:r>
          </w:p>
        </w:tc>
        <w:tc>
          <w:tcPr>
            <w:tcW w:w="4950" w:type="dxa"/>
            <w:vAlign w:val="center"/>
          </w:tcPr>
          <w:p w14:paraId="0548E69C" w14:textId="728400B6" w:rsidR="00E21241" w:rsidRPr="00506483" w:rsidRDefault="00E21241" w:rsidP="00C2658D">
            <w:pPr>
              <w:rPr>
                <w:sz w:val="22"/>
                <w:szCs w:val="22"/>
              </w:rPr>
            </w:pPr>
            <w:r>
              <w:rPr>
                <w:sz w:val="22"/>
                <w:szCs w:val="22"/>
              </w:rPr>
              <w:t xml:space="preserve">Weak androgen produced by adrenal glands and brain; </w:t>
            </w:r>
            <w:proofErr w:type="spellStart"/>
            <w:r>
              <w:rPr>
                <w:sz w:val="22"/>
                <w:szCs w:val="22"/>
              </w:rPr>
              <w:t>neurosteroid</w:t>
            </w:r>
            <w:proofErr w:type="spellEnd"/>
            <w:r>
              <w:rPr>
                <w:sz w:val="22"/>
                <w:szCs w:val="22"/>
              </w:rPr>
              <w:t>; implicated in neurocognitive declines and low libido; assessment of hirsutism and age-related changes in women; assessment of subclinical hypercortisolism</w:t>
            </w:r>
            <w:sdt>
              <w:sdtPr>
                <w:rPr>
                  <w:color w:val="000000"/>
                  <w:sz w:val="22"/>
                  <w:szCs w:val="22"/>
                  <w:vertAlign w:val="superscript"/>
                </w:rPr>
                <w:tag w:val="MENDELEY_CITATION_{&quot;citationID&quot;:&quot;MENDELEY_CITATION_9e6cfb78-3a64-447e-8689-f1e0c289f1f6&quot;,&quot;citationItems&quot;:[{&quot;id&quot;:&quot;dea2235d-2e23-3ef3-80aa-b943bd9c953d&quot;,&quot;itemData&quot;:{&quot;type&quot;:&quot;article&quot;,&quot;id&quot;:&quot;dea2235d-2e23-3ef3-80aa-b943bd9c953d&quot;,&quot;title&quot;:&quot;Hirsutism.&quot;,&quot;author&quot;:[{&quot;family&quot;:&quot;Mauvais-Jarvis&quot;,&quot;given&quot;:&quot;P.&quot;,&quot;parse-names&quot;:false,&quot;dropping-particle&quot;:&quot;&quot;,&quot;non-dropping-particle&quot;:&quot;&quot;},{&quot;family&quot;:&quot;Kuttenn&quot;,&quot;given&quot;:&quot;F.&quot;,&quot;parse-names&quot;:false,&quot;dropping-particle&quot;:&quot;&quot;,&quot;non-dropping-particle&quot;:&quot;&quot;},{&quot;family&quot;:&quot;Mowszowicz&quot;,&quot;given&quot;:&quot;I.&quot;,&quot;parse-names&quot;:false,&quot;dropping-particle&quot;:&quot;&quot;,&quot;non-dropping-particle&quot;:&quot;&quot;}],&quot;container-title&quot;:&quot;Monographs on endocrinology&quot;,&quot;accessed&quot;:{&quot;date-parts&quot;:[[2020,10,12]]},&quot;ISSN&quot;:&quot;00771015&quot;,&quot;PMID&quot;:&quot;6454061&quot;,&quot;URL&quot;:&quot;https://pubmed.ncbi.nlm.nih.gov/6454061/&quot;,&quot;issued&quot;:{&quot;date-parts&quot;:[[1981]]},&quot;page&quot;:&quot;1-116&quot;,&quot;publisher&quot;:&quot;Monogr Endocrinol&quot;,&quot;volume&quot;:&quot;19&quot;},&quot;isTemporary&quot;:false},{&quot;id&quot;:&quot;3e3e374a-ff91-3eb7-a400-4f279bc2c431&quot;,&quot;itemData&quot;:{&quot;type&quot;:&quot;article-journal&quot;,&quot;id&quot;:&quot;3e3e374a-ff91-3eb7-a400-4f279bc2c431&quot;,&quot;title&quot;:&quot;Low DHEAS: A sensitive and specific test for the detection of subclinical hypercortisolism in adrenal incidentalomas&quot;,&quot;author&quot;:[{&quot;family&quot;:&quot;Dennedy&quot;,&quot;given&quot;:&quot;M. Conall&quot;,&quot;parse-names&quot;:false,&quot;dropping-particle&quot;:&quot;&quot;,&quot;non-dropping-particle&quot;:&quot;&quot;},{&quot;family&quot;:&quot;Annamalai&quot;,&quot;given&quot;:&quot;Anand K.&quot;,&quot;parse-names&quot;:false,&quot;dropping-particle&quot;:&quot;&quot;,&quot;non-dropping-particle&quot;:&quot;&quot;},{&quot;family&quot;:&quot;Prankerd-Smith&quot;,&quot;given&quot;:&quot;Olivia&quot;,&quot;parse-names&quot;:false,&quot;dropping-particle&quot;:&quot;&quot;,&quot;non-dropping-particle&quot;:&quot;&quot;},{&quot;family&quot;:&quot;Freeman&quot;,&quot;given&quot;:&quot;Natalie&quot;,&quot;parse-names&quot;:false,&quot;dropping-particle&quot;:&quot;&quot;,&quot;non-dropping-particle&quot;:&quot;&quot;},{&quot;family&quot;:&quot;Vengopal&quot;,&quot;given&quot;:&quot;Kuhan&quot;,&quot;parse-names&quot;:false,&quot;dropping-particle&quot;:&quot;&quot;,&quot;non-dropping-particle&quot;:&quot;&quot;},{&quot;family&quot;:&quot;Graggaber&quot;,&quot;given&quot;:&quot;Johann&quot;,&quot;parse-names&quot;:false,&quot;dropping-particle&quot;:&quot;&quot;,&quot;non-dropping-particle&quot;:&quot;&quot;},{&quot;family&quot;:&quot;Koulouri&quot;,&quot;given&quot;:&quot;Olympia&quot;,&quot;parse-names&quot;:false,&quot;dropping-particle&quot;:&quot;&quot;,&quot;non-dropping-particle&quot;:&quot;&quot;},{&quot;family&quot;:&quot;Powlson&quot;,&quot;given&quot;:&quot;Andrew S.&quot;,&quot;parse-names&quot;:false,&quot;dropping-particle&quot;:&quot;&quot;,&quot;non-dropping-particle&quot;:&quot;&quot;},{&quot;family&quot;:&quot;Shaw&quot;,&quot;given&quot;:&quot;Ashley&quot;,&quot;parse-names&quot;:false,&quot;dropping-particle&quot;:&quot;&quot;,&quot;non-dropping-particle&quot;:&quot;&quot;},{&quot;family&quot;:&quot;Halsall&quot;,&quot;given&quot;:&quot;David J.&quot;,&quot;parse-names&quot;:false,&quot;dropping-particle&quot;:&quot;&quot;,&quot;non-dropping-particle&quot;:&quot;&quot;},{&quot;family&quot;:&quot;Gurnell&quot;,&quot;given&quot;:&quot;Mark&quot;,&quot;parse-names&quot;:false,&quot;dropping-particle&quot;:&quot;&quot;,&quot;non-dropping-particle&quot;:&quot;&quot;}],&quot;container-title&quot;:&quot;Journal of Clinical Endocrinology and Metabolism&quot;,&quot;accessed&quot;:{&quot;date-parts&quot;:[[2020,10,12]]},&quot;DOI&quot;:&quot;10.1210/jc.2016-2718&quot;,&quot;ISSN&quot;:&quot;19457197&quot;,&quot;PMID&quot;:&quot;27797672&quot;,&quot;URL&quot;:&quot;https://pubmed.ncbi.nlm.nih.gov/27797672/&quot;,&quot;issued&quot;:{&quot;date-parts&quot;:[[2017,3,1]]},&quot;page&quot;:&quot;786-792&quot;,&quot;abstract&quot;:&quot;Context: Subclinical hypercortisolism (SH) occurs in 5% to 30% of adrenal incidentalomas (AIs). Common screening tests for adrenocorticotropin-independent hypercortisolism have substantial false-positive rates, mandating further time and resource-intensive investigations. Objective: To determine whether low basal dehydroepiandrosterone sulfate (DHEAS) is a sensitive and specific screening test for SH in AI. Setting and Patients: In total, 185 patients with AI were screened for adrenal medullary (plasma metanephrines) and cortical [1 mg overnight dexamethasone suppression test (ONDST), 24-hour urinary free cortisol (UFC), serum DHEAS, plasma renin, and aldosterone] hyperfunction. Positive ONDST [1.8 mcg/dL (50 nmol/L)] and/or UFC (more than the upper limit of reference range) results were further investigated. We diagnosed SH when at least 2 of the following were met: raised UFC, raised midnight serum cortisol, 48-hour dexamethasone suppression test (DST) cortisol 1.8 mcg/dL (50 nmol/L). Results: 29 patients (16%)werediagnosedwith SH.Adrenocorticotropinwas,10 pg/mL (,2.2 pmol/L) in all patients with SH. We calculated age-and sex-specific DHEAS ratios (derived by dividing the DHEAS by the lower limit of the respective reference range) for all patients. Receiver operating characteristic curve analyses demonstrated that a ratio of 1.12 was sensitive (.99%) and specific (91.9%) for the diagnosis of SH. Cortisol following 1 mg ONDST of 1.9 mcg/dL (53 nmol/L) was a sensitive (.99%) screening test for SH but had lower specificity (82.9%). The 24-hour UFC lacked sensitivity (69%) and specificity (72%). Conclusion: A single basal measurement of DHEAS offers comparable sensitivity and greater specificity to the existing gold-standard 1mg DST for the detection of SH in patients with AIs.&quot;,&quot;publisher&quot;:&quot;Endocrine Society&quot;,&quot;issue&quot;:&quot;3&quot;,&quot;volume&quot;:&quot;102&quot;},&quot;isTemporary&quot;:false}],&quot;properties&quot;:{&quot;noteIndex&quot;:0},&quot;isEdited&quot;:false,&quot;manualOverride&quot;:{&quot;isManuallyOverriden&quot;:false,&quot;citeprocText&quot;:&quot;&lt;sup&gt;19,21&lt;/sup&gt;&quot;,&quot;manualOverrideText&quot;:&quot;&quot;}}"/>
                <w:id w:val="2134979817"/>
                <w:placeholder>
                  <w:docPart w:val="DefaultPlaceholder_-1854013440"/>
                </w:placeholder>
              </w:sdtPr>
              <w:sdtContent>
                <w:r w:rsidR="004B759E" w:rsidRPr="004B759E">
                  <w:rPr>
                    <w:color w:val="000000"/>
                    <w:sz w:val="22"/>
                    <w:szCs w:val="22"/>
                    <w:vertAlign w:val="superscript"/>
                  </w:rPr>
                  <w:t>19,21</w:t>
                </w:r>
              </w:sdtContent>
            </w:sdt>
            <w:r w:rsidR="004B759E">
              <w:rPr>
                <w:sz w:val="22"/>
                <w:szCs w:val="22"/>
              </w:rPr>
              <w:t xml:space="preserve">       </w:t>
            </w:r>
          </w:p>
        </w:tc>
      </w:tr>
      <w:tr w:rsidR="00E21241" w:rsidRPr="00506483" w14:paraId="593D328E" w14:textId="77777777" w:rsidTr="00C2658D">
        <w:tc>
          <w:tcPr>
            <w:tcW w:w="2541" w:type="dxa"/>
            <w:vAlign w:val="center"/>
          </w:tcPr>
          <w:p w14:paraId="64081F49" w14:textId="77777777" w:rsidR="00E21241" w:rsidRPr="00506483" w:rsidRDefault="00E21241" w:rsidP="00C2658D">
            <w:pPr>
              <w:rPr>
                <w:b/>
                <w:bCs/>
                <w:sz w:val="22"/>
                <w:szCs w:val="22"/>
              </w:rPr>
            </w:pPr>
            <w:r w:rsidRPr="00506483">
              <w:rPr>
                <w:b/>
                <w:bCs/>
                <w:sz w:val="22"/>
                <w:szCs w:val="22"/>
              </w:rPr>
              <w:t xml:space="preserve">6-Hydroxymelatoninsulfate </w:t>
            </w:r>
          </w:p>
        </w:tc>
        <w:tc>
          <w:tcPr>
            <w:tcW w:w="2494" w:type="dxa"/>
            <w:vAlign w:val="center"/>
          </w:tcPr>
          <w:p w14:paraId="26A5203E" w14:textId="77777777" w:rsidR="00E21241" w:rsidRPr="00506483" w:rsidRDefault="00E21241" w:rsidP="00C2658D">
            <w:pPr>
              <w:rPr>
                <w:sz w:val="22"/>
                <w:szCs w:val="22"/>
              </w:rPr>
            </w:pPr>
            <w:r>
              <w:rPr>
                <w:sz w:val="22"/>
                <w:szCs w:val="22"/>
              </w:rPr>
              <w:t>Metabolite of melatonin</w:t>
            </w:r>
          </w:p>
        </w:tc>
        <w:tc>
          <w:tcPr>
            <w:tcW w:w="4950" w:type="dxa"/>
            <w:vAlign w:val="center"/>
          </w:tcPr>
          <w:p w14:paraId="27D2B381" w14:textId="3064C12F" w:rsidR="00E21241" w:rsidRPr="00506483" w:rsidRDefault="00E21241" w:rsidP="00C2658D">
            <w:pPr>
              <w:rPr>
                <w:sz w:val="22"/>
                <w:szCs w:val="22"/>
              </w:rPr>
            </w:pPr>
            <w:r>
              <w:rPr>
                <w:sz w:val="22"/>
                <w:szCs w:val="22"/>
              </w:rPr>
              <w:t>Representative of melatonin which is involved in the regulation of the sleep-wake cycle and promotes sleep; neuroprotective; evaluation of insomnia, fatigue, and infertility</w:t>
            </w:r>
            <w:sdt>
              <w:sdtPr>
                <w:rPr>
                  <w:color w:val="000000"/>
                  <w:sz w:val="22"/>
                  <w:szCs w:val="22"/>
                  <w:vertAlign w:val="superscript"/>
                </w:rPr>
                <w:tag w:val="MENDELEY_CITATION_{&quot;citationID&quot;:&quot;MENDELEY_CITATION_215968b9-d4e8-41e0-980f-77f189c80d5f&quot;,&quot;citationItems&quot;:[{&quot;id&quot;:&quot;6a6420c3-f34d-3134-9e22-c2baad312e5b&quot;,&quot;itemData&quot;:{&quot;type&quot;:&quot;article-journal&quot;,&quot;id&quot;:&quot;6a6420c3-f34d-3134-9e22-c2baad312e5b&quot;,&quot;title&quot;:&quot;Prediction of nocturnal plasma melatonin from morning urinary measures&quot;,&quot;author&quot;:[{&quot;family&quot;:&quot;Graham&quot;,&quot;given&quot;:&quot;Charles&quot;,&quot;parse-names&quot;:false,&quot;dropping-particle&quot;:&quot;&quot;,&quot;non-dropping-particle&quot;:&quot;&quot;},{&quot;family&quot;:&quot;Cook&quot;,&quot;given&quot;:&quot;Mary R.&quot;,&quot;parse-names&quot;:false,&quot;dropping-particle&quot;:&quot;&quot;,&quot;non-dropping-particle&quot;:&quot;&quot;},{&quot;family&quot;:&quot;Kavet&quot;,&quot;given&quot;:&quot;Robert&quot;,&quot;parse-names&quot;:false,&quot;dropping-particle&quot;:&quot;&quot;,&quot;non-dropping-particle&quot;:&quot;&quot;},{&quot;family&quot;:&quot;Sastre&quot;,&quot;given&quot;:&quot;Antonio&quot;,&quot;parse-names&quot;:false,&quot;dropping-particle&quot;:&quot;&quot;,&quot;non-dropping-particle&quot;:&quot;&quot;},{&quot;family&quot;:&quot;Smith&quot;,&quot;given&quot;:&quot;Deborah K.&quot;,&quot;parse-names&quot;:false,&quot;dropping-particle&quot;:&quot;&quot;,&quot;non-dropping-particle&quot;:&quot;&quot;}],&quot;container-title&quot;:&quot;Journal of Pineal Research&quot;,&quot;DOI&quot;:&quot;10.1111/j.1600-079X.1998.tb00538.x&quot;,&quot;ISSN&quot;:&quot;07423098&quot;,&quot;PMID&quot;:&quot;9572533&quot;,&quot;issued&quot;:{&quot;date-parts&quot;:[[1998]]},&quot;page&quot;:&quot;230-238&quot;,&quot;abstract&quot;:&quot;A growing literature indicates that blood levels of the hormone melatonin may have important implications for human health and well-being. Melatonin is synthesized and released into the general circulation at night, however, and it is seldom feasible to draw blood samples at night in epidemiological studies. There is some evidence that levels of urinary melatonin and of 6-sulfatoxymelatonin (aMT6s), the major metabolite of melatonin, accurately reflect nocturnal plasma melatonin. If this is the case, urinary assays could be powerful tools for epidemiological studies. A laboratory-based study was performed to examine the relationships between nocturnal plasma melatonin, morning urinary melatonin, and morning urinary aMT6s levels in 78 men. The relationship between total nocturnal plasma melatonin and both urinary aMT6s corrected for creatinine and urinary melatonin is significant. Combining the two urinary measures accounts for 72% of the variance in total plasma melatonin. Peak nocturnal plasma melatonin also was significantly related to urinary melatonin and to aMT6s. The urinary measures show good sensitivity and specificity in identifying individual differences in nocturnal plasma melatonin levels. These results support the inclusion of morning urine samples to assess the contribution of the hormone melatonin in occupational or residential studies involving healthy, young men.&quot;,&quot;issue&quot;:&quot;4&quot;,&quot;volume&quot;:&quot;24&quot;},&quot;isTemporary&quot;:false},{&quot;id&quot;:&quot;9faf736e-c3db-395e-a34d-43cad32a6cbd&quot;,&quot;itemData&quot;:{&quot;type&quot;:&quot;article-journal&quot;,&quot;id&quot;:&quot;9faf736e-c3db-395e-a34d-43cad32a6cbd&quot;,&quot;title&quot;:&quot;Urinary melatonin levels and breast cancer risk&quot;,&quot;author&quot;:[{&quot;family&quot;:&quot;Schernhammer&quot;,&quot;given&quot;:&quot;Eva S.&quot;,&quot;parse-names&quot;:false,&quot;dropping-particle&quot;:&quot;&quot;,&quot;non-dropping-particle&quot;:&quot;&quot;},{&quot;family&quot;:&quot;Hankinson&quot;,&quot;given&quot;:&quot;Susan E.&quot;,&quot;parse-names&quot;:false,&quot;dropping-particle&quot;:&quot;&quot;,&quot;non-dropping-particle&quot;:&quot;&quot;}],&quot;container-title&quot;:&quot;Journal of the National Cancer Institute&quot;,&quot;DOI&quot;:&quot;10.1093/jnci/dji190&quot;,&quot;ISSN&quot;:&quot;00278874&quot;,&quot;PMID&quot;:&quot;16030307&quot;,&quot;issued&quot;:{&quot;date-parts&quot;:[[2005]]},&quot;page&quot;:&quot;1084-1087&quot;,&quot;abstract&quot;:&quot;Exposure to light at night suppresses melatonin production, and night-shift work (a surrogate for such exposure) has been associated with an increased risk of breast cancer. However, the association between circulating melatonin levels and breast cancer risk is unclear. In a prospective case-control study nested within the Nurses' Health Study II cohort, we measured the concentration of the major melatonin metabolite, 6-sulphatoxymelatonin (aMT6s), in the first morning urine of 147 women with invasive breast cancer and 291 matched control subjects. In logistic regression models, the relative risk (reported as the odds ratio [OR]) of invasive breast cancer for women in the highest quartile of urinary aMT6s compared with those in the lowest was 0.59 (95% confidence interval [CI] = 0.36 to 0.97). This association was essentially unchanged after adjustment for breast cancer risk factors or plasma sex hormone levels but was slightly weakened when the analysis included 43 case patients with in situ breast cancer and their 85 matched control subjects (OR = 0.70, 95% CI = 0.47 to 1.06). The exclusion of women who had a history of night-shift work left our findings largely unchanged. These prospective data support the hypothesis that higher melatonin levels, as measured in first morning urine, are associated with a lower risk of breast cancer. © The Author 2005. Published by Oxford University Press. All rights reserved.&quot;,&quot;issue&quot;:&quot;14&quot;,&quot;volume&quot;:&quot;97&quot;},&quot;isTemporary&quot;:false}],&quot;properties&quot;:{&quot;noteIndex&quot;:0},&quot;isEdited&quot;:false,&quot;manualOverride&quot;:{&quot;isManuallyOverriden&quot;:false,&quot;citeprocText&quot;:&quot;&lt;sup&gt;22,23&lt;/sup&gt;&quot;,&quot;manualOverrideText&quot;:&quot;&quot;}}"/>
                <w:id w:val="1667902959"/>
                <w:placeholder>
                  <w:docPart w:val="DefaultPlaceholder_-1854013440"/>
                </w:placeholder>
              </w:sdtPr>
              <w:sdtContent>
                <w:r w:rsidR="004B759E" w:rsidRPr="004B759E">
                  <w:rPr>
                    <w:color w:val="000000"/>
                    <w:sz w:val="22"/>
                    <w:szCs w:val="22"/>
                    <w:vertAlign w:val="superscript"/>
                  </w:rPr>
                  <w:t>22,23</w:t>
                </w:r>
              </w:sdtContent>
            </w:sdt>
            <w:r w:rsidR="004B759E">
              <w:rPr>
                <w:sz w:val="22"/>
                <w:szCs w:val="22"/>
              </w:rPr>
              <w:t xml:space="preserve">    </w:t>
            </w:r>
          </w:p>
        </w:tc>
      </w:tr>
      <w:tr w:rsidR="00E21241" w:rsidRPr="00506483" w14:paraId="76053D26" w14:textId="77777777" w:rsidTr="00C2658D">
        <w:tc>
          <w:tcPr>
            <w:tcW w:w="2541" w:type="dxa"/>
            <w:vAlign w:val="center"/>
          </w:tcPr>
          <w:p w14:paraId="1BC9517F" w14:textId="77777777" w:rsidR="00E21241" w:rsidRPr="00506483" w:rsidRDefault="00E21241" w:rsidP="00C2658D">
            <w:pPr>
              <w:rPr>
                <w:b/>
                <w:bCs/>
                <w:sz w:val="22"/>
                <w:szCs w:val="22"/>
              </w:rPr>
            </w:pPr>
            <w:r w:rsidRPr="00506483">
              <w:rPr>
                <w:b/>
                <w:bCs/>
                <w:sz w:val="22"/>
                <w:szCs w:val="22"/>
              </w:rPr>
              <w:t xml:space="preserve">Methylmalonic Acid </w:t>
            </w:r>
          </w:p>
        </w:tc>
        <w:tc>
          <w:tcPr>
            <w:tcW w:w="2494" w:type="dxa"/>
            <w:vAlign w:val="center"/>
          </w:tcPr>
          <w:p w14:paraId="15483BCC" w14:textId="77777777" w:rsidR="00E21241" w:rsidRPr="00506483" w:rsidRDefault="00E21241" w:rsidP="00C2658D">
            <w:pPr>
              <w:rPr>
                <w:sz w:val="22"/>
                <w:szCs w:val="22"/>
              </w:rPr>
            </w:pPr>
            <w:r>
              <w:rPr>
                <w:sz w:val="22"/>
                <w:szCs w:val="22"/>
              </w:rPr>
              <w:t>Intermediate in the propionate pathway</w:t>
            </w:r>
          </w:p>
        </w:tc>
        <w:tc>
          <w:tcPr>
            <w:tcW w:w="4950" w:type="dxa"/>
            <w:vAlign w:val="center"/>
          </w:tcPr>
          <w:p w14:paraId="0F2ABF9A" w14:textId="1FE3DA94" w:rsidR="00E21241" w:rsidRPr="00506483" w:rsidRDefault="00E21241" w:rsidP="00C2658D">
            <w:pPr>
              <w:rPr>
                <w:sz w:val="22"/>
                <w:szCs w:val="22"/>
              </w:rPr>
            </w:pPr>
            <w:r>
              <w:rPr>
                <w:sz w:val="22"/>
                <w:szCs w:val="22"/>
              </w:rPr>
              <w:t>Increased in thiamine (B12) deficiency</w:t>
            </w:r>
            <w:sdt>
              <w:sdtPr>
                <w:rPr>
                  <w:color w:val="000000"/>
                  <w:sz w:val="22"/>
                  <w:szCs w:val="22"/>
                  <w:vertAlign w:val="superscript"/>
                </w:rPr>
                <w:tag w:val="MENDELEY_CITATION_{&quot;citationID&quot;:&quot;MENDELEY_CITATION_909afa64-6440-437c-a4f0-86281463fff2&quot;,&quot;citationItems&quot;:[{&quot;id&quot;:&quot;940d2e45-ee6b-3527-8ea5-a4686303d7fa&quot;,&quot;itemData&quot;:{&quot;type&quot;:&quot;article-journal&quot;,&quot;id&quot;:&quot;940d2e45-ee6b-3527-8ea5-a4686303d7fa&quot;,&quot;title&quot;:&quot;Cobalamin and folate evaluation: Measurement of methylmalonic acid and homocysteine vs vitamin B12 and folate&quot;,&quot;author&quot;:[{&quot;family&quot;:&quot;Klee&quot;,&quot;given&quot;:&quot;G. G.&quot;,&quot;parse-names&quot;:false,&quot;dropping-particle&quot;:&quot;&quot;,&quot;non-dropping-particle&quot;:&quot;&quot;}],&quot;container-title&quot;:&quot;Clinical Chemistry&quot;,&quot;DOI&quot;:&quot;10.1093/clinchem/46.8.1277&quot;,&quot;ISSN&quot;:&quot;00099147&quot;,&quot;PMID&quot;:&quot;10926922&quot;,&quot;issued&quot;:{&quot;date-parts&quot;:[[2000]]},&quot;page&quot;:&quot;1277-1283&quot;,&quot;abstract&quot;:&quot;Vitamin B12 and folate are two vitamins that have interdependent roles in nucleic acid synthesis. Deficiencies of either vitamin can cause megaloblastic anemia; however, inappropriate treatment of B12 deficiency with folate can cause irreversible nerve degeneration. Inadequate folate nutrition during early pregnancy can cause neural tube defects in the developing fetus. In addition, folate and vitamin B12 deficiency and the compensatory increase in homocysteine are a significant risk factor for cardiovascular disease. Laboratory support for the diagnosis and management of these multiple clinical entities is controversial and somewhat problematic. Automated ligand binding measurements of vitamin B12 and folate are easiest to perform and widely used. Unfortunately, these tests are not the most sensitive indicators of disease. Measurement of red cell folate is less dependent on dietary fluctuations, but these measurements may not be reliable. Homocysteine and methylmalonic acid are better metabolic indicators of deficiencies at the tissue level. There are no 'gold standards' for the diagnosis of these disorders, and controversy exists regarding the best diagnostic approach. Healthcare strategies that consider the impact of laboratory tests on the overall costs and quality of care should consider the advantages of including methylmalonic acid and homocysteine in the early evaluation of patients with suspected deficiencies of vitamin B12 and folate. (C) 2000 American Association for Clinical Chemistry.&quot;,&quot;issue&quot;:&quot;8 II&quot;,&quot;volume&quot;:&quot;46&quot;},&quot;isTemporary&quot;:false}],&quot;properties&quot;:{&quot;noteIndex&quot;:0},&quot;isEdited&quot;:false,&quot;manualOverride&quot;:{&quot;isManuallyOverriden&quot;:false,&quot;citeprocText&quot;:&quot;&lt;sup&gt;24&lt;/sup&gt;&quot;,&quot;manualOverrideText&quot;:&quot;&quot;}}"/>
                <w:id w:val="-1262447647"/>
                <w:placeholder>
                  <w:docPart w:val="DefaultPlaceholder_-1854013440"/>
                </w:placeholder>
              </w:sdtPr>
              <w:sdtContent>
                <w:r w:rsidR="00886BB0" w:rsidRPr="00886BB0">
                  <w:rPr>
                    <w:color w:val="000000"/>
                    <w:sz w:val="22"/>
                    <w:szCs w:val="22"/>
                    <w:vertAlign w:val="superscript"/>
                  </w:rPr>
                  <w:t>24</w:t>
                </w:r>
              </w:sdtContent>
            </w:sdt>
            <w:r w:rsidR="004B759E">
              <w:rPr>
                <w:sz w:val="22"/>
                <w:szCs w:val="22"/>
              </w:rPr>
              <w:t xml:space="preserve">   </w:t>
            </w:r>
          </w:p>
        </w:tc>
      </w:tr>
      <w:tr w:rsidR="00E21241" w:rsidRPr="00506483" w14:paraId="2B2FB71F" w14:textId="77777777" w:rsidTr="00C2658D">
        <w:tc>
          <w:tcPr>
            <w:tcW w:w="2541" w:type="dxa"/>
            <w:vAlign w:val="center"/>
          </w:tcPr>
          <w:p w14:paraId="4207E293" w14:textId="77777777" w:rsidR="00E21241" w:rsidRPr="00506483" w:rsidRDefault="00E21241" w:rsidP="00C2658D">
            <w:pPr>
              <w:rPr>
                <w:b/>
                <w:bCs/>
                <w:sz w:val="22"/>
                <w:szCs w:val="22"/>
              </w:rPr>
            </w:pPr>
            <w:proofErr w:type="spellStart"/>
            <w:r w:rsidRPr="00506483">
              <w:rPr>
                <w:b/>
                <w:bCs/>
                <w:sz w:val="22"/>
                <w:szCs w:val="22"/>
              </w:rPr>
              <w:t>Homovanillic</w:t>
            </w:r>
            <w:proofErr w:type="spellEnd"/>
            <w:r w:rsidRPr="00506483">
              <w:rPr>
                <w:b/>
                <w:bCs/>
                <w:sz w:val="22"/>
                <w:szCs w:val="22"/>
              </w:rPr>
              <w:t xml:space="preserve"> Acid </w:t>
            </w:r>
          </w:p>
        </w:tc>
        <w:tc>
          <w:tcPr>
            <w:tcW w:w="2494" w:type="dxa"/>
            <w:vAlign w:val="center"/>
          </w:tcPr>
          <w:p w14:paraId="438C0056" w14:textId="77777777" w:rsidR="00E21241" w:rsidRPr="00506483" w:rsidRDefault="00E21241" w:rsidP="00C2658D">
            <w:pPr>
              <w:rPr>
                <w:sz w:val="22"/>
                <w:szCs w:val="22"/>
              </w:rPr>
            </w:pPr>
            <w:r>
              <w:rPr>
                <w:sz w:val="22"/>
                <w:szCs w:val="22"/>
              </w:rPr>
              <w:t>Metabolite of dopamine</w:t>
            </w:r>
          </w:p>
        </w:tc>
        <w:tc>
          <w:tcPr>
            <w:tcW w:w="4950" w:type="dxa"/>
            <w:vAlign w:val="center"/>
          </w:tcPr>
          <w:p w14:paraId="6CF5C266" w14:textId="401F6A16" w:rsidR="00E21241" w:rsidRPr="00506483" w:rsidRDefault="00E21241" w:rsidP="00C2658D">
            <w:pPr>
              <w:rPr>
                <w:sz w:val="22"/>
                <w:szCs w:val="22"/>
              </w:rPr>
            </w:pPr>
            <w:r>
              <w:rPr>
                <w:sz w:val="22"/>
                <w:szCs w:val="22"/>
              </w:rPr>
              <w:t>Elevated in cases of neuroblastoma; marker of metabolic stress in patients with psychiatric and neurologic diseases</w:t>
            </w:r>
            <w:sdt>
              <w:sdtPr>
                <w:rPr>
                  <w:color w:val="000000"/>
                  <w:sz w:val="22"/>
                  <w:szCs w:val="22"/>
                  <w:vertAlign w:val="superscript"/>
                </w:rPr>
                <w:tag w:val="MENDELEY_CITATION_{&quot;citationID&quot;:&quot;MENDELEY_CITATION_783eea2a-fa68-43de-b6de-5cdb604bab4b&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properties&quot;:{&quot;noteIndex&quot;:0},&quot;isEdited&quot;:false,&quot;manualOverride&quot;:{&quot;isManuallyOverriden&quot;:false,&quot;citeprocText&quot;:&quot;&lt;sup&gt;25&lt;/sup&gt;&quot;,&quot;manualOverrideText&quot;:&quot;&quot;}}"/>
                <w:id w:val="1853304709"/>
                <w:placeholder>
                  <w:docPart w:val="DefaultPlaceholder_-1854013440"/>
                </w:placeholder>
              </w:sdtPr>
              <w:sdtContent>
                <w:r w:rsidR="00886BB0" w:rsidRPr="00886BB0">
                  <w:rPr>
                    <w:color w:val="000000"/>
                    <w:sz w:val="22"/>
                    <w:szCs w:val="22"/>
                    <w:vertAlign w:val="superscript"/>
                  </w:rPr>
                  <w:t>25</w:t>
                </w:r>
              </w:sdtContent>
            </w:sdt>
            <w:r w:rsidR="00886BB0">
              <w:rPr>
                <w:sz w:val="22"/>
                <w:szCs w:val="22"/>
              </w:rPr>
              <w:t xml:space="preserve">   </w:t>
            </w:r>
          </w:p>
        </w:tc>
      </w:tr>
      <w:tr w:rsidR="00E21241" w:rsidRPr="00506483" w14:paraId="24A64C02" w14:textId="77777777" w:rsidTr="00C2658D">
        <w:tc>
          <w:tcPr>
            <w:tcW w:w="2541" w:type="dxa"/>
            <w:vAlign w:val="center"/>
          </w:tcPr>
          <w:p w14:paraId="6090E1AC" w14:textId="77777777" w:rsidR="00E21241" w:rsidRPr="00506483" w:rsidRDefault="00E21241" w:rsidP="00C2658D">
            <w:pPr>
              <w:rPr>
                <w:b/>
                <w:bCs/>
                <w:sz w:val="22"/>
                <w:szCs w:val="22"/>
              </w:rPr>
            </w:pPr>
            <w:r w:rsidRPr="00506483">
              <w:rPr>
                <w:b/>
                <w:bCs/>
                <w:sz w:val="22"/>
                <w:szCs w:val="22"/>
              </w:rPr>
              <w:t xml:space="preserve">Vanillylmandelic Acid </w:t>
            </w:r>
          </w:p>
        </w:tc>
        <w:tc>
          <w:tcPr>
            <w:tcW w:w="2494" w:type="dxa"/>
            <w:vAlign w:val="center"/>
          </w:tcPr>
          <w:p w14:paraId="312E7347" w14:textId="77777777" w:rsidR="00E21241" w:rsidRPr="00506483" w:rsidRDefault="00E21241" w:rsidP="00C2658D">
            <w:pPr>
              <w:rPr>
                <w:sz w:val="22"/>
                <w:szCs w:val="22"/>
              </w:rPr>
            </w:pPr>
            <w:r>
              <w:rPr>
                <w:sz w:val="22"/>
                <w:szCs w:val="22"/>
              </w:rPr>
              <w:t>Metabolite of norepinephrine</w:t>
            </w:r>
          </w:p>
        </w:tc>
        <w:tc>
          <w:tcPr>
            <w:tcW w:w="4950" w:type="dxa"/>
            <w:vAlign w:val="center"/>
          </w:tcPr>
          <w:p w14:paraId="5E0944EE" w14:textId="31F07689" w:rsidR="00E21241" w:rsidRPr="00506483" w:rsidRDefault="00E21241" w:rsidP="00C2658D">
            <w:pPr>
              <w:rPr>
                <w:sz w:val="22"/>
                <w:szCs w:val="22"/>
              </w:rPr>
            </w:pPr>
            <w:r>
              <w:rPr>
                <w:sz w:val="22"/>
                <w:szCs w:val="22"/>
              </w:rPr>
              <w:t>Elevated in cases of neuroblastoma or pheochromocytoma</w:t>
            </w:r>
            <w:sdt>
              <w:sdtPr>
                <w:rPr>
                  <w:color w:val="000000"/>
                  <w:sz w:val="22"/>
                  <w:szCs w:val="22"/>
                  <w:vertAlign w:val="superscript"/>
                </w:rPr>
                <w:tag w:val="MENDELEY_CITATION_{&quot;citationID&quot;:&quot;MENDELEY_CITATION_6c0f3465-cac7-47fb-94a1-cf623319ebd4&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id&quot;:&quot;179e7bd6-d7b8-3008-ade8-90764583a084&quot;,&quot;itemData&quot;:{&quot;type&quot;:&quot;article-journal&quot;,&quot;id&quot;:&quot;179e7bd6-d7b8-3008-ade8-90764583a084&quot;,&quot;title&quot;:&quot;Urinary VMA, dopamine and the likelihood of neuroblastoma: A preferred way of reporting laboratory results?&quot;,&quot;author&quot;:[{&quot;family&quot;:&quot;Sies&quot;,&quot;given&quot;:&quot;C. W.&quot;,&quot;parse-names&quot;:false,&quot;dropping-particle&quot;:&quot;&quot;,&quot;non-dropping-particle&quot;:&quot;&quot;},{&quot;family&quot;:&quot;Florkowski&quot;,&quot;given&quot;:&quot;C. M.&quot;,&quot;parse-names&quot;:false,&quot;dropping-particle&quot;:&quot;&quot;,&quot;non-dropping-particle&quot;:&quot;&quot;},{&quot;family&quot;:&quot;Sullivan&quot;,&quot;given&quot;:&quot;M.&quot;,&quot;parse-names&quot;:false,&quot;dropping-particle&quot;:&quot;&quot;,&quot;non-dropping-particle&quot;:&quot;&quot;},{&quot;family&quot;:&quot;Mackay&quot;,&quot;given&quot;:&quot;R.&quot;,&quot;parse-names&quot;:false,&quot;dropping-particle&quot;:&quot;&quot;,&quot;non-dropping-particle&quot;:&quot;&quot;},{&quot;family&quot;:&quot;George&quot;,&quot;given&quot;:&quot;P. M.&quot;,&quot;parse-names&quot;:false,&quot;dropping-particle&quot;:&quot;&quot;,&quot;non-dropping-particle&quot;:&quot;&quot;}],&quot;container-title&quot;:&quot;Annals of Clinical Biochemistry&quot;,&quot;DOI&quot;:&quot;10.1258/000456306777695645&quot;,&quot;ISSN&quot;:&quot;00045632&quot;,&quot;PMID&quot;:&quot;16824281&quot;,&quot;issued&quot;:{&quot;date-parts&quot;:[[2006]]},&quot;page&quot;:&quot;300-305&quot;,&quot;abstract&quot;:&quot;Background: Neuroblastoma patients may be classified as normal or abnormal depending on reference interval and decision points for urine catecholamine metabolites. We therefore evaluated the utility of positive likelihood ratios (LR+) based on data from patients in whom the diagnosis was suspected. Methods: Urine samples from 249 patients (122 male, 127 female) suspected of neuroblastoma were assayed for VMA by spectrophotometry and dopamine by HPLC. Ratios of VMA to creatinine (VMA/Cr) and dopamine to creatinine (DA/Cr) were calculated and age-related median scores derived relative to patients without neuroblastoma. Receiver operator characteristic (ROC) curve analysis was undertaken for the ability of median scores to identify neuroblastoma. Results: Of the 249 patients, there were 20 confirmed cases of neuroblastoma, with ages ranging from 0 (congenital tumour) to 8.4 years. From ROC curves, VMA/Cr was found to have an area under the curve 0.96 (95% confidence interval [CI] 0.92-0.98) compared with 0.72 (95% CI 0.66-0.77) for DA/Cr, P = 0.001. At the optimal decision point for VMA/Cr, LR+ was 7.2, identifying cases with a sensitivity of 95% and a specificity of 86%, and comparing favourably with published intervals. Conclusions: VMA/Cr is more accurate than DA/Cr for the diagnosis of neuroblastoma. Reporting LR+ may also be more informative than using reference intervals and decision points. © 2006 The Association for Clinical Biochemistry.&quot;,&quot;issue&quot;:&quot;4&quot;,&quot;volume&quot;:&quot;43&quot;},&quot;isTemporary&quot;:false}],&quot;properties&quot;:{&quot;noteIndex&quot;:0},&quot;isEdited&quot;:false,&quot;manualOverride&quot;:{&quot;isManuallyOverriden&quot;:false,&quot;citeprocText&quot;:&quot;&lt;sup&gt;25,26&lt;/sup&gt;&quot;,&quot;manualOverrideText&quot;:&quot;&quot;}}"/>
                <w:id w:val="-640270548"/>
                <w:placeholder>
                  <w:docPart w:val="DefaultPlaceholder_-1854013440"/>
                </w:placeholder>
              </w:sdtPr>
              <w:sdtContent>
                <w:r w:rsidR="00886BB0" w:rsidRPr="00886BB0">
                  <w:rPr>
                    <w:color w:val="000000"/>
                    <w:sz w:val="22"/>
                    <w:szCs w:val="22"/>
                    <w:vertAlign w:val="superscript"/>
                  </w:rPr>
                  <w:t>25,26</w:t>
                </w:r>
              </w:sdtContent>
            </w:sdt>
            <w:r w:rsidR="00886BB0">
              <w:rPr>
                <w:sz w:val="22"/>
                <w:szCs w:val="22"/>
              </w:rPr>
              <w:t xml:space="preserve">    </w:t>
            </w:r>
          </w:p>
        </w:tc>
      </w:tr>
      <w:tr w:rsidR="00E21241" w:rsidRPr="00506483" w14:paraId="240C829C" w14:textId="77777777" w:rsidTr="00C2658D">
        <w:tc>
          <w:tcPr>
            <w:tcW w:w="2541" w:type="dxa"/>
            <w:vAlign w:val="center"/>
          </w:tcPr>
          <w:p w14:paraId="1ABEB1A2" w14:textId="77777777" w:rsidR="00E21241" w:rsidRPr="00506483" w:rsidRDefault="00E21241" w:rsidP="00C2658D">
            <w:pPr>
              <w:rPr>
                <w:b/>
                <w:bCs/>
                <w:sz w:val="22"/>
                <w:szCs w:val="22"/>
              </w:rPr>
            </w:pPr>
            <w:r w:rsidRPr="00506483">
              <w:rPr>
                <w:b/>
                <w:bCs/>
                <w:sz w:val="22"/>
                <w:szCs w:val="22"/>
              </w:rPr>
              <w:t xml:space="preserve">Kynurenic Acid </w:t>
            </w:r>
          </w:p>
        </w:tc>
        <w:tc>
          <w:tcPr>
            <w:tcW w:w="2494" w:type="dxa"/>
            <w:vAlign w:val="center"/>
          </w:tcPr>
          <w:p w14:paraId="20B16394" w14:textId="77777777" w:rsidR="00E21241" w:rsidRPr="00506483" w:rsidRDefault="00E21241" w:rsidP="00C2658D">
            <w:pPr>
              <w:rPr>
                <w:sz w:val="22"/>
                <w:szCs w:val="22"/>
              </w:rPr>
            </w:pPr>
            <w:r>
              <w:rPr>
                <w:sz w:val="22"/>
                <w:szCs w:val="22"/>
              </w:rPr>
              <w:t xml:space="preserve">Metabolite of </w:t>
            </w:r>
            <w:r w:rsidRPr="00BB18E1">
              <w:rPr>
                <w:sz w:val="22"/>
                <w:szCs w:val="22"/>
              </w:rPr>
              <w:t>tryptophan</w:t>
            </w:r>
          </w:p>
        </w:tc>
        <w:tc>
          <w:tcPr>
            <w:tcW w:w="4950" w:type="dxa"/>
            <w:vAlign w:val="center"/>
          </w:tcPr>
          <w:p w14:paraId="5045E26E" w14:textId="5C24E8FE" w:rsidR="00E21241" w:rsidRPr="00506483" w:rsidRDefault="00E21241" w:rsidP="00C2658D">
            <w:pPr>
              <w:rPr>
                <w:sz w:val="22"/>
                <w:szCs w:val="22"/>
              </w:rPr>
            </w:pPr>
            <w:r>
              <w:rPr>
                <w:sz w:val="22"/>
                <w:szCs w:val="22"/>
              </w:rPr>
              <w:t xml:space="preserve">Part of the </w:t>
            </w:r>
            <w:proofErr w:type="spellStart"/>
            <w:r>
              <w:rPr>
                <w:sz w:val="22"/>
                <w:szCs w:val="22"/>
              </w:rPr>
              <w:t>kynureninase</w:t>
            </w:r>
            <w:proofErr w:type="spellEnd"/>
            <w:r>
              <w:rPr>
                <w:sz w:val="22"/>
                <w:szCs w:val="22"/>
              </w:rPr>
              <w:t xml:space="preserve"> pathway; increased in pyridoxine (B6) deficiency</w:t>
            </w:r>
            <w:sdt>
              <w:sdtPr>
                <w:rPr>
                  <w:color w:val="000000"/>
                  <w:sz w:val="22"/>
                  <w:szCs w:val="22"/>
                  <w:vertAlign w:val="superscript"/>
                </w:rPr>
                <w:tag w:val="MENDELEY_CITATION_{&quot;citationID&quot;:&quot;MENDELEY_CITATION_6d230064-323d-4e2e-bd78-4aaa84c1f5d9&quot;,&quot;citationItems&quot;:[{&quot;id&quot;:&quot;6a2b6af5-dd21-36b8-9ae0-8851f0cc09e4&quot;,&quot;itemData&quot;:{&quot;type&quot;:&quot;article-journal&quot;,&quot;id&quot;:&quot;6a2b6af5-dd21-36b8-9ae0-8851f0cc09e4&quot;,&quot;title&quot;:&quot;Altered serum levels of kynurenine metabolites in patients affected by cluster headache&quot;,&quot;author&quot;:[{&quot;family&quot;:&quot;Curto&quot;,&quot;given&quot;:&quot;Martina&quot;,&quot;parse-names&quot;:false,&quot;dropping-particle&quot;:&quot;&quot;,&quot;non-dropping-particle&quot;:&quot;&quot;},{&quot;family&quot;:&quot;Lionetto&quot;,&quot;given&quot;:&quot;Luana&quot;,&quot;parse-names&quot;:false,&quot;dropping-particle&quot;:&quot;&quot;,&quot;non-dropping-particle&quot;:&quot;&quot;},{&quot;family&quot;:&quot;Negro&quot;,&quot;given&quot;:&quot;Andrea&quot;,&quot;parse-names&quot;:false,&quot;dropping-particle&quot;:&quot;&quot;,&quot;non-dropping-particle&quot;:&quot;&quot;},{&quot;family&quot;:&quot;Capi&quot;,&quot;given&quot;:&quot;Matilde&quot;,&quot;parse-names&quot;:false,&quot;dropping-particle&quot;:&quot;&quot;,&quot;non-dropping-particle&quot;:&quot;&quot;},{&quot;family&quot;:&quot;Perugino&quot;,&quot;given&quot;:&quot;Francesca&quot;,&quot;parse-names&quot;:false,&quot;dropping-particle&quot;:&quot;&quot;,&quot;non-dropping-particle&quot;:&quot;&quot;},{&quot;family&quot;:&quot;Fazio&quot;,&quot;given&quot;:&quot;Francesco&quot;,&quot;parse-names&quot;:false,&quot;dropping-particle&quot;:&quot;&quot;,&quot;non-dropping-particle&quot;:&quot;&quot;},{&quot;family&quot;:&quot;Giamberardino&quot;,&quot;given&quot;:&quot;Maria Adele&quot;,&quot;parse-names&quot;:false,&quot;dropping-particle&quot;:&quot;&quot;,&quot;non-dropping-particle&quot;:&quot;&quot;},{&quot;family&quot;:&quot;Simmaco&quot;,&quot;given&quot;:&quot;Maurizio&quot;,&quot;parse-names&quot;:false,&quot;dropping-particle&quot;:&quot;&quot;,&quot;non-dropping-particle&quot;:&quot;&quot;},{&quot;family&quot;:&quot;Nicoletti&quot;,&quot;given&quot;:&quot;Ferdinando&quot;,&quot;parse-names&quot;:false,&quot;dropping-particle&quot;:&quot;&quot;,&quot;non-dropping-particle&quot;:&quot;&quot;},{&quot;family&quot;:&quot;Martelletti&quot;,&quot;given&quot;:&quot;Paolo&quot;,&quot;parse-names&quot;:false,&quot;dropping-particle&quot;:&quot;&quot;,&quot;non-dropping-particle&quot;:&quot;&quot;}],&quot;container-title&quot;:&quot;Journal of Headache and Pain&quot;,&quot;DOI&quot;:&quot;10.1186/s10194-016-0620-2&quot;,&quot;ISSN&quot;:&quot;11292377&quot;,&quot;PMID&quot;:&quot;27000870&quot;,&quot;URL&quot;:&quot;http://dx.doi.org/10.1186/s10194-016-0620-2&quot;,&quot;issued&quot;:{&quot;date-parts&quot;:[[2016]]},&quot;abstract&quot;:&quot;Background: The reported efficacy of memantine in the treatment of patients with cluster headache (CH) suggests that NMDA receptors are involved in mechanisms of nociceptive sensitization within the trigeminal system associated with CH. NMDA receptors are activated or inhibited by neuroactive compounds generated by tryptophan metabolism through the kynurenine pathway. In the accompanying manuscript, we have found that serum levels of all kynurenine metabolites are altered in patients with chronic migraine. Here, we have extended the study to patients affected by episodic or chronic CH as compared to healthy controls. Method: We assessed serum levels of kynurenine (KYN), kynurenic Acid (KYNA), anthranilic acid (ANA), 3-hydroxy-anthranilic acid (3-HANA), 3-hydroxykynurenine (3-HK), xanthurenic acid (XA), quinolinic acid (QUINA), tryptophan (Trp) and 5-hydroxyindolacetic acid (5-HIAA) by means of a liquid chromatography/tandem mass spectrometry (LC/MS-MS) method in 21 patients affected by CH (15 with episodic and 6 with chronic CH), and 35 age-matched healthy subjects. Patients with psychiatric co-morbidities, systemic inflammatory, endocrine or neurological disorders, and mental retardation were excluded. Results: LC/MS-MS analysis of kynurenine metabolites showed significant reductions in the levels of KYN (-36 %), KYNA (-34 %), 3-HK (-51 %), 3-HANA (-54 %), XA (-25 %), 5-HIAA (-39 %) and QUINA (-43 %) in the serum of the overall population of patients affected by CH, as compared to healthy controls. Serum levels of Trp and ANA were instead significantly increased in CH patients (+18 % and +54 %, respectively). There was no difference in levels of any metabolite between patients affected by episodic and chronic CH, with the exception of KYN levels, which were higher in patients with chronic CH. Conclusion: The reduced levels of KYNA (an NMDA receptor antagonist) support the hypothesis that NMDA receptors are overactive in CH. A similar reduction in KYNA levels was shown in the accompanying manuscript in patients affected by chronic migraine. The reduced levels of XA, a putative analgesic compound, may contribute to explain the severity of pain attacks in CH. These data, associated with the data reported in the accompanying manuscript, supports a role for the kynurenine pathway in the pathophysiology of chronic headache disorders.&quot;,&quot;publisher&quot;:&quot;The Journal of Headache and Pain&quot;,&quot;issue&quot;:&quot;1&quot;,&quot;volume&quot;:&quot;17&quot;},&quot;isTemporary&quot;:false},{&quot;id&quot;:&quot;097851a6-387d-361c-8e8f-ecd0d02fdea4&quot;,&quot;itemData&quot;:{&quot;type&quot;:&quot;article-journal&quot;,&quot;id&quot;:&quot;097851a6-387d-361c-8e8f-ecd0d02fdea4&quot;,&quot;title&quot;:&quot;Altered kynurenine pathway metabolites in serum of chronic migraine patients&quot;,&quot;author&quot;:[{&quot;family&quot;:&quot;Curto&quot;,&quot;given&quot;:&quot;Martina&quot;,&quot;parse-names&quot;:false,&quot;dropping-particle&quot;:&quot;&quot;,&quot;non-dropping-particle&quot;:&quot;&quot;},{&quot;family&quot;:&quot;Lionetto&quot;,&quot;given&quot;:&quot;Luana&quot;,&quot;parse-names&quot;:false,&quot;dropping-particle&quot;:&quot;&quot;,&quot;non-dropping-particle&quot;:&quot;&quot;},{&quot;family&quot;:&quot;Negro&quot;,&quot;given&quot;:&quot;Andrea&quot;,&quot;parse-names&quot;:false,&quot;dropping-particle&quot;:&quot;&quot;,&quot;non-dropping-particle&quot;:&quot;&quot;},{&quot;family&quot;:&quot;Capi&quot;,&quot;given&quot;:&quot;Matilde&quot;,&quot;parse-names&quot;:false,&quot;dropping-particle&quot;:&quot;&quot;,&quot;non-dropping-particle&quot;:&quot;&quot;},{&quot;family&quot;:&quot;Fazio&quot;,&quot;given&quot;:&quot;Francesco&quot;,&quot;parse-names&quot;:false,&quot;dropping-particle&quot;:&quot;&quot;,&quot;non-dropping-particle&quot;:&quot;&quot;},{&quot;family&quot;:&quot;Giamberardino&quot;,&quot;given&quot;:&quot;Maria Adele&quot;,&quot;parse-names&quot;:false,&quot;dropping-particle&quot;:&quot;&quot;,&quot;non-dropping-particle&quot;:&quot;&quot;},{&quot;family&quot;:&quot;Simmaco&quot;,&quot;given&quot;:&quot;Maurizio&quot;,&quot;parse-names&quot;:false,&quot;dropping-particle&quot;:&quot;&quot;,&quot;non-dropping-particle&quot;:&quot;&quot;},{&quot;family&quot;:&quot;Nicoletti&quot;,&quot;given&quot;:&quot;Ferdinando&quot;,&quot;parse-names&quot;:false,&quot;dropping-particle&quot;:&quot;&quot;,&quot;non-dropping-particle&quot;:&quot;&quot;},{&quot;family&quot;:&quot;Martelletti&quot;,&quot;given&quot;:&quot;Paolo&quot;,&quot;parse-names&quot;:false,&quot;dropping-particle&quot;:&quot;&quot;,&quot;non-dropping-particle&quot;:&quot;&quot;}],&quot;container-title&quot;:&quot;Journal of Headache and Pain&quot;,&quot;DOI&quot;:&quot;10.1186/s10194-016-0638-5&quot;,&quot;ISSN&quot;:&quot;11292377&quot;,&quot;PMID&quot;:&quot;27130315&quot;,&quot;URL&quot;:&quot;http://dx.doi.org/10.1186/s10194-016-0638-5&quot;,&quot;issued&quot;:{&quot;date-parts&quot;:[[2016]]},&quot;abstract&quot;:&quot;Background: Activation of glutamate (Glu) receptors plays a key role in the pathophysiology of migraine. Both NMDA and metabotropic Glu receptors are activated or inhibited by metabolites of the kynurenine pathway, such as kynureninic acid (KYNA), quinolinic acid (QUINA), and xanthurenic acid (XA). In spite of the extensive research carried out on KYNA and other kynurenine metabolites in experimental models of migraine, no studies have ever been carried out in humans. Here, we measured all metabolites of the kynurenine pathway in the serum of patients affected by chronic migraine (CM) and age- and gender-matched healthy controls. Methods: We assessed serum levels of tryptophan (Trp), L-kynurenine (KYN), KYNA, anthranilic acid (ANA), 3-hydroxyanthranilic acid (3-HANA), 3-hydroxykynirenine (3-HK), XA, QUINA, and 5-hydroxyindolacetic acid (5-HIAA) in 119 patients affected by CM (ICHD-3beta criteria) and 84 age-matched healthy subjects. Patients with psychiatric co-morbidities, systemic inflammatory, endocrine or neurological disorders, and mental retardation were excluded. Serum levels of all metabolites were assayed using liquid chromatography/tandem mass spectrometry (LC-MS/MS). Results: LC-MS/MS analysis of kynurenine metabolites showed significant reductions in the levels of KYN (−32 %), KYNA (−25 %), 3-HK (−49 %), 3-HANA (−63 %), 5-HIAA (−36 %) and QUINA (−80 %) in the serum of the CM patients, as compared to healthy controls. Conversely, levels of Trp, ANA and XA were significantly increased in CM patients (+5 %, +339 % and +28 %, respectively). Conclusions: These findings suggest that in migraine KYN is unidirectionally metabolized into ANA at expenses of KYNA and 3-HK. The reduction in the levels of KYNA, which behaves as a competitive antagonist of the glycine site of NMDA receptors, is consistent with the hypothesis that NMDA receptors are overactive in migraine. The increase in XA, a putative activator of Glu2 receptors, may represent a compensatory event aimed at reinforcing endogenous analgesic mechanisms. The large increase in the levels of ANA encourages research aimed at establishing whether ANA has any role in the regulation of nociceptive transmission.&quot;,&quot;publisher&quot;:&quot;The Journal of Headache and Pain&quot;,&quot;issue&quot;:&quot;1&quot;,&quot;volume&quot;:&quot;17&quot;},&quot;isTemporary&quot;:false},{&quot;id&quot;:&quot;50efd8e9-d4f9-3e98-b999-5943cab55848&quot;,&quot;itemData&quot;:{&quot;type&quot;:&quot;article-journal&quot;,&quot;id&quot;:&quot;50efd8e9-d4f9-3e98-b999-5943cab55848&quot;,&quot;title&quot;:&quot;Vitamin B 6 metabolism in users of oral contraceptive agents. I. Abnormal urinary xanthurenic acid excretion and its correction by pyridoxine.&quot;,&quot;author&quot;:[{&quot;family&quot;:&quot;Luhby&quot;,&quot;given&quot;:&quot;A. L.&quot;,&quot;parse-names&quot;:false,&quot;dropping-particle&quot;:&quot;&quot;,&quot;non-dropping-particle&quot;:&quot;&quot;},{&quot;family&quot;:&quot;Brin&quot;,&quot;given&quot;:&quot;M.&quot;,&quot;parse-names&quot;:false,&quot;dropping-particle&quot;:&quot;&quot;,&quot;non-dropping-particle&quot;:&quot;&quot;},{&quot;family&quot;:&quot;Gordon&quot;,&quot;given&quot;:&quot;M.&quot;,&quot;parse-names&quot;:false,&quot;dropping-particle&quot;:&quot;&quot;,&quot;non-dropping-particle&quot;:&quot;&quot;},{&quot;family&quot;:&quot;Davis&quot;,&quot;given&quot;:&quot;P.&quot;,&quot;parse-names&quot;:false,&quot;dropping-particle&quot;:&quot;&quot;,&quot;non-dropping-particle&quot;:&quot;&quot;},{&quot;family&quot;:&quot;Murphy&quot;,&quot;given&quot;:&quot;M.&quot;,&quot;parse-names&quot;:false,&quot;dropping-particle&quot;:&quot;&quot;,&quot;non-dropping-particle&quot;:&quot;&quot;},{&quot;family&quot;:&quot;Spiegel&quot;,&quot;given&quot;:&quot;H.&quot;,&quot;parse-names&quot;:false,&quot;dropping-particle&quot;:&quot;&quot;,&quot;non-dropping-particle&quot;:&quot;&quot;}],&quot;container-title&quot;:&quot;The American journal of clinical nutrition&quot;,&quot;DOI&quot;:&quot;10.1093/ajcn/24.6.684&quot;,&quot;ISSN&quot;:&quot;00029165&quot;,&quot;PMID&quot;:&quot;5581004&quot;,&quot;issued&quot;:{&quot;date-parts&quot;:[[1971]]},&quot;page&quot;:&quot;684-693&quot;,&quot;issue&quot;:&quot;6&quot;,&quot;volume&quot;:&quot;24&quot;},&quot;isTemporary&quot;:false},{&quot;id&quot;:&quot;a58680bd-791f-3e01-b3d6-cd570c99617b&quot;,&quot;itemData&quot;:{&quot;type&quot;:&quot;article-journal&quot;,&quot;id&quot;:&quot;a58680bd-791f-3e01-b3d6-cd570c99617b&quot;,&quot;title&quot;:&quot;The role of kynurenines in diabetes mellitus&quot;,&quot;author&quot;:[{&quot;family&quot;:&quot;Connick&quot;,&quot;given&quot;:&quot;J. H.&quot;,&quot;parse-names&quot;:false,&quot;dropping-particle&quot;:&quot;&quot;,&quot;non-dropping-particle&quot;:&quot;&quot;},{&quot;family&quot;:&quot;Stone&quot;,&quot;given&quot;:&quot;T. W.&quot;,&quot;parse-names&quot;:false,&quot;dropping-particle&quot;:&quot;&quot;,&quot;non-dropping-particle&quot;:&quot;&quot;}],&quot;container-title&quot;:&quot;Medical Hypotheses&quot;,&quot;accessed&quot;:{&quot;date-parts&quot;:[[2020,10,12]]},&quot;DOI&quot;:&quot;10.1016/0306-9877(85)90104-5&quot;,&quot;ISSN&quot;:&quot;03069877&quot;,&quot;PMID&quot;:&quot;3912651&quot;,&quot;URL&quot;:&quot;https://pubmed.ncbi.nlm.nih.gov/3912651/&quot;,&quot;issued&quot;:{&quot;date-parts&quot;:[[1985]]},&quot;page&quot;:&quot;371-376&quot;,&quot;abstract&quot;:&quot;Although different forms of diabetes are known to exist, there are a number of factors which occur in these states all of which would contribute to an increase in the synthesis of the kynurenine metabolites of tryptophan, xanthurenic acid in particular. Conditions giving rise to increased kynurenine metabolism include pregnancy, oral contraceptives, emotional and metabolic stress. We propose a mechanism by which kynurenines act to reduce the concentration of active insulin in plasma and thus give rise to a diabetic state. © 1985.&quot;,&quot;publisher&quot;:&quot;Med Hypotheses&quot;,&quot;issue&quot;:&quot;4&quot;,&quot;volume&quot;:&quot;18&quot;},&quot;isTemporary&quot;:false}],&quot;properties&quot;:{&quot;noteIndex&quot;:0},&quot;isEdited&quot;:false,&quot;manualOverride&quot;:{&quot;isManuallyOverriden&quot;:false,&quot;citeprocText&quot;:&quot;&lt;sup&gt;27–30&lt;/sup&gt;&quot;,&quot;manualOverrideText&quot;:&quot;&quot;}}"/>
                <w:id w:val="-1737240785"/>
                <w:placeholder>
                  <w:docPart w:val="DefaultPlaceholder_-1854013440"/>
                </w:placeholder>
              </w:sdtPr>
              <w:sdtContent>
                <w:r w:rsidR="00C65BCB" w:rsidRPr="00C65BCB">
                  <w:rPr>
                    <w:color w:val="000000"/>
                    <w:sz w:val="22"/>
                    <w:szCs w:val="22"/>
                    <w:vertAlign w:val="superscript"/>
                  </w:rPr>
                  <w:t>27–30</w:t>
                </w:r>
              </w:sdtContent>
            </w:sdt>
            <w:r w:rsidR="00886BB0">
              <w:rPr>
                <w:sz w:val="22"/>
                <w:szCs w:val="22"/>
              </w:rPr>
              <w:t xml:space="preserve">   </w:t>
            </w:r>
          </w:p>
        </w:tc>
      </w:tr>
      <w:tr w:rsidR="00E21241" w:rsidRPr="00506483" w14:paraId="274A39AE" w14:textId="77777777" w:rsidTr="00C2658D">
        <w:tc>
          <w:tcPr>
            <w:tcW w:w="2541" w:type="dxa"/>
            <w:vAlign w:val="center"/>
          </w:tcPr>
          <w:p w14:paraId="0EFB5CB0" w14:textId="77777777" w:rsidR="00E21241" w:rsidRPr="00506483" w:rsidRDefault="00E21241" w:rsidP="00C2658D">
            <w:pPr>
              <w:rPr>
                <w:b/>
                <w:bCs/>
                <w:sz w:val="22"/>
                <w:szCs w:val="22"/>
              </w:rPr>
            </w:pPr>
            <w:r w:rsidRPr="00506483">
              <w:rPr>
                <w:b/>
                <w:bCs/>
                <w:sz w:val="22"/>
                <w:szCs w:val="22"/>
              </w:rPr>
              <w:t xml:space="preserve">Xanthurenic Acid </w:t>
            </w:r>
          </w:p>
        </w:tc>
        <w:tc>
          <w:tcPr>
            <w:tcW w:w="2494" w:type="dxa"/>
            <w:vAlign w:val="center"/>
          </w:tcPr>
          <w:p w14:paraId="5C1F8063" w14:textId="77777777" w:rsidR="00E21241" w:rsidRPr="00506483" w:rsidRDefault="00E21241" w:rsidP="00C2658D">
            <w:pPr>
              <w:rPr>
                <w:sz w:val="22"/>
                <w:szCs w:val="22"/>
              </w:rPr>
            </w:pPr>
            <w:r>
              <w:rPr>
                <w:sz w:val="22"/>
                <w:szCs w:val="22"/>
              </w:rPr>
              <w:t xml:space="preserve">Metabolite of </w:t>
            </w:r>
            <w:r w:rsidRPr="00BB18E1">
              <w:rPr>
                <w:sz w:val="22"/>
                <w:szCs w:val="22"/>
              </w:rPr>
              <w:t>tryptophan</w:t>
            </w:r>
          </w:p>
        </w:tc>
        <w:tc>
          <w:tcPr>
            <w:tcW w:w="4950" w:type="dxa"/>
            <w:vAlign w:val="center"/>
          </w:tcPr>
          <w:p w14:paraId="3F8D3580" w14:textId="5C4DE5BF" w:rsidR="00E21241" w:rsidRPr="00506483" w:rsidRDefault="00E21241" w:rsidP="00C2658D">
            <w:pPr>
              <w:rPr>
                <w:sz w:val="22"/>
                <w:szCs w:val="22"/>
              </w:rPr>
            </w:pPr>
            <w:r>
              <w:rPr>
                <w:sz w:val="22"/>
                <w:szCs w:val="22"/>
              </w:rPr>
              <w:t xml:space="preserve">Part of the </w:t>
            </w:r>
            <w:proofErr w:type="spellStart"/>
            <w:r>
              <w:rPr>
                <w:sz w:val="22"/>
                <w:szCs w:val="22"/>
              </w:rPr>
              <w:t>kynureninase</w:t>
            </w:r>
            <w:proofErr w:type="spellEnd"/>
            <w:r>
              <w:rPr>
                <w:sz w:val="22"/>
                <w:szCs w:val="22"/>
              </w:rPr>
              <w:t xml:space="preserve"> pathway; increased in pyridoxine (B6) deficiency; possible measure of oxidative stress</w:t>
            </w:r>
            <w:sdt>
              <w:sdtPr>
                <w:rPr>
                  <w:color w:val="000000"/>
                  <w:sz w:val="22"/>
                  <w:szCs w:val="22"/>
                  <w:vertAlign w:val="superscript"/>
                </w:rPr>
                <w:tag w:val="MENDELEY_CITATION_{&quot;citationID&quot;:&quot;MENDELEY_CITATION_5bf5d364-4c4d-4035-bd9d-a7ff87cf5fa2&quot;,&quot;citationItems&quot;:[{&quot;id&quot;:&quot;50efd8e9-d4f9-3e98-b999-5943cab55848&quot;,&quot;itemData&quot;:{&quot;type&quot;:&quot;article-journal&quot;,&quot;id&quot;:&quot;50efd8e9-d4f9-3e98-b999-5943cab55848&quot;,&quot;title&quot;:&quot;Vitamin B 6 metabolism in users of oral contraceptive agents. I. Abnormal urinary xanthurenic acid excretion and its correction by pyridoxine.&quot;,&quot;author&quot;:[{&quot;family&quot;:&quot;Luhby&quot;,&quot;given&quot;:&quot;A. L.&quot;,&quot;parse-names&quot;:false,&quot;dropping-particle&quot;:&quot;&quot;,&quot;non-dropping-particle&quot;:&quot;&quot;},{&quot;family&quot;:&quot;Brin&quot;,&quot;given&quot;:&quot;M.&quot;,&quot;parse-names&quot;:false,&quot;dropping-particle&quot;:&quot;&quot;,&quot;non-dropping-particle&quot;:&quot;&quot;},{&quot;family&quot;:&quot;Gordon&quot;,&quot;given&quot;:&quot;M.&quot;,&quot;parse-names&quot;:false,&quot;dropping-particle&quot;:&quot;&quot;,&quot;non-dropping-particle&quot;:&quot;&quot;},{&quot;family&quot;:&quot;Davis&quot;,&quot;given&quot;:&quot;P.&quot;,&quot;parse-names&quot;:false,&quot;dropping-particle&quot;:&quot;&quot;,&quot;non-dropping-particle&quot;:&quot;&quot;},{&quot;family&quot;:&quot;Murphy&quot;,&quot;given&quot;:&quot;M.&quot;,&quot;parse-names&quot;:false,&quot;dropping-particle&quot;:&quot;&quot;,&quot;non-dropping-particle&quot;:&quot;&quot;},{&quot;family&quot;:&quot;Spiegel&quot;,&quot;given&quot;:&quot;H.&quot;,&quot;parse-names&quot;:false,&quot;dropping-particle&quot;:&quot;&quot;,&quot;non-dropping-particle&quot;:&quot;&quot;}],&quot;container-title&quot;:&quot;The American journal of clinical nutrition&quot;,&quot;DOI&quot;:&quot;10.1093/ajcn/24.6.684&quot;,&quot;ISSN&quot;:&quot;00029165&quot;,&quot;PMID&quot;:&quot;5581004&quot;,&quot;issued&quot;:{&quot;date-parts&quot;:[[1971]]},&quot;page&quot;:&quot;684-693&quot;,&quot;issue&quot;:&quot;6&quot;,&quot;volume&quot;:&quot;24&quot;},&quot;isTemporary&quot;:false},{&quot;id&quot;:&quot;a58680bd-791f-3e01-b3d6-cd570c99617b&quot;,&quot;itemData&quot;:{&quot;type&quot;:&quot;article-journal&quot;,&quot;id&quot;:&quot;a58680bd-791f-3e01-b3d6-cd570c99617b&quot;,&quot;title&quot;:&quot;The role of kynurenines in diabetes mellitus&quot;,&quot;author&quot;:[{&quot;family&quot;:&quot;Connick&quot;,&quot;given&quot;:&quot;J. H.&quot;,&quot;parse-names&quot;:false,&quot;dropping-particle&quot;:&quot;&quot;,&quot;non-dropping-particle&quot;:&quot;&quot;},{&quot;family&quot;:&quot;Stone&quot;,&quot;given&quot;:&quot;T. W.&quot;,&quot;parse-names&quot;:false,&quot;dropping-particle&quot;:&quot;&quot;,&quot;non-dropping-particle&quot;:&quot;&quot;}],&quot;container-title&quot;:&quot;Medical Hypotheses&quot;,&quot;accessed&quot;:{&quot;date-parts&quot;:[[2020,10,12]]},&quot;DOI&quot;:&quot;10.1016/0306-9877(85)90104-5&quot;,&quot;ISSN&quot;:&quot;03069877&quot;,&quot;PMID&quot;:&quot;3912651&quot;,&quot;URL&quot;:&quot;https://pubmed.ncbi.nlm.nih.gov/3912651/&quot;,&quot;issued&quot;:{&quot;date-parts&quot;:[[1985]]},&quot;page&quot;:&quot;371-376&quot;,&quot;abstract&quot;:&quot;Although different forms of diabetes are known to exist, there are a number of factors which occur in these states all of which would contribute to an increase in the synthesis of the kynurenine metabolites of tryptophan, xanthurenic acid in particular. Conditions giving rise to increased kynurenine metabolism include pregnancy, oral contraceptives, emotional and metabolic stress. We propose a mechanism by which kynurenines act to reduce the concentration of active insulin in plasma and thus give rise to a diabetic state. © 1985.&quot;,&quot;publisher&quot;:&quot;Med Hypotheses&quot;,&quot;issue&quot;:&quot;4&quot;,&quot;volume&quot;:&quot;18&quot;},&quot;isTemporary&quot;:false},{&quot;id&quot;:&quot;a04f01bf-71d3-36be-a63d-7e413c81d0c5&quot;,&quot;itemData&quot;:{&quot;type&quot;:&quot;article-journal&quot;,&quot;id&quot;:&quot;a04f01bf-71d3-36be-a63d-7e413c81d0c5&quot;,&quot;title&quot;:&quot;Prooxidant action of xanthurenic acid and quinoline compounds: Role of transition metals in the generation of reactive oxygen species and enhanced formation of 8-hydroxy-2′-deoxyguanosine in DNA&quot;,&quot;author&quot;:[{&quot;family&quot;:&quot;Murakami&quot;,&quot;given&quot;:&quot;Keiko&quot;,&quot;parse-names&quot;:false,&quot;dropping-particle&quot;:&quot;&quot;,&quot;non-dropping-particle&quot;:&quot;&quot;},{&quot;family&quot;:&quot;Haneda&quot;,&quot;given&quot;:&quot;Miyako&quot;,&quot;parse-names&quot;:false,&quot;dropping-particle&quot;:&quot;&quot;,&quot;non-dropping-particle&quot;:&quot;&quot;},{&quot;family&quot;:&quot;Yoshino&quot;,&quot;given&quot;:&quot;Masataka&quot;,&quot;parse-names&quot;:false,&quot;dropping-particle&quot;:&quot;&quot;,&quot;non-dropping-particle&quot;:&quot;&quot;}],&quot;container-title&quot;:&quot;BioMetals&quot;,&quot;DOI&quot;:&quot;10.1007/s10534-005-4528-6&quot;,&quot;ISSN&quot;:&quot;09660844&quot;,&quot;PMID&quot;:&quot;16841252&quot;,&quot;issued&quot;:{&quot;date-parts&quot;:[[2006]]},&quot;page&quot;:&quot;429-435&quot;,&quot;abstract&quot;:&quot;Xanthurenic acid, a product of tryptophan-NAD pathway, and quinoline compounds produced reactive oxygen species as a complex with iron. Aconitase, the most sensitive enzyme to oxidative stress was inactivated effectively by xanthurenic acid and to a lesser extent by 8-quinolinol in the presence of ferrous sulfate. The inactivation of aconitase was iron-dependent, and was prevented by TEMPOL, a scavenger of reactive oxygen species, suggesting that reduced iron bound to xanthurenic acid or 8-quinolinol can activate oxygen molecule to form superoxide radical. However, kynurenic acid and quinaldic acid without 8-hydroxyl group did not produce reactive oxygen species. Of the quinoline compounds tested, xanthurenic acid and 8-quinolinol with 8-hydroxyl group stimulated the autooxidation of ferrous ion, but kynurenic acid and quinaldic acid did not affect the oxidation of ferrous ion. Hydroxyl group at 8-positions of quinoline compounds was essential for the binding of iron causing the generation of reactive oxygen species. 8-Quinolinol effectively enhanced the ascorbate/copper-mediated formation of 8-hydroxy-2′-deoxyguanosine in DNA, suggesting the quinolinol/copper-dependent stimulation hydroxyl radical formation. Xanthurenic acid and 8-quinolinol as the metal-chelate complexes can show various cytotoxic effects by generating reactive oxygen species through the ferrous or cuprous ion-dependent activation of oxygen molecule. © Springer 2006.&quot;,&quot;issue&quot;:&quot;4&quot;,&quot;volume&quot;:&quot;19&quot;},&quot;isTemporary&quot;:false}],&quot;properties&quot;:{&quot;noteIndex&quot;:0},&quot;isEdited&quot;:false,&quot;manualOverride&quot;:{&quot;isManuallyOverriden&quot;:false,&quot;citeprocText&quot;:&quot;&lt;sup&gt;29–31&lt;/sup&gt;&quot;,&quot;manualOverrideText&quot;:&quot;&quot;}}"/>
                <w:id w:val="1681853600"/>
                <w:placeholder>
                  <w:docPart w:val="DefaultPlaceholder_-1854013440"/>
                </w:placeholder>
              </w:sdtPr>
              <w:sdtContent>
                <w:r w:rsidR="00C65BCB" w:rsidRPr="00C65BCB">
                  <w:rPr>
                    <w:color w:val="000000"/>
                    <w:sz w:val="22"/>
                    <w:szCs w:val="22"/>
                    <w:vertAlign w:val="superscript"/>
                  </w:rPr>
                  <w:t>29–31</w:t>
                </w:r>
              </w:sdtContent>
            </w:sdt>
            <w:r w:rsidR="00C65BCB">
              <w:rPr>
                <w:sz w:val="22"/>
                <w:szCs w:val="22"/>
              </w:rPr>
              <w:t xml:space="preserve">    </w:t>
            </w:r>
            <w:r>
              <w:rPr>
                <w:sz w:val="22"/>
                <w:szCs w:val="22"/>
              </w:rPr>
              <w:t xml:space="preserve"> </w:t>
            </w:r>
          </w:p>
        </w:tc>
      </w:tr>
      <w:tr w:rsidR="00E21241" w:rsidRPr="00506483" w14:paraId="2C8C5B9B" w14:textId="77777777" w:rsidTr="00C2658D">
        <w:tc>
          <w:tcPr>
            <w:tcW w:w="2541" w:type="dxa"/>
            <w:vAlign w:val="center"/>
          </w:tcPr>
          <w:p w14:paraId="65939B4E" w14:textId="1D67CBCD" w:rsidR="00E21241" w:rsidRPr="00506483" w:rsidRDefault="00E21241" w:rsidP="00C2658D">
            <w:pPr>
              <w:rPr>
                <w:b/>
                <w:bCs/>
                <w:sz w:val="22"/>
                <w:szCs w:val="22"/>
              </w:rPr>
            </w:pPr>
            <w:r w:rsidRPr="00E21241">
              <w:rPr>
                <w:b/>
                <w:bCs/>
              </w:rPr>
              <w:t>5-hydroxyindoleacetic acid</w:t>
            </w:r>
            <w:r w:rsidRPr="00506483">
              <w:rPr>
                <w:b/>
                <w:bCs/>
                <w:sz w:val="22"/>
                <w:szCs w:val="22"/>
              </w:rPr>
              <w:t xml:space="preserve"> </w:t>
            </w:r>
            <w:r>
              <w:rPr>
                <w:b/>
                <w:bCs/>
                <w:sz w:val="22"/>
                <w:szCs w:val="22"/>
              </w:rPr>
              <w:t>(</w:t>
            </w:r>
            <w:r w:rsidRPr="00506483">
              <w:rPr>
                <w:b/>
                <w:bCs/>
                <w:sz w:val="22"/>
                <w:szCs w:val="22"/>
              </w:rPr>
              <w:t>5-HIAA</w:t>
            </w:r>
            <w:r>
              <w:rPr>
                <w:b/>
                <w:bCs/>
                <w:sz w:val="22"/>
                <w:szCs w:val="22"/>
              </w:rPr>
              <w:t>)</w:t>
            </w:r>
          </w:p>
        </w:tc>
        <w:tc>
          <w:tcPr>
            <w:tcW w:w="2494" w:type="dxa"/>
            <w:vAlign w:val="center"/>
          </w:tcPr>
          <w:p w14:paraId="6AB9EA08" w14:textId="77777777" w:rsidR="00E21241" w:rsidRPr="00506483" w:rsidRDefault="00E21241" w:rsidP="00C2658D">
            <w:pPr>
              <w:rPr>
                <w:sz w:val="22"/>
                <w:szCs w:val="22"/>
              </w:rPr>
            </w:pPr>
            <w:r>
              <w:rPr>
                <w:sz w:val="22"/>
                <w:szCs w:val="22"/>
              </w:rPr>
              <w:t xml:space="preserve">Metabolite of </w:t>
            </w:r>
            <w:r w:rsidRPr="00BB18E1">
              <w:rPr>
                <w:sz w:val="22"/>
                <w:szCs w:val="22"/>
              </w:rPr>
              <w:t>tryptophan</w:t>
            </w:r>
          </w:p>
        </w:tc>
        <w:tc>
          <w:tcPr>
            <w:tcW w:w="4950" w:type="dxa"/>
            <w:vAlign w:val="center"/>
          </w:tcPr>
          <w:p w14:paraId="795427EB" w14:textId="622191EE" w:rsidR="00E21241" w:rsidRPr="00506483" w:rsidRDefault="00E21241" w:rsidP="00C2658D">
            <w:pPr>
              <w:rPr>
                <w:sz w:val="22"/>
                <w:szCs w:val="22"/>
              </w:rPr>
            </w:pPr>
            <w:r>
              <w:rPr>
                <w:sz w:val="22"/>
                <w:szCs w:val="22"/>
              </w:rPr>
              <w:t>End product of serotonin metabolism; elevated in carcinoid syndrome; reduced in patients with major depressive disorder</w:t>
            </w:r>
            <w:sdt>
              <w:sdtPr>
                <w:rPr>
                  <w:color w:val="000000"/>
                  <w:sz w:val="22"/>
                  <w:szCs w:val="22"/>
                  <w:vertAlign w:val="superscript"/>
                </w:rPr>
                <w:tag w:val="MENDELEY_CITATION_{&quot;citationID&quot;:&quot;MENDELEY_CITATION_6dccccd8-9750-4cb3-889a-6ff821670bc0&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id&quot;:&quot;43d80534-f9f7-38ec-bbbe-21008cd50d72&quot;,&quot;itemData&quot;:{&quot;type&quot;:&quot;article&quot;,&quot;id&quot;:&quot;43d80534-f9f7-38ec-bbbe-21008cd50d72&quot;,&quot;title&quot;:&quot;The clinical and laboratory correlates of an increased urinary 5-hydroxyindoleacetic acid&quot;,&quot;author&quot;:[{&quot;family&quot;:&quot;Tormey&quot;,&quot;given&quot;:&quot;W. P.&quot;,&quot;parse-names&quot;:false,&quot;dropping-particle&quot;:&quot;&quot;,&quot;non-dropping-particle&quot;:&quot;&quot;},{&quot;family&quot;:&quot;Fitz Gerald&quot;,&quot;given&quot;:&quot;R. J.&quot;,&quot;parse-names&quot;:false,&quot;dropping-particle&quot;:&quot;&quot;,&quot;non-dropping-particle&quot;:&quot;&quot;}],&quot;container-title&quot;:&quot;Postgraduate Medical Journal&quot;,&quot;accessed&quot;:{&quot;date-parts&quot;:[[2020,10,12]]},&quot;DOI&quot;:&quot;10.1136/pgmj.71.839.542&quot;,&quot;ISSN&quot;:&quot;00325473&quot;,&quot;PMID&quot;:&quot;7479466&quot;,&quot;issued&quot;:{&quot;date-parts&quot;:[[1995]]},&quot;page&quot;:&quot;542-545&quot;,&quot;abstract&quot;:&quot;Over a five-and-a-half-year period, there were 298 laboratory requests for urinary 5-hydroxyindoleacetic acid (5-HIAA). The clinical and laboratory associations of the 24 patients in which there were 43 urinary 5-HIAA 24-h collection results greater than the laboratory upper reference limit are detailed. Four were confirmed carcinoid tumours and two were phaeochromocytomas. Flushing was a prominent symptom in 46% and diarrhoea or altered bowel habit in 37%. Associated with the raised urinary 5-HIAA values were increased levels of 4-hydroxy-3-methoxymandelic acid and homovanillic acid in 14.3% and 21%, respectively, of those collections where the metabolites were requested. Diagnostic imaging was performed in 57%. While the specificity was 88%, 5-HIAA is relatively insensitive in the diagnosis of carcinoid tumours and a more widespread use of diagnostic imaging including isotope scanning with labelled metaiodobenzylguanidine, vasoactive intestinal peptide and octreotide is suggested.&quot;,&quot;publisher&quot;:&quot;BMJ Publishing Group&quot;,&quot;issue&quot;:&quot;839&quot;,&quot;volume&quot;:&quot;71&quot;},&quot;isTemporary&quot;:false},{&quot;id&quot;:&quot;36b7dfea-d01d-309f-be10-edc9c7a63784&quot;,&quot;itemData&quot;:{&quot;type&quot;:&quot;article-journal&quot;,&quot;id&quot;:&quot;36b7dfea-d01d-309f-be10-edc9c7a63784&quot;,&quot;title&quot;:&quot;Urinary excretion of 5-hydroxy-3-indoleacetic acid in dystimic/depressed, adult obese women: What correlations to hepatic steatosis?&quot;,&quot;author&quot;:[{&quot;family&quot;:&quot;Tarantino&quot;,&quot;given&quot;:&quot;Giovanni&quot;,&quot;parse-names&quot;:false,&quot;dropping-particle&quot;:&quot;&quot;,&quot;non-dropping-particle&quot;:&quot;&quot;},{&quot;family&quot;:&quot;Savastano&quot;,&quot;given&quot;:&quot;S.&quot;,&quot;parse-names&quot;:false,&quot;dropping-particle&quot;:&quot;&quot;,&quot;non-dropping-particle&quot;:&quot;&quot;},{&quot;family&quot;:&quot;Colao&quot;,&quot;given&quot;:&quot;A.&quot;,&quot;parse-names&quot;:false,&quot;dropping-particle&quot;:&quot;&quot;,&quot;non-dropping-particle&quot;:&quot;&quot;},{&quot;family&quot;:&quot;Polichetti&quot;,&quot;given&quot;:&quot;G.&quot;,&quot;parse-names&quot;:false,&quot;dropping-particle&quot;:&quot;&quot;,&quot;non-dropping-particle&quot;:&quot;&quot;},{&quot;family&quot;:&quot;Capone&quot;,&quot;given&quot;:&quot;D.&quot;,&quot;parse-names&quot;:false,&quot;dropping-particle&quot;:&quot;&quot;,&quot;non-dropping-particle&quot;:&quot;&quot;}],&quot;container-title&quot;:&quot;International Journal of Immunopathology and Pharmacology&quot;,&quot;accessed&quot;:{&quot;date-parts&quot;:[[2020,10,12]]},&quot;DOI&quot;:&quot;10.1177/039463201102400323&quot;,&quot;ISSN&quot;:&quot;03946320&quot;,&quot;URL&quot;:&quot;https://pubmed.ncbi.nlm.nih.gov/21978708/&quot;,&quot;issued&quot;:{&quot;date-parts&quot;:[[2011]]},&quot;page&quot;:&quot;769-779&quot;,&quot;abstract&quot;:&quot;The synthesis of serotonin at CNS level is influenced by diet. Moreover, insulin resistance is associated with lower serotonin levels. Visceral obesity, strictly linked to hepatic steatosis is specifically associated with mild to severe somatic affective-depressive symptom clusters. Previous data support the view that depression involves serotonergic systems, reflecting low levels of urinary 5- hydroxy-3-indoleacetic acid (5-HIAA). The 24-h urinary excretion of 5-HIAA was evaluated in 76 dystimic/depressed, obese/ overweight females, divided into two groups, i.e., on a hyper-caloric diet, associated with a life style characterized by leisure time sedentary behavior (LTSB, 35 women), or on a normo-caloric diet, assisted by program-based strategies aimed at promoting physical activity participation (PAP, 41 women). Beck Depression Inventory (BDI) was carried out to score the severity of dystimia/depression. Anthropometric measures, metabolic indices, severity of hepatic steatosis at sonography and HOMA were studied. Urinary levels of 5-HIAA in controls and PAP groups were comparable with a great overlap, while in the LTSB group the urinary excretion of 5-HIAA was significantly reduced in respect to that of the PAP group and obviously compared to that of the control group, 3.4±1.4 mg/L versus 6.2±2.7 mg/L and 6.4±2.6 mg/L, respectively, ANOVA test, P= 0.001. Among metabolic indices, cholesterol, HDL-cholesterol, triglycerides and uric acid were not able to predict urinary concentrations of 5-HIAA, which were not associated with hepatic steatosis; vice versa, ferritin levels, and mainly HOMA values, were independent predictors of the urinary excretion of 5-HIAA (β=0.235 and 0.45, respectively). Dystimia/ depression severity was negatively predicted by urinary 5-HIAA levels in the sense that the highest BDI values were forecast by the lowest values of urinary 5-HIAA (β= -0.72).The importance of measuring the 24-h urinary excretion of 5-HIAA in follow-ups could rely on a method simultaneously mirroring the well-being status, the adherence to physical activity, which leads to improved insulin sensitivity, and the eating habits acquired by dystimic/depressed overweight/obese patients. In contrast, the significance of the urinary 5-HIAA is reduced in evaluating the severity of hepatic steatosis, likely because it is a structured process. Copyright © by BIOLIFE, s.a.s.&quot;,&quot;publisher&quot;:&quot;Biolife s.a.s.&quot;,&quot;issue&quot;:&quot;3&quot;,&quot;volume&quot;:&quot;24&quot;},&quot;isTemporary&quot;:false}],&quot;properties&quot;:{&quot;noteIndex&quot;:0},&quot;isEdited&quot;:false,&quot;manualOverride&quot;:{&quot;isManuallyOverriden&quot;:false,&quot;citeprocText&quot;:&quot;&lt;sup&gt;25,32,33&lt;/sup&gt;&quot;,&quot;manualOverrideText&quot;:&quot;&quot;}}"/>
                <w:id w:val="1079177185"/>
                <w:placeholder>
                  <w:docPart w:val="DefaultPlaceholder_-1854013440"/>
                </w:placeholder>
              </w:sdtPr>
              <w:sdtContent>
                <w:r w:rsidR="00C65BCB" w:rsidRPr="00C65BCB">
                  <w:rPr>
                    <w:color w:val="000000"/>
                    <w:sz w:val="22"/>
                    <w:szCs w:val="22"/>
                    <w:vertAlign w:val="superscript"/>
                  </w:rPr>
                  <w:t>25,32,33</w:t>
                </w:r>
              </w:sdtContent>
            </w:sdt>
            <w:r w:rsidR="00C65BCB">
              <w:rPr>
                <w:sz w:val="22"/>
                <w:szCs w:val="22"/>
              </w:rPr>
              <w:t xml:space="preserve">       </w:t>
            </w:r>
          </w:p>
        </w:tc>
      </w:tr>
      <w:tr w:rsidR="00E21241" w:rsidRPr="00506483" w14:paraId="7CA450CC" w14:textId="77777777" w:rsidTr="00C2658D">
        <w:tc>
          <w:tcPr>
            <w:tcW w:w="2541" w:type="dxa"/>
            <w:vAlign w:val="center"/>
          </w:tcPr>
          <w:p w14:paraId="1FA31F41" w14:textId="77777777" w:rsidR="00E21241" w:rsidRPr="00506483" w:rsidRDefault="00E21241" w:rsidP="00C2658D">
            <w:pPr>
              <w:rPr>
                <w:b/>
                <w:bCs/>
                <w:sz w:val="22"/>
                <w:szCs w:val="22"/>
              </w:rPr>
            </w:pPr>
            <w:r w:rsidRPr="00506483">
              <w:rPr>
                <w:b/>
                <w:bCs/>
                <w:sz w:val="22"/>
                <w:szCs w:val="22"/>
              </w:rPr>
              <w:t xml:space="preserve">Pyroglutamic Acid </w:t>
            </w:r>
          </w:p>
        </w:tc>
        <w:tc>
          <w:tcPr>
            <w:tcW w:w="2494" w:type="dxa"/>
            <w:vAlign w:val="center"/>
          </w:tcPr>
          <w:p w14:paraId="4FF2C133" w14:textId="77777777" w:rsidR="00E21241" w:rsidRPr="00506483" w:rsidRDefault="00E21241" w:rsidP="00C2658D">
            <w:pPr>
              <w:rPr>
                <w:sz w:val="22"/>
                <w:szCs w:val="22"/>
              </w:rPr>
            </w:pPr>
            <w:r>
              <w:rPr>
                <w:sz w:val="22"/>
                <w:szCs w:val="22"/>
              </w:rPr>
              <w:t>Intermediate in glutathione metabolism</w:t>
            </w:r>
          </w:p>
        </w:tc>
        <w:tc>
          <w:tcPr>
            <w:tcW w:w="4950" w:type="dxa"/>
            <w:vAlign w:val="center"/>
          </w:tcPr>
          <w:p w14:paraId="2EEAB166" w14:textId="5D37F1E1" w:rsidR="00E21241" w:rsidRPr="00506483" w:rsidRDefault="00E21241" w:rsidP="00C2658D">
            <w:pPr>
              <w:rPr>
                <w:sz w:val="22"/>
                <w:szCs w:val="22"/>
              </w:rPr>
            </w:pPr>
            <w:r>
              <w:rPr>
                <w:sz w:val="22"/>
                <w:szCs w:val="22"/>
              </w:rPr>
              <w:t>Increased in glutathione (an antioxidant) deficiency, as can occur with excess acetaminophen use</w:t>
            </w:r>
            <w:sdt>
              <w:sdtPr>
                <w:rPr>
                  <w:color w:val="000000"/>
                  <w:sz w:val="22"/>
                  <w:szCs w:val="22"/>
                  <w:vertAlign w:val="superscript"/>
                </w:rPr>
                <w:tag w:val="MENDELEY_CITATION_{&quot;citationID&quot;:&quot;MENDELEY_CITATION_b8039101-7354-4eb0-a338-5e66e4423a36&quot;,&quot;citationItems&quot;:[{&quot;id&quot;:&quot;53d724ed-1780-3759-94f6-f20399c23167&quot;,&quot;itemData&quot;:{&quot;type&quot;:&quot;article-journal&quot;,&quot;id&quot;:&quot;53d724ed-1780-3759-94f6-f20399c23167&quot;,&quot;title&quot;:&quot;Plasma L-5-oxoproline kinetics and whole blood glutathione synthesis rates in severely burned adult humans&quot;,&quot;author&quot;:[{&quot;family&quot;:&quot;Yu&quot;,&quot;given&quot;:&quot;Yong Ming&quot;,&quot;parse-names&quot;:false,&quot;dropping-particle&quot;:&quot;&quot;,&quot;non-dropping-particle&quot;:&quot;&quot;},{&quot;family&quot;:&quot;Ryan&quot;,&quot;given&quot;:&quot;Colleen M.&quot;,&quot;parse-names&quot;:false,&quot;dropping-particle&quot;:&quot;&quot;,&quot;non-dropping-particle&quot;:&quot;&quot;},{&quot;family&quot;:&quot;Fei&quot;,&quot;given&quot;:&quot;Zhe Wei&quot;,&quot;parse-names&quot;:false,&quot;dropping-particle&quot;:&quot;&quot;,&quot;non-dropping-particle&quot;:&quot;&quot;},{&quot;family&quot;:&quot;Lu&quot;,&quot;given&quot;:&quot;Xiao Ming&quot;,&quot;parse-names&quot;:false,&quot;dropping-particle&quot;:&quot;&quot;,&quot;non-dropping-particle&quot;:&quot;&quot;},{&quot;family&quot;:&quot;Castillo&quot;,&quot;given&quot;:&quot;Leticia&quot;,&quot;parse-names&quot;:false,&quot;dropping-particle&quot;:&quot;&quot;,&quot;non-dropping-particle&quot;:&quot;&quot;},{&quot;family&quot;:&quot;Schultz&quot;,&quot;given&quot;:&quot;John T.&quot;,&quot;parse-names&quot;:false,&quot;dropping-particle&quot;:&quot;&quot;,&quot;non-dropping-particle&quot;:&quot;&quot;},{&quot;family&quot;:&quot;Tompkins&quot;,&quot;given&quot;:&quot;Ronald G.&quot;,&quot;parse-names&quot;:false,&quot;dropping-particle&quot;:&quot;&quot;,&quot;non-dropping-particle&quot;:&quot;&quot;},{&quot;family&quot;:&quot;Young&quot;,&quot;given&quot;:&quot;Vernon R.&quot;,&quot;parse-names&quot;:false,&quot;dropping-particle&quot;:&quot;&quot;,&quot;non-dropping-particle&quot;:&quot;&quot;}],&quot;container-title&quot;:&quot;American Journal of Physiology - Endocrinology and Metabolism&quot;,&quot;DOI&quot;:&quot;10.1152/ajpendo.00206.2001&quot;,&quot;ISSN&quot;:&quot;01931849&quot;,&quot;PMID&quot;:&quot;11788355&quot;,&quot;issued&quot;:{&quot;date-parts&quot;:[[2002]]},&quot;abstract&quot;:&quot;Compromised glutathione homeostasis is associated with increased morbidity in various disease states. We evaluated the kinetics of L-5-oxoproline, an intermediate in the γ-glutamyl cycle of glutathione production, in fourteen severely burned adults by use of a primed, constant intravenous infusion of L-5-[1-13C] oxoproline. In nine of these patients, whole blood glutathione synthesis and plasma kinetics of glycine and leucine were also measured with [15N]glycine and L-[2H3]leucine tracers. Patients were studied under a \&quot;basal\&quot; condition that provided a low dose of glucose and total parenteral nutrition. For comparison with control subjects, whole blood glutathione synthesis was estimated in six healthy adults. Burn patients in a basal condition showed significantly higher rates of plasma oxoproline clearance and urinary D- and L-oxoproline excretion compared with fasting healthy control subjects. Whole blood glutathione concentration and absolute synthesis rate in the basal state were lower than for control subjects. Total parenteral feeding without cysteine but with generous methionine did not affect oxoproline kinetics or whole blood glutathione synthesis. The estimated rate of glycine de novo synthesis was also lower in burn patients, suggesting a possible change in glycine availability for glutathione synthesis. The roles of precursor amino acid availability, as well as alterations in metabolic capacity, in modulating whole blood glutathione production in burns now require investigation.&quot;,&quot;issue&quot;:&quot;2 45-2&quot;,&quot;volume&quot;:&quot;282&quot;},&quot;isTemporary&quot;:false},{&quot;id&quot;:&quot;a22c7033-e6ee-3fba-9739-b1051f0290bf&quot;,&quot;itemData&quot;:{&quot;type&quot;:&quot;article&quot;,&quot;id&quot;:&quot;a22c7033-e6ee-3fba-9739-b1051f0290bf&quot;,&quot;title&quot;:&quot;Recurrent Pyroglutamic Acidosis Related to Therapeutic Acetaminophen&quot;,&quot;author&quot;:[{&quot;family&quot;:&quot;Alhourani&quot;,&quot;given&quot;:&quot;Hazem M.&quot;,&quot;parse-names&quot;:false,&quot;dropping-particle&quot;:&quot;&quot;,&quot;non-dropping-particle&quot;:&quot;&quot;},{&quot;family&quot;:&quot;Kumar&quot;,&quot;given&quot;:&quot;Aneel&quot;,&quot;parse-names&quot;:false,&quot;dropping-particle&quot;:&quot;&quot;,&quot;non-dropping-particle&quot;:&quot;&quot;},{&quot;family&quot;:&quot;George&quot;,&quot;given&quot;:&quot;Lekha K.&quot;,&quot;parse-names&quot;:false,&quot;dropping-particle&quot;:&quot;&quot;,&quot;non-dropping-particle&quot;:&quot;&quot;},{&quot;family&quot;:&quot;Sarwar&quot;,&quot;given&quot;:&quot;Tahira&quot;,&quot;parse-names&quot;:false,&quot;dropping-particle&quot;:&quot;&quot;,&quot;non-dropping-particle&quot;:&quot;&quot;},{&quot;family&quot;:&quot;Wall&quot;,&quot;given&quot;:&quot;Barry M.&quot;,&quot;parse-names&quot;:false,&quot;dropping-particle&quot;:&quot;&quot;,&quot;non-dropping-particle&quot;:&quot;&quot;}],&quot;container-title&quot;:&quot;American Journal of the Medical Sciences&quot;,&quot;accessed&quot;:{&quot;date-parts&quot;:[[2020,10,12]]},&quot;DOI&quot;:&quot;10.1016/j.amjms.2017.08.001&quot;,&quot;ISSN&quot;:&quot;15382990&quot;,&quot;PMID&quot;:&quot;29661353&quot;,&quot;URL&quot;:&quot;https://pubmed.ncbi.nlm.nih.gov/29661353/&quot;,&quot;issued&quot;:{&quot;date-parts&quot;:[[2018,4,1]]},&quot;page&quot;:&quot;387-389&quot;,&quot;abstract&quot;:&quot;Pyroglutamic acid, an intermediate in glutathione metabolism, can lead to elevated anion gap metabolic acidosis as rare complication of acetaminophen therapy in adults. Acquired pyroglutamic acidosis has been observed primarily in settings associated with glutathione deficiency. Risk factors for glutathione deficiency include critical illness, chronic liver or kidney disease, advanced age, female gender, alcohol abuse, malnutrition, pregnancy, antiepileptic drugs, and chronic acetaminophen use. Diagnosis of pyroglutamic acidosis requires both the exclusion of common etiologies of increased anion gap metabolic acidosis and a high index of suspicion. Treatment involves discontinuation of acetaminophen, supportive care, and addressing risk factors for glutathione deficiency. The current report describes an ambulatory patient with multiple risk factors for glutathione deficiency, who developed recurrent pyroglutamic acidosis due to acetaminophen use with therapeutic blood levels of acetaminophen.&quot;,&quot;publisher&quot;:&quot;Elsevier B.V.&quot;,&quot;issue&quot;:&quot;4&quot;,&quot;volume&quot;:&quot;355&quot;},&quot;isTemporary&quot;:false}],&quot;properties&quot;:{&quot;noteIndex&quot;:0},&quot;isEdited&quot;:false,&quot;manualOverride&quot;:{&quot;isManuallyOverriden&quot;:false,&quot;citeprocText&quot;:&quot;&lt;sup&gt;34,35&lt;/sup&gt;&quot;,&quot;manualOverrideText&quot;:&quot;&quot;}}"/>
                <w:id w:val="863172998"/>
                <w:placeholder>
                  <w:docPart w:val="DefaultPlaceholder_-1854013440"/>
                </w:placeholder>
              </w:sdtPr>
              <w:sdtContent>
                <w:r w:rsidR="00C65BCB" w:rsidRPr="00C65BCB">
                  <w:rPr>
                    <w:color w:val="000000"/>
                    <w:sz w:val="22"/>
                    <w:szCs w:val="22"/>
                    <w:vertAlign w:val="superscript"/>
                  </w:rPr>
                  <w:t>34,35</w:t>
                </w:r>
              </w:sdtContent>
            </w:sdt>
            <w:r w:rsidR="00C65BCB">
              <w:rPr>
                <w:sz w:val="22"/>
                <w:szCs w:val="22"/>
              </w:rPr>
              <w:t xml:space="preserve">    </w:t>
            </w:r>
          </w:p>
        </w:tc>
      </w:tr>
      <w:tr w:rsidR="00E21241" w:rsidRPr="00506483" w14:paraId="2242136A" w14:textId="77777777" w:rsidTr="00C2658D">
        <w:tc>
          <w:tcPr>
            <w:tcW w:w="2541" w:type="dxa"/>
            <w:vAlign w:val="center"/>
          </w:tcPr>
          <w:p w14:paraId="46BC8B89" w14:textId="77777777" w:rsidR="00E21241" w:rsidRPr="00506483" w:rsidRDefault="00E21241" w:rsidP="00C2658D">
            <w:pPr>
              <w:rPr>
                <w:b/>
                <w:bCs/>
                <w:sz w:val="22"/>
                <w:szCs w:val="22"/>
              </w:rPr>
            </w:pPr>
            <w:r w:rsidRPr="00506483">
              <w:rPr>
                <w:rFonts w:ascii="Symbol" w:hAnsi="Symbol"/>
                <w:b/>
                <w:bCs/>
                <w:sz w:val="22"/>
                <w:szCs w:val="22"/>
              </w:rPr>
              <w:t>b</w:t>
            </w:r>
            <w:r w:rsidRPr="00506483">
              <w:rPr>
                <w:b/>
                <w:bCs/>
                <w:sz w:val="22"/>
                <w:szCs w:val="22"/>
              </w:rPr>
              <w:t>-</w:t>
            </w:r>
            <w:proofErr w:type="spellStart"/>
            <w:r w:rsidRPr="00506483">
              <w:rPr>
                <w:b/>
                <w:bCs/>
                <w:sz w:val="22"/>
                <w:szCs w:val="22"/>
              </w:rPr>
              <w:t>Hydroxyisovaleric</w:t>
            </w:r>
            <w:proofErr w:type="spellEnd"/>
            <w:r w:rsidRPr="00506483">
              <w:rPr>
                <w:b/>
                <w:bCs/>
                <w:sz w:val="22"/>
                <w:szCs w:val="22"/>
              </w:rPr>
              <w:t xml:space="preserve"> Acid </w:t>
            </w:r>
          </w:p>
        </w:tc>
        <w:tc>
          <w:tcPr>
            <w:tcW w:w="2494" w:type="dxa"/>
            <w:vAlign w:val="center"/>
          </w:tcPr>
          <w:p w14:paraId="4A41D020" w14:textId="77777777" w:rsidR="00E21241" w:rsidRPr="00506483" w:rsidRDefault="00E21241" w:rsidP="00C2658D">
            <w:pPr>
              <w:rPr>
                <w:sz w:val="22"/>
                <w:szCs w:val="22"/>
              </w:rPr>
            </w:pPr>
            <w:r>
              <w:rPr>
                <w:sz w:val="22"/>
                <w:szCs w:val="22"/>
              </w:rPr>
              <w:t>Metabolite of leucine</w:t>
            </w:r>
          </w:p>
        </w:tc>
        <w:tc>
          <w:tcPr>
            <w:tcW w:w="4950" w:type="dxa"/>
            <w:vAlign w:val="center"/>
          </w:tcPr>
          <w:p w14:paraId="59DA2ECB" w14:textId="59F48667" w:rsidR="00E21241" w:rsidRPr="00506483" w:rsidRDefault="00E21241" w:rsidP="00C2658D">
            <w:pPr>
              <w:rPr>
                <w:sz w:val="22"/>
                <w:szCs w:val="22"/>
              </w:rPr>
            </w:pPr>
            <w:r>
              <w:rPr>
                <w:sz w:val="22"/>
                <w:szCs w:val="22"/>
              </w:rPr>
              <w:t>Increased in biotin (B7) deficiency and in smokers</w:t>
            </w:r>
            <w:sdt>
              <w:sdtPr>
                <w:rPr>
                  <w:color w:val="000000"/>
                  <w:sz w:val="22"/>
                  <w:szCs w:val="22"/>
                  <w:vertAlign w:val="superscript"/>
                </w:rPr>
                <w:tag w:val="MENDELEY_CITATION_{&quot;citationID&quot;:&quot;MENDELEY_CITATION_83d52fb5-6c3e-455e-bbae-8f46008c3fab&quot;,&quot;citationItems&quot;:[{&quot;id&quot;:&quot;9a12053e-0cd8-3f5e-92a3-b71bc96cb1df&quot;,&quot;itemData&quot;:{&quot;type&quot;:&quot;paper-conference&quot;,&quot;id&quot;:&quot;9a12053e-0cd8-3f5e-92a3-b71bc96cb1df&quot;,&quot;title&quot;:&quot;Measurement of 3-hydroxyisovaleric acid in urine from marginally biotin-deficient humans by UPLC-MS/MS&quot;,&quot;author&quot;:[{&quot;family&quot;:&quot;Horvath&quot;,&quot;given&quot;:&quot;Thomas D.&quot;,&quot;parse-names&quot;:false,&quot;dropping-particle&quot;:&quot;&quot;,&quot;non-dropping-particle&quot;:&quot;&quot;},{&quot;family&quot;:&quot;Matthews&quot;,&quot;given&quot;:&quot;Nell I.&quot;,&quot;parse-names&quot;:false,&quot;dropping-particle&quot;:&quot;&quot;,&quot;non-dropping-particle&quot;:&quot;&quot;},{&quot;family&quot;:&quot;Stratton&quot;,&quot;given&quot;:&quot;Shawna L.&quot;,&quot;parse-names&quot;:false,&quot;dropping-particle&quot;:&quot;&quot;,&quot;non-dropping-particle&quot;:&quot;&quot;},{&quot;family&quot;:&quot;Mock&quot;,&quot;given&quot;:&quot;Donald M.&quot;,&quot;parse-names&quot;:false,&quot;dropping-particle&quot;:&quot;&quot;,&quot;non-dropping-particle&quot;:&quot;&quot;},{&quot;family&quot;:&quot;Boysen&quot;,&quot;given&quot;:&quot;Gunnar&quot;,&quot;parse-names&quot;:false,&quot;dropping-particle&quot;:&quot;&quot;,&quot;non-dropping-particle&quot;:&quot;&quot;}],&quot;container-title&quot;:&quot;Analytical and Bioanalytical Chemistry&quot;,&quot;accessed&quot;:{&quot;date-parts&quot;:[[2020,10,12]]},&quot;DOI&quot;:&quot;10.1007/s00216-011-5356-x&quot;,&quot;ISSN&quot;:&quot;16182642&quot;,&quot;PMID&quot;:&quot;21892638&quot;,&quot;URL&quot;:&quot;https://pubmed.ncbi.nlm.nih.gov/21892638/&quot;,&quot;issued&quot;:{&quot;date-parts&quot;:[[2011,11]]},&quot;page&quot;:&quot;2805-2810&quot;,&quot;abstract&quot;:&quot;Measurement of 3-hydroxyisovaleric acid (3HIA) in human urine has been shown to be a useful indicator of biotin status for a variety of clinical situations, including pregnancy. The work described herein presents a novel UPLC-MS/MS method for accurate and precise quantitation of urinary 3HIA. This method utilizes sample preparation prior to quantitation that has been simplified compared to the previous GC-MS method. To demonstrate the suitability of the UPLC-MS/MS method for human bio-monitoring, this method was used to measure 3-HIA in 64 human urine samples from eight healthy adults in whom marginal biotin deficiency had been induced experimentally by egg white feeding. 3HIA was detected in all specimens; the mean concentration [±standard deviation (SD)] was 80.6 ± 51 μM prior to inducing biotin deficiency. Mean excretion rate for 3HIA (expressed per mol urinary creatinine) before beginning the biotin-deficient diet was 8.5 ± 3.2 mmol 3HIA per mol creatinine and the mean increased threefold with deficiency. These specimens had been previously analyzed by GC-MS; the two data sets showed strong linear relationship with a correlation coefficient of 0.97. These results provide evidence that this method is suitable for bio-monitoring of biotin status in larger populations. [Figure not available: see fulltext.] © 2011 Springer-Verlag.&quot;,&quot;publisher&quot;:&quot;Anal Bioanal Chem&quot;,&quot;issue&quot;:&quot;9&quot;,&quot;volume&quot;:&quot;401&quot;},&quot;isTemporary&quot;:false},{&quot;id&quot;:&quot;f9911f44-bfc4-363d-913a-415c9f3234f7&quot;,&quot;itemData&quot;:{&quot;type&quot;:&quot;article-journal&quot;,&quot;id&quot;:&quot;f9911f44-bfc4-363d-913a-415c9f3234f7&quot;,&quot;title&quot;:&quot;Smoking accelerates biotin catabolism in women&quot;,&quot;author&quot;:[{&quot;family&quot;:&quot;Sealey&quot;,&quot;given&quot;:&quot;Wendy M.&quot;,&quot;parse-names&quot;:false,&quot;dropping-particle&quot;:&quot;&quot;,&quot;non-dropping-particle&quot;:&quot;&quot;},{&quot;family&quot;:&quot;Teague&quot;,&quot;given&quot;:&quot;April M.&quot;,&quot;parse-names&quot;:false,&quot;dropping-particle&quot;:&quot;&quot;,&quot;non-dropping-particle&quot;:&quot;&quot;},{&quot;family&quot;:&quot;Stratton&quot;,&quot;given&quot;:&quot;Shawna L.&quot;,&quot;parse-names&quot;:false,&quot;dropping-particle&quot;:&quot;&quot;,&quot;non-dropping-particle&quot;:&quot;&quot;},{&quot;family&quot;:&quot;Mock&quot;,&quot;given&quot;:&quot;Donald M.&quot;,&quot;parse-names&quot;:false,&quot;dropping-particle&quot;:&quot;&quot;,&quot;non-dropping-particle&quot;:&quot;&quot;}],&quot;container-title&quot;:&quot;American Journal of Clinical Nutrition&quot;,&quot;accessed&quot;:{&quot;date-parts&quot;:[[2020,10,12]]},&quot;DOI&quot;:&quot;10.1093/ajcn/80.4.932&quot;,&quot;ISSN&quot;:&quot;00029165&quot;,&quot;PMID&quot;:&quot;15447901&quot;,&quot;URL&quot;:&quot;https://pubmed.ncbi.nlm.nih.gov/15447901/&quot;,&quot;issued&quot;:{&quot;date-parts&quot;:[[2004]]},&quot;page&quot;:&quot;932-935&quot;,&quot;abstract&quot;:&quot;Background: Smoking accelerates the degradation of many nutrients, including lipids, antioxidants, and certain B vitamins. Accelerated biotin catabolism is of concern in women because marginal biotin deficiency is teratogenic in mammals. Objective: The objective was to assess the effect of smoking on the biotin status of women. Design: A preliminary study of 7 women and 3 men examined the urinary concentrations of biotin and its metabolites biotin sulfoxide and bisnorbiotin in smokers. The interpretation of the results of this study was limited by the lack of a contemporaneous control group; consequently, we conducted a cohort-controlled study. Smoking women (n = 8) and nonsmoking control subjects (n = 15) provided 24-h urine samples; excretion rates of biotin, the biotin metabolites, and 3-hydroxyisovaleric acid were determined. Increased urinary excretion of 3-hydroxyisovaleric acid, which reflects a reduced activity of the biotin-dependent enzyme 3-methylcrotonyl-Co A carboxylase, is a sensitive indicator of biotin depletion at the tissue level. Results: Compared with control subjects from previous studies, the smoking women in the preliminary study excreted significantly less urinary biotin (P = 0.02). Moreover, the ratio of urinary biotin sulfoxide to biotin increased (P = 0.04) in these women. In the cohort-controlled study, the urinary excretion of biotin decreased by 30% (P = 0.04), and the ratios of urinary bisnorbiotin and biotin sulfoxide to biotin increased significantly, which indicated accelerated catabolism in smokers. Moreover, the urinary excretion of 3-hydroxyisovaleric acid was greater in the smokers than in the control subjects (P = 0.04), which indicated biotin depletion in the smokers at the tissue level. Conclusion: These data provide evidence of accelerated biotin metabolism in smoking women, which results in marginal biotin deficiency. © 2004 American Society for Clinical Nutrition.&quot;,&quot;publisher&quot;:&quot;American Society for Nutrition&quot;,&quot;issue&quot;:&quot;4&quot;,&quot;volume&quot;:&quot;80&quot;},&quot;isTemporary&quot;:false}],&quot;properties&quot;:{&quot;noteIndex&quot;:0},&quot;isEdited&quot;:false,&quot;manualOverride&quot;:{&quot;isManuallyOverriden&quot;:false,&quot;citeprocText&quot;:&quot;&lt;sup&gt;36,37&lt;/sup&gt;&quot;,&quot;manualOverrideText&quot;:&quot;&quot;}}"/>
                <w:id w:val="-96175170"/>
                <w:placeholder>
                  <w:docPart w:val="DefaultPlaceholder_-1854013440"/>
                </w:placeholder>
              </w:sdtPr>
              <w:sdtContent>
                <w:r w:rsidR="00D92693" w:rsidRPr="00D92693">
                  <w:rPr>
                    <w:color w:val="000000"/>
                    <w:sz w:val="22"/>
                    <w:szCs w:val="22"/>
                    <w:vertAlign w:val="superscript"/>
                  </w:rPr>
                  <w:t>36,37</w:t>
                </w:r>
              </w:sdtContent>
            </w:sdt>
            <w:r w:rsidR="00C65BCB">
              <w:rPr>
                <w:sz w:val="22"/>
                <w:szCs w:val="22"/>
              </w:rPr>
              <w:t xml:space="preserve">  </w:t>
            </w:r>
          </w:p>
        </w:tc>
      </w:tr>
    </w:tbl>
    <w:p w14:paraId="24CE0F92" w14:textId="77777777" w:rsidR="00E21241" w:rsidRDefault="00E21241" w:rsidP="00042CB6">
      <w:pPr>
        <w:spacing w:line="480" w:lineRule="auto"/>
        <w:rPr>
          <w:rFonts w:eastAsiaTheme="minorHAnsi"/>
          <w:lang w:eastAsia="en-US"/>
        </w:rPr>
      </w:pPr>
    </w:p>
    <w:p w14:paraId="70BA1AC8" w14:textId="77777777" w:rsidR="00E21241" w:rsidRPr="009D4BCF" w:rsidRDefault="00E21241" w:rsidP="00042CB6">
      <w:pPr>
        <w:spacing w:line="480" w:lineRule="auto"/>
        <w:rPr>
          <w:rFonts w:eastAsiaTheme="minorHAnsi"/>
          <w:lang w:eastAsia="en-US"/>
        </w:rPr>
      </w:pPr>
    </w:p>
    <w:p w14:paraId="2E795157" w14:textId="40483548" w:rsidR="005B716B" w:rsidRPr="00F571B6" w:rsidRDefault="00F8454A" w:rsidP="00F571B6">
      <w:pPr>
        <w:rPr>
          <w:noProof/>
          <w:sz w:val="20"/>
          <w:szCs w:val="20"/>
        </w:rPr>
      </w:pPr>
      <w:r w:rsidRPr="00F571B6">
        <w:rPr>
          <w:noProof/>
          <w:sz w:val="20"/>
          <w:szCs w:val="20"/>
        </w:rPr>
        <w:lastRenderedPageBreak/>
        <w:drawing>
          <wp:inline distT="0" distB="0" distL="0" distR="0" wp14:anchorId="2D30ED9D" wp14:editId="49186D70">
            <wp:extent cx="3657600" cy="3657600"/>
            <wp:effectExtent l="0" t="0" r="12700" b="12700"/>
            <wp:docPr id="13" name="Chart 13">
              <a:extLst xmlns:a="http://schemas.openxmlformats.org/drawingml/2006/main">
                <a:ext uri="{FF2B5EF4-FFF2-40B4-BE49-F238E27FC236}">
                  <a16:creationId xmlns:a16="http://schemas.microsoft.com/office/drawing/2014/main" id="{00000000-0008-0000-1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00B058E4" w:rsidRPr="00F571B6">
        <w:rPr>
          <w:noProof/>
          <w:sz w:val="20"/>
          <w:szCs w:val="20"/>
        </w:rPr>
        <w:drawing>
          <wp:inline distT="0" distB="0" distL="0" distR="0" wp14:anchorId="480FD279" wp14:editId="391B5C3B">
            <wp:extent cx="3657600" cy="3657600"/>
            <wp:effectExtent l="0" t="0" r="12700" b="12700"/>
            <wp:docPr id="11" name="Chart 11">
              <a:extLst xmlns:a="http://schemas.openxmlformats.org/drawingml/2006/main">
                <a:ext uri="{FF2B5EF4-FFF2-40B4-BE49-F238E27FC236}">
                  <a16:creationId xmlns:a16="http://schemas.microsoft.com/office/drawing/2014/main" id="{00000000-0008-0000-1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B058E4" w:rsidRPr="00F571B6">
        <w:rPr>
          <w:noProof/>
          <w:sz w:val="20"/>
          <w:szCs w:val="20"/>
        </w:rPr>
        <w:t xml:space="preserve"> </w:t>
      </w:r>
      <w:r w:rsidR="00353155" w:rsidRPr="00F571B6">
        <w:rPr>
          <w:noProof/>
          <w:sz w:val="20"/>
          <w:szCs w:val="20"/>
        </w:rPr>
        <w:t xml:space="preserve"> </w:t>
      </w:r>
      <w:r w:rsidR="00353155" w:rsidRPr="00F571B6">
        <w:rPr>
          <w:noProof/>
          <w:sz w:val="20"/>
          <w:szCs w:val="20"/>
        </w:rPr>
        <w:drawing>
          <wp:inline distT="0" distB="0" distL="0" distR="0" wp14:anchorId="50723B68" wp14:editId="4F783E2B">
            <wp:extent cx="3657600" cy="3657600"/>
            <wp:effectExtent l="0" t="0" r="12700" b="12700"/>
            <wp:docPr id="10" name="Chart 10">
              <a:extLst xmlns:a="http://schemas.openxmlformats.org/drawingml/2006/main">
                <a:ext uri="{FF2B5EF4-FFF2-40B4-BE49-F238E27FC236}">
                  <a16:creationId xmlns:a16="http://schemas.microsoft.com/office/drawing/2014/main" id="{00000000-0008-0000-1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353155" w:rsidRPr="00F571B6">
        <w:rPr>
          <w:noProof/>
          <w:sz w:val="20"/>
          <w:szCs w:val="20"/>
        </w:rPr>
        <w:t xml:space="preserve"> </w:t>
      </w:r>
      <w:r w:rsidR="00353155" w:rsidRPr="00F571B6">
        <w:rPr>
          <w:noProof/>
          <w:sz w:val="20"/>
          <w:szCs w:val="20"/>
        </w:rPr>
        <w:lastRenderedPageBreak/>
        <w:drawing>
          <wp:inline distT="0" distB="0" distL="0" distR="0" wp14:anchorId="714AF3B6" wp14:editId="7797FDDF">
            <wp:extent cx="3657600" cy="3657600"/>
            <wp:effectExtent l="0" t="0" r="12700" b="12700"/>
            <wp:docPr id="15" name="Chart 15">
              <a:extLst xmlns:a="http://schemas.openxmlformats.org/drawingml/2006/main">
                <a:ext uri="{FF2B5EF4-FFF2-40B4-BE49-F238E27FC236}">
                  <a16:creationId xmlns:a16="http://schemas.microsoft.com/office/drawing/2014/main" id="{00000000-0008-0000-1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8A0262" w:rsidRPr="00F571B6">
        <w:rPr>
          <w:noProof/>
          <w:sz w:val="20"/>
          <w:szCs w:val="20"/>
        </w:rPr>
        <w:t xml:space="preserve"> </w:t>
      </w:r>
      <w:r w:rsidR="008A0262" w:rsidRPr="00F571B6">
        <w:rPr>
          <w:noProof/>
          <w:sz w:val="20"/>
          <w:szCs w:val="20"/>
        </w:rPr>
        <w:drawing>
          <wp:inline distT="0" distB="0" distL="0" distR="0" wp14:anchorId="4FD95659" wp14:editId="57526F14">
            <wp:extent cx="3657600" cy="3657600"/>
            <wp:effectExtent l="0" t="0" r="12700" b="12700"/>
            <wp:docPr id="17" name="Chart 17">
              <a:extLst xmlns:a="http://schemas.openxmlformats.org/drawingml/2006/main">
                <a:ext uri="{FF2B5EF4-FFF2-40B4-BE49-F238E27FC236}">
                  <a16:creationId xmlns:a16="http://schemas.microsoft.com/office/drawing/2014/main" id="{00000000-0008-0000-0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F571B6" w:rsidRPr="00F571B6">
        <w:rPr>
          <w:noProof/>
          <w:sz w:val="20"/>
          <w:szCs w:val="20"/>
        </w:rPr>
        <w:t xml:space="preserve"> </w:t>
      </w:r>
      <w:r w:rsidR="0057396C" w:rsidRPr="00F571B6">
        <w:rPr>
          <w:noProof/>
          <w:sz w:val="20"/>
          <w:szCs w:val="20"/>
        </w:rPr>
        <w:drawing>
          <wp:inline distT="0" distB="0" distL="0" distR="0" wp14:anchorId="1DC90841" wp14:editId="791EAD27">
            <wp:extent cx="3657600" cy="3657600"/>
            <wp:effectExtent l="0" t="0" r="12700" b="12700"/>
            <wp:docPr id="7" name="Chart 7">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57396C" w:rsidRPr="00F571B6">
        <w:rPr>
          <w:noProof/>
          <w:sz w:val="20"/>
          <w:szCs w:val="20"/>
        </w:rPr>
        <w:t xml:space="preserve"> </w:t>
      </w:r>
      <w:r w:rsidR="00463751" w:rsidRPr="00F571B6">
        <w:rPr>
          <w:noProof/>
          <w:sz w:val="20"/>
          <w:szCs w:val="20"/>
        </w:rPr>
        <w:lastRenderedPageBreak/>
        <w:drawing>
          <wp:inline distT="0" distB="0" distL="0" distR="0" wp14:anchorId="744C6CBA" wp14:editId="3829E7B5">
            <wp:extent cx="3657600" cy="3657600"/>
            <wp:effectExtent l="0" t="0" r="12700" b="12700"/>
            <wp:docPr id="6" name="Chart 6">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463751" w:rsidRPr="00F571B6">
        <w:rPr>
          <w:noProof/>
          <w:sz w:val="20"/>
          <w:szCs w:val="20"/>
        </w:rPr>
        <w:t xml:space="preserve"> </w:t>
      </w:r>
      <w:r w:rsidR="005B716B" w:rsidRPr="00F571B6">
        <w:rPr>
          <w:noProof/>
          <w:sz w:val="20"/>
          <w:szCs w:val="20"/>
        </w:rPr>
        <w:drawing>
          <wp:inline distT="0" distB="0" distL="0" distR="0" wp14:anchorId="16215742" wp14:editId="4580BCD6">
            <wp:extent cx="3657600" cy="3657600"/>
            <wp:effectExtent l="0" t="0" r="12700" b="12700"/>
            <wp:docPr id="2" name="Chart 2">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5B716B" w:rsidRPr="00F571B6">
        <w:rPr>
          <w:noProof/>
          <w:sz w:val="20"/>
          <w:szCs w:val="20"/>
        </w:rPr>
        <w:t xml:space="preserve"> </w:t>
      </w:r>
      <w:r w:rsidR="005B716B" w:rsidRPr="00F571B6">
        <w:rPr>
          <w:noProof/>
          <w:sz w:val="20"/>
          <w:szCs w:val="20"/>
        </w:rPr>
        <w:lastRenderedPageBreak/>
        <w:drawing>
          <wp:inline distT="0" distB="0" distL="0" distR="0" wp14:anchorId="5BEE30E7" wp14:editId="12DF0168">
            <wp:extent cx="3657600" cy="3657600"/>
            <wp:effectExtent l="0" t="0" r="12700" b="12700"/>
            <wp:docPr id="1"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F571B6" w:rsidRPr="00F571B6">
        <w:rPr>
          <w:noProof/>
          <w:sz w:val="20"/>
          <w:szCs w:val="20"/>
        </w:rPr>
        <w:t xml:space="preserve"> </w:t>
      </w:r>
      <w:r w:rsidR="0019147A" w:rsidRPr="00F571B6">
        <w:rPr>
          <w:noProof/>
          <w:sz w:val="20"/>
          <w:szCs w:val="20"/>
        </w:rPr>
        <w:drawing>
          <wp:inline distT="0" distB="0" distL="0" distR="0" wp14:anchorId="623352DD" wp14:editId="4BA45E02">
            <wp:extent cx="3657600" cy="3657600"/>
            <wp:effectExtent l="0" t="0" r="12700" b="12700"/>
            <wp:docPr id="9" name="Chart 9">
              <a:extLst xmlns:a="http://schemas.openxmlformats.org/drawingml/2006/main">
                <a:ext uri="{FF2B5EF4-FFF2-40B4-BE49-F238E27FC236}">
                  <a16:creationId xmlns:a16="http://schemas.microsoft.com/office/drawing/2014/main" id="{00000000-0008-0000-1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E57EDA5" w14:textId="52F12CF7" w:rsidR="007667BD" w:rsidRDefault="005B716B" w:rsidP="007667BD">
      <w:r w:rsidRPr="007667BD">
        <w:rPr>
          <w:b/>
          <w:bCs/>
        </w:rPr>
        <w:t>Supplemental Figure 1</w:t>
      </w:r>
    </w:p>
    <w:p w14:paraId="47FD1A52" w14:textId="2E44A524" w:rsidR="00493EB4" w:rsidRPr="007667BD" w:rsidRDefault="00493EB4">
      <w:pPr>
        <w:rPr>
          <w:b/>
          <w:bCs/>
        </w:rPr>
      </w:pPr>
    </w:p>
    <w:p w14:paraId="05F1B5E6" w14:textId="77777777" w:rsidR="00493EB4" w:rsidRDefault="00493EB4">
      <w:pPr>
        <w:rPr>
          <w:b/>
          <w:bCs/>
          <w:sz w:val="21"/>
          <w:szCs w:val="21"/>
        </w:rPr>
      </w:pPr>
      <w:r>
        <w:rPr>
          <w:b/>
          <w:bCs/>
          <w:sz w:val="21"/>
          <w:szCs w:val="21"/>
        </w:rPr>
        <w:br w:type="page"/>
      </w:r>
    </w:p>
    <w:p w14:paraId="1AF0494B" w14:textId="77777777" w:rsidR="005B716B" w:rsidRDefault="005B716B">
      <w:pPr>
        <w:rPr>
          <w:b/>
          <w:bCs/>
          <w:sz w:val="21"/>
          <w:szCs w:val="21"/>
        </w:rPr>
      </w:pPr>
    </w:p>
    <w:p w14:paraId="1541A059" w14:textId="1234E974" w:rsidR="00FA1E17" w:rsidRDefault="00B16CB9">
      <w:pPr>
        <w:rPr>
          <w:b/>
          <w:bCs/>
          <w:sz w:val="21"/>
          <w:szCs w:val="21"/>
        </w:rPr>
      </w:pPr>
      <w:r>
        <w:rPr>
          <w:noProof/>
        </w:rPr>
        <w:drawing>
          <wp:inline distT="0" distB="0" distL="0" distR="0" wp14:anchorId="6A03D419" wp14:editId="102C060D">
            <wp:extent cx="3657600" cy="3657600"/>
            <wp:effectExtent l="0" t="0" r="12700" b="12700"/>
            <wp:docPr id="20" name="Chart 20">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b/>
          <w:bCs/>
          <w:sz w:val="21"/>
          <w:szCs w:val="21"/>
        </w:rPr>
        <w:t xml:space="preserve"> </w:t>
      </w:r>
    </w:p>
    <w:p w14:paraId="12ECB6DF" w14:textId="39EAA68C" w:rsidR="00A22240" w:rsidRDefault="00A22240">
      <w:pPr>
        <w:rPr>
          <w:b/>
          <w:bCs/>
          <w:sz w:val="21"/>
          <w:szCs w:val="21"/>
        </w:rPr>
      </w:pPr>
      <w:r>
        <w:rPr>
          <w:noProof/>
        </w:rPr>
        <w:drawing>
          <wp:inline distT="0" distB="0" distL="0" distR="0" wp14:anchorId="7A042B3D" wp14:editId="14A53D46">
            <wp:extent cx="3657600" cy="3657600"/>
            <wp:effectExtent l="0" t="0" r="12700" b="12700"/>
            <wp:docPr id="23" name="Chart 23">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1DDB29E" w14:textId="2C6E9FBF" w:rsidR="00722379" w:rsidRDefault="00722379">
      <w:pPr>
        <w:rPr>
          <w:b/>
          <w:bCs/>
          <w:sz w:val="21"/>
          <w:szCs w:val="21"/>
        </w:rPr>
      </w:pPr>
      <w:r>
        <w:rPr>
          <w:noProof/>
        </w:rPr>
        <w:drawing>
          <wp:inline distT="0" distB="0" distL="0" distR="0" wp14:anchorId="0AB72480" wp14:editId="52B4F7AE">
            <wp:extent cx="3657600" cy="3657600"/>
            <wp:effectExtent l="0" t="0" r="12700" b="12700"/>
            <wp:docPr id="22" name="Chart 22">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AF3352F" w14:textId="62D97FAD" w:rsidR="009742C8" w:rsidRDefault="002463F2">
      <w:pPr>
        <w:rPr>
          <w:b/>
          <w:bCs/>
          <w:sz w:val="21"/>
          <w:szCs w:val="21"/>
        </w:rPr>
      </w:pPr>
      <w:r>
        <w:rPr>
          <w:noProof/>
        </w:rPr>
        <w:lastRenderedPageBreak/>
        <w:drawing>
          <wp:inline distT="0" distB="0" distL="0" distR="0" wp14:anchorId="52701706" wp14:editId="1CBD16A3">
            <wp:extent cx="3657600" cy="3657600"/>
            <wp:effectExtent l="0" t="0" r="12700" b="12700"/>
            <wp:docPr id="24" name="Chart 24">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F868B67" w14:textId="669488CD" w:rsidR="00493EB4" w:rsidRDefault="00FA1E17" w:rsidP="00493EB4">
      <w:r w:rsidRPr="00493EB4">
        <w:rPr>
          <w:b/>
          <w:bCs/>
        </w:rPr>
        <w:t>Supplemental Figure 2</w:t>
      </w:r>
    </w:p>
    <w:p w14:paraId="4AC98159" w14:textId="079EBBE6" w:rsidR="00FA1E17" w:rsidRDefault="00FA1E17">
      <w:pPr>
        <w:rPr>
          <w:b/>
          <w:bCs/>
          <w:sz w:val="21"/>
          <w:szCs w:val="21"/>
        </w:rPr>
      </w:pPr>
    </w:p>
    <w:p w14:paraId="519742A8" w14:textId="32E50524" w:rsidR="00E35970" w:rsidRDefault="00E35970">
      <w:pPr>
        <w:rPr>
          <w:b/>
          <w:bCs/>
          <w:sz w:val="21"/>
          <w:szCs w:val="21"/>
        </w:rPr>
      </w:pPr>
    </w:p>
    <w:p w14:paraId="17031551" w14:textId="6C5572BB" w:rsidR="00E35970" w:rsidRDefault="00E35970">
      <w:pPr>
        <w:rPr>
          <w:b/>
          <w:bCs/>
          <w:sz w:val="21"/>
          <w:szCs w:val="21"/>
        </w:rPr>
      </w:pPr>
      <w:r>
        <w:rPr>
          <w:b/>
          <w:bCs/>
          <w:sz w:val="21"/>
          <w:szCs w:val="21"/>
        </w:rPr>
        <w:br w:type="page"/>
      </w:r>
    </w:p>
    <w:p w14:paraId="251F5384" w14:textId="3DD3B1DD" w:rsidR="00E35970" w:rsidRDefault="00E35970">
      <w:pPr>
        <w:rPr>
          <w:b/>
          <w:bCs/>
          <w:sz w:val="21"/>
          <w:szCs w:val="21"/>
        </w:rPr>
      </w:pPr>
    </w:p>
    <w:p w14:paraId="31C3C5BD" w14:textId="7D7625D5" w:rsidR="00980DEF" w:rsidRDefault="00721A18" w:rsidP="00E35970">
      <w:pPr>
        <w:rPr>
          <w:b/>
          <w:bCs/>
          <w:sz w:val="21"/>
          <w:szCs w:val="21"/>
        </w:rPr>
      </w:pPr>
      <w:r>
        <w:rPr>
          <w:noProof/>
        </w:rPr>
        <w:drawing>
          <wp:inline distT="0" distB="0" distL="0" distR="0" wp14:anchorId="2E397AFF" wp14:editId="243F94AE">
            <wp:extent cx="3657600" cy="3657600"/>
            <wp:effectExtent l="0" t="0" r="12700" b="12700"/>
            <wp:docPr id="39" name="Chart 39">
              <a:extLst xmlns:a="http://schemas.openxmlformats.org/drawingml/2006/main">
                <a:ext uri="{FF2B5EF4-FFF2-40B4-BE49-F238E27FC236}">
                  <a16:creationId xmlns:a16="http://schemas.microsoft.com/office/drawing/2014/main" id="{00000000-0008-0000-2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8041D8">
        <w:rPr>
          <w:noProof/>
        </w:rPr>
        <w:drawing>
          <wp:inline distT="0" distB="0" distL="0" distR="0" wp14:anchorId="33606F13" wp14:editId="3076FE43">
            <wp:extent cx="3657600" cy="3657600"/>
            <wp:effectExtent l="0" t="0" r="12700" b="12700"/>
            <wp:docPr id="34" name="Chart 34">
              <a:extLst xmlns:a="http://schemas.openxmlformats.org/drawingml/2006/main">
                <a:ext uri="{FF2B5EF4-FFF2-40B4-BE49-F238E27FC236}">
                  <a16:creationId xmlns:a16="http://schemas.microsoft.com/office/drawing/2014/main" id="{00000000-0008-0000-1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980DEF">
        <w:rPr>
          <w:noProof/>
        </w:rPr>
        <w:drawing>
          <wp:inline distT="0" distB="0" distL="0" distR="0" wp14:anchorId="3F0DA6C2" wp14:editId="2BB19E06">
            <wp:extent cx="3657600" cy="3657600"/>
            <wp:effectExtent l="0" t="0" r="12700" b="12700"/>
            <wp:docPr id="27" name="Chart 27">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980DEF">
        <w:rPr>
          <w:b/>
          <w:bCs/>
          <w:sz w:val="21"/>
          <w:szCs w:val="21"/>
        </w:rPr>
        <w:t xml:space="preserve"> </w:t>
      </w:r>
      <w:r w:rsidR="00EF4F23">
        <w:rPr>
          <w:noProof/>
        </w:rPr>
        <w:lastRenderedPageBreak/>
        <w:drawing>
          <wp:inline distT="0" distB="0" distL="0" distR="0" wp14:anchorId="66616E4F" wp14:editId="53410FA7">
            <wp:extent cx="3657600" cy="3657600"/>
            <wp:effectExtent l="0" t="0" r="12700" b="12700"/>
            <wp:docPr id="32" name="Chart 32">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4506C8">
        <w:rPr>
          <w:noProof/>
        </w:rPr>
        <w:drawing>
          <wp:inline distT="0" distB="0" distL="0" distR="0" wp14:anchorId="652446FF" wp14:editId="0202516A">
            <wp:extent cx="3657600" cy="3657600"/>
            <wp:effectExtent l="0" t="0" r="12700" b="12700"/>
            <wp:docPr id="30" name="Chart 30">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4506C8">
        <w:rPr>
          <w:b/>
          <w:bCs/>
          <w:sz w:val="21"/>
          <w:szCs w:val="21"/>
        </w:rPr>
        <w:t xml:space="preserve"> </w:t>
      </w:r>
      <w:r w:rsidR="00B33B8A">
        <w:rPr>
          <w:noProof/>
        </w:rPr>
        <w:drawing>
          <wp:inline distT="0" distB="0" distL="0" distR="0" wp14:anchorId="6BA0DA39" wp14:editId="4F37B5DF">
            <wp:extent cx="3657600" cy="3657600"/>
            <wp:effectExtent l="0" t="0" r="12700" b="12700"/>
            <wp:docPr id="43" name="Chart 43">
              <a:extLst xmlns:a="http://schemas.openxmlformats.org/drawingml/2006/main">
                <a:ext uri="{FF2B5EF4-FFF2-40B4-BE49-F238E27FC236}">
                  <a16:creationId xmlns:a16="http://schemas.microsoft.com/office/drawing/2014/main" id="{00000000-0008-0000-3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6B2CF2">
        <w:rPr>
          <w:noProof/>
        </w:rPr>
        <w:lastRenderedPageBreak/>
        <w:drawing>
          <wp:inline distT="0" distB="0" distL="0" distR="0" wp14:anchorId="389665A6" wp14:editId="274914B0">
            <wp:extent cx="3657600" cy="3657600"/>
            <wp:effectExtent l="0" t="0" r="12700" b="12700"/>
            <wp:docPr id="46" name="Chart 46">
              <a:extLst xmlns:a="http://schemas.openxmlformats.org/drawingml/2006/main">
                <a:ext uri="{FF2B5EF4-FFF2-40B4-BE49-F238E27FC236}">
                  <a16:creationId xmlns:a16="http://schemas.microsoft.com/office/drawing/2014/main" id="{00000000-0008-0000-3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CA366F">
        <w:rPr>
          <w:noProof/>
        </w:rPr>
        <w:drawing>
          <wp:inline distT="0" distB="0" distL="0" distR="0" wp14:anchorId="6843074A" wp14:editId="6A198557">
            <wp:extent cx="3657600" cy="3657600"/>
            <wp:effectExtent l="0" t="0" r="12700" b="12700"/>
            <wp:docPr id="42" name="Chart 42">
              <a:extLst xmlns:a="http://schemas.openxmlformats.org/drawingml/2006/main">
                <a:ext uri="{FF2B5EF4-FFF2-40B4-BE49-F238E27FC236}">
                  <a16:creationId xmlns:a16="http://schemas.microsoft.com/office/drawing/2014/main" id="{00000000-0008-0000-2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071308">
        <w:rPr>
          <w:noProof/>
        </w:rPr>
        <w:drawing>
          <wp:inline distT="0" distB="0" distL="0" distR="0" wp14:anchorId="70BB2F70" wp14:editId="0197FD65">
            <wp:extent cx="3657600" cy="3657600"/>
            <wp:effectExtent l="0" t="0" r="12700" b="12700"/>
            <wp:docPr id="41" name="Chart 41">
              <a:extLst xmlns:a="http://schemas.openxmlformats.org/drawingml/2006/main">
                <a:ext uri="{FF2B5EF4-FFF2-40B4-BE49-F238E27FC236}">
                  <a16:creationId xmlns:a16="http://schemas.microsoft.com/office/drawing/2014/main" id="{00000000-0008-0000-2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4CCCF0D" w14:textId="2D1D2838" w:rsidR="00E35970" w:rsidRDefault="00E35970" w:rsidP="00E35970">
      <w:r w:rsidRPr="00660233">
        <w:rPr>
          <w:b/>
          <w:bCs/>
        </w:rPr>
        <w:t>Supplemental Figure 3</w:t>
      </w:r>
    </w:p>
    <w:p w14:paraId="33983E02" w14:textId="728F9EA0" w:rsidR="00E35970" w:rsidRDefault="00E35970">
      <w:pPr>
        <w:rPr>
          <w:b/>
          <w:bCs/>
          <w:sz w:val="21"/>
          <w:szCs w:val="21"/>
        </w:rPr>
      </w:pPr>
    </w:p>
    <w:p w14:paraId="0AC56068" w14:textId="5110280F" w:rsidR="00E35970" w:rsidRDefault="00E35970">
      <w:pPr>
        <w:rPr>
          <w:b/>
          <w:bCs/>
          <w:sz w:val="21"/>
          <w:szCs w:val="21"/>
        </w:rPr>
      </w:pPr>
      <w:r>
        <w:rPr>
          <w:b/>
          <w:bCs/>
          <w:sz w:val="21"/>
          <w:szCs w:val="21"/>
        </w:rPr>
        <w:br w:type="page"/>
      </w:r>
    </w:p>
    <w:p w14:paraId="73DD9CB7" w14:textId="17D20D72" w:rsidR="00E35970" w:rsidRDefault="00E35970">
      <w:pPr>
        <w:rPr>
          <w:b/>
          <w:bCs/>
          <w:sz w:val="21"/>
          <w:szCs w:val="21"/>
        </w:rPr>
      </w:pPr>
    </w:p>
    <w:p w14:paraId="4CF1DB47" w14:textId="1AB90A8C" w:rsidR="006E255C" w:rsidRDefault="006E255C" w:rsidP="00E35970">
      <w:pPr>
        <w:rPr>
          <w:b/>
          <w:bCs/>
          <w:sz w:val="21"/>
          <w:szCs w:val="21"/>
        </w:rPr>
      </w:pPr>
      <w:r>
        <w:rPr>
          <w:noProof/>
        </w:rPr>
        <w:drawing>
          <wp:inline distT="0" distB="0" distL="0" distR="0" wp14:anchorId="1C11C108" wp14:editId="1CB9254D">
            <wp:extent cx="3657600" cy="3657600"/>
            <wp:effectExtent l="0" t="0" r="12700" b="12700"/>
            <wp:docPr id="35" name="Chart 35">
              <a:extLst xmlns:a="http://schemas.openxmlformats.org/drawingml/2006/main">
                <a:ext uri="{FF2B5EF4-FFF2-40B4-BE49-F238E27FC236}">
                  <a16:creationId xmlns:a16="http://schemas.microsoft.com/office/drawing/2014/main" id="{00000000-0008-0000-1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F42D6A">
        <w:rPr>
          <w:b/>
          <w:bCs/>
          <w:sz w:val="21"/>
          <w:szCs w:val="21"/>
        </w:rPr>
        <w:t xml:space="preserve"> </w:t>
      </w:r>
      <w:r w:rsidR="00F42D6A">
        <w:rPr>
          <w:noProof/>
        </w:rPr>
        <w:drawing>
          <wp:inline distT="0" distB="0" distL="0" distR="0" wp14:anchorId="1A983089" wp14:editId="736ED55B">
            <wp:extent cx="3657600" cy="3840480"/>
            <wp:effectExtent l="0" t="0" r="12700" b="7620"/>
            <wp:docPr id="36" name="Chart 36">
              <a:extLst xmlns:a="http://schemas.openxmlformats.org/drawingml/2006/main">
                <a:ext uri="{FF2B5EF4-FFF2-40B4-BE49-F238E27FC236}">
                  <a16:creationId xmlns:a16="http://schemas.microsoft.com/office/drawing/2014/main" id="{00000000-0008-0000-1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7D6652A" w14:textId="45FAA846" w:rsidR="00992870" w:rsidRDefault="00992870" w:rsidP="00E35970">
      <w:pPr>
        <w:rPr>
          <w:b/>
          <w:bCs/>
          <w:sz w:val="21"/>
          <w:szCs w:val="21"/>
        </w:rPr>
      </w:pPr>
      <w:r>
        <w:rPr>
          <w:noProof/>
        </w:rPr>
        <w:drawing>
          <wp:inline distT="0" distB="0" distL="0" distR="0" wp14:anchorId="3C165E98" wp14:editId="548189E5">
            <wp:extent cx="3657600" cy="3657600"/>
            <wp:effectExtent l="0" t="0" r="12700" b="12700"/>
            <wp:docPr id="37" name="Chart 37">
              <a:extLst xmlns:a="http://schemas.openxmlformats.org/drawingml/2006/main">
                <a:ext uri="{FF2B5EF4-FFF2-40B4-BE49-F238E27FC236}">
                  <a16:creationId xmlns:a16="http://schemas.microsoft.com/office/drawing/2014/main" id="{00000000-0008-0000-1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05A96B8" w14:textId="5DCC819A" w:rsidR="00E35970" w:rsidRPr="00785B72" w:rsidRDefault="00E35970">
      <w:pPr>
        <w:rPr>
          <w:b/>
          <w:bCs/>
          <w:sz w:val="21"/>
          <w:szCs w:val="21"/>
        </w:rPr>
      </w:pPr>
      <w:r w:rsidRPr="00660233">
        <w:rPr>
          <w:b/>
          <w:bCs/>
        </w:rPr>
        <w:t>Supplemental Figure 4</w:t>
      </w:r>
    </w:p>
    <w:sectPr w:rsidR="00E35970" w:rsidRPr="00785B72" w:rsidSect="00660233">
      <w:pgSz w:w="12240" w:h="20160"/>
      <w:pgMar w:top="1008" w:right="1440" w:bottom="864"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6B"/>
    <w:rsid w:val="00002780"/>
    <w:rsid w:val="00042CB6"/>
    <w:rsid w:val="00052E1C"/>
    <w:rsid w:val="00054DB0"/>
    <w:rsid w:val="00071308"/>
    <w:rsid w:val="000728D4"/>
    <w:rsid w:val="00075489"/>
    <w:rsid w:val="00095E1A"/>
    <w:rsid w:val="000C10E1"/>
    <w:rsid w:val="0012588F"/>
    <w:rsid w:val="00126ED8"/>
    <w:rsid w:val="0019147A"/>
    <w:rsid w:val="00192248"/>
    <w:rsid w:val="0019723B"/>
    <w:rsid w:val="001B32B2"/>
    <w:rsid w:val="001C69A6"/>
    <w:rsid w:val="002049CC"/>
    <w:rsid w:val="00243DB0"/>
    <w:rsid w:val="002463F2"/>
    <w:rsid w:val="00254CD0"/>
    <w:rsid w:val="00255CFE"/>
    <w:rsid w:val="0029280A"/>
    <w:rsid w:val="003151A9"/>
    <w:rsid w:val="00323E38"/>
    <w:rsid w:val="00353155"/>
    <w:rsid w:val="00353ADF"/>
    <w:rsid w:val="00360544"/>
    <w:rsid w:val="00371AAC"/>
    <w:rsid w:val="003760D7"/>
    <w:rsid w:val="004028A6"/>
    <w:rsid w:val="004028DD"/>
    <w:rsid w:val="00405B84"/>
    <w:rsid w:val="004403B1"/>
    <w:rsid w:val="004506C8"/>
    <w:rsid w:val="00461499"/>
    <w:rsid w:val="00463751"/>
    <w:rsid w:val="004810F0"/>
    <w:rsid w:val="00493EB4"/>
    <w:rsid w:val="004B5ADC"/>
    <w:rsid w:val="004B759E"/>
    <w:rsid w:val="004F7629"/>
    <w:rsid w:val="005245E2"/>
    <w:rsid w:val="0052489E"/>
    <w:rsid w:val="00542744"/>
    <w:rsid w:val="00564259"/>
    <w:rsid w:val="00566776"/>
    <w:rsid w:val="0057396C"/>
    <w:rsid w:val="0058453E"/>
    <w:rsid w:val="00594247"/>
    <w:rsid w:val="005B18C4"/>
    <w:rsid w:val="005B48B4"/>
    <w:rsid w:val="005B716B"/>
    <w:rsid w:val="005D0427"/>
    <w:rsid w:val="005E742C"/>
    <w:rsid w:val="00603495"/>
    <w:rsid w:val="00627990"/>
    <w:rsid w:val="006439AD"/>
    <w:rsid w:val="00653C33"/>
    <w:rsid w:val="00660233"/>
    <w:rsid w:val="0066365C"/>
    <w:rsid w:val="006701F9"/>
    <w:rsid w:val="006B2CF2"/>
    <w:rsid w:val="006E255C"/>
    <w:rsid w:val="007169C9"/>
    <w:rsid w:val="00721A18"/>
    <w:rsid w:val="00722379"/>
    <w:rsid w:val="00741EA7"/>
    <w:rsid w:val="00744526"/>
    <w:rsid w:val="007667BD"/>
    <w:rsid w:val="00774294"/>
    <w:rsid w:val="00782604"/>
    <w:rsid w:val="00784CE6"/>
    <w:rsid w:val="00785B72"/>
    <w:rsid w:val="007D0194"/>
    <w:rsid w:val="007D02DE"/>
    <w:rsid w:val="007D32E6"/>
    <w:rsid w:val="007E4BFE"/>
    <w:rsid w:val="008041D8"/>
    <w:rsid w:val="0083597F"/>
    <w:rsid w:val="008405AE"/>
    <w:rsid w:val="00865DBA"/>
    <w:rsid w:val="00876B8F"/>
    <w:rsid w:val="008830B9"/>
    <w:rsid w:val="00886BB0"/>
    <w:rsid w:val="008A0262"/>
    <w:rsid w:val="008D1CF5"/>
    <w:rsid w:val="008D581E"/>
    <w:rsid w:val="008E413E"/>
    <w:rsid w:val="0091688A"/>
    <w:rsid w:val="00941A49"/>
    <w:rsid w:val="00960CE1"/>
    <w:rsid w:val="0096363C"/>
    <w:rsid w:val="009742C8"/>
    <w:rsid w:val="00980DEF"/>
    <w:rsid w:val="0098486D"/>
    <w:rsid w:val="00992870"/>
    <w:rsid w:val="00992C67"/>
    <w:rsid w:val="009A1F73"/>
    <w:rsid w:val="009B0C28"/>
    <w:rsid w:val="009D133E"/>
    <w:rsid w:val="009D40C2"/>
    <w:rsid w:val="009E1491"/>
    <w:rsid w:val="009F2A61"/>
    <w:rsid w:val="009F2F28"/>
    <w:rsid w:val="00A070E9"/>
    <w:rsid w:val="00A22240"/>
    <w:rsid w:val="00A6395B"/>
    <w:rsid w:val="00A66A9B"/>
    <w:rsid w:val="00A977D5"/>
    <w:rsid w:val="00AD6796"/>
    <w:rsid w:val="00B058E4"/>
    <w:rsid w:val="00B13B61"/>
    <w:rsid w:val="00B16CB9"/>
    <w:rsid w:val="00B2487E"/>
    <w:rsid w:val="00B33B8A"/>
    <w:rsid w:val="00B47BD4"/>
    <w:rsid w:val="00B87F63"/>
    <w:rsid w:val="00BB3BE5"/>
    <w:rsid w:val="00BB6B37"/>
    <w:rsid w:val="00BB6C39"/>
    <w:rsid w:val="00BF0FA0"/>
    <w:rsid w:val="00C053E0"/>
    <w:rsid w:val="00C05973"/>
    <w:rsid w:val="00C53530"/>
    <w:rsid w:val="00C565CE"/>
    <w:rsid w:val="00C652EA"/>
    <w:rsid w:val="00C65BCB"/>
    <w:rsid w:val="00C67C6A"/>
    <w:rsid w:val="00CA0376"/>
    <w:rsid w:val="00CA1460"/>
    <w:rsid w:val="00CA366F"/>
    <w:rsid w:val="00CA5C15"/>
    <w:rsid w:val="00CD029C"/>
    <w:rsid w:val="00CD7238"/>
    <w:rsid w:val="00D3463A"/>
    <w:rsid w:val="00D64B90"/>
    <w:rsid w:val="00D67E97"/>
    <w:rsid w:val="00D92693"/>
    <w:rsid w:val="00D948EF"/>
    <w:rsid w:val="00DA5133"/>
    <w:rsid w:val="00DB2137"/>
    <w:rsid w:val="00E134D4"/>
    <w:rsid w:val="00E15483"/>
    <w:rsid w:val="00E16C0E"/>
    <w:rsid w:val="00E21241"/>
    <w:rsid w:val="00E35970"/>
    <w:rsid w:val="00E6533E"/>
    <w:rsid w:val="00EC1180"/>
    <w:rsid w:val="00ED0036"/>
    <w:rsid w:val="00EE5B4C"/>
    <w:rsid w:val="00EF4F23"/>
    <w:rsid w:val="00F0636D"/>
    <w:rsid w:val="00F33F84"/>
    <w:rsid w:val="00F42D6A"/>
    <w:rsid w:val="00F571B6"/>
    <w:rsid w:val="00F756EA"/>
    <w:rsid w:val="00F8099B"/>
    <w:rsid w:val="00F8454A"/>
    <w:rsid w:val="00FA1E17"/>
    <w:rsid w:val="00FB2EC7"/>
    <w:rsid w:val="00FC75C9"/>
    <w:rsid w:val="00FE3D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A38ED"/>
  <w14:defaultImageDpi w14:val="32767"/>
  <w15:chartTrackingRefBased/>
  <w15:docId w15:val="{6193D3B5-72E4-8C4A-94D8-6E0BCBAF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716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716B"/>
    <w:rPr>
      <w:rFonts w:ascii="Times New Roman" w:hAnsi="Times New Roman" w:cs="Times New Roman"/>
      <w:sz w:val="18"/>
      <w:szCs w:val="18"/>
    </w:rPr>
  </w:style>
  <w:style w:type="character" w:styleId="Hyperlink">
    <w:name w:val="Hyperlink"/>
    <w:basedOn w:val="DefaultParagraphFont"/>
    <w:uiPriority w:val="99"/>
    <w:unhideWhenUsed/>
    <w:rsid w:val="00BF0FA0"/>
    <w:rPr>
      <w:color w:val="0563C1" w:themeColor="hyperlink"/>
      <w:u w:val="single"/>
    </w:rPr>
  </w:style>
  <w:style w:type="table" w:styleId="TableGrid">
    <w:name w:val="Table Grid"/>
    <w:basedOn w:val="TableNormal"/>
    <w:uiPriority w:val="39"/>
    <w:rsid w:val="00E212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32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8.xml"/><Relationship Id="rId18" Type="http://schemas.openxmlformats.org/officeDocument/2006/relationships/chart" Target="charts/chart13.xml"/><Relationship Id="rId26" Type="http://schemas.openxmlformats.org/officeDocument/2006/relationships/chart" Target="charts/chart21.xml"/><Relationship Id="rId3" Type="http://schemas.openxmlformats.org/officeDocument/2006/relationships/settings" Target="settings.xml"/><Relationship Id="rId21" Type="http://schemas.openxmlformats.org/officeDocument/2006/relationships/chart" Target="charts/chart16.xml"/><Relationship Id="rId34" Type="http://schemas.openxmlformats.org/officeDocument/2006/relationships/theme" Target="theme/theme1.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chart" Target="charts/chart20.xm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chart" Target="charts/chart15.xml"/><Relationship Id="rId29" Type="http://schemas.openxmlformats.org/officeDocument/2006/relationships/chart" Target="charts/chart24.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chart" Target="charts/chart19.xml"/><Relationship Id="rId32" Type="http://schemas.openxmlformats.org/officeDocument/2006/relationships/fontTable" Target="fontTable.xml"/><Relationship Id="rId5" Type="http://schemas.openxmlformats.org/officeDocument/2006/relationships/hyperlink" Target="mailto:dcurran@dutchtest.com" TargetMode="External"/><Relationship Id="rId15" Type="http://schemas.openxmlformats.org/officeDocument/2006/relationships/chart" Target="charts/chart10.xml"/><Relationship Id="rId23" Type="http://schemas.openxmlformats.org/officeDocument/2006/relationships/chart" Target="charts/chart18.xml"/><Relationship Id="rId28" Type="http://schemas.openxmlformats.org/officeDocument/2006/relationships/chart" Target="charts/chart23.xml"/><Relationship Id="rId10" Type="http://schemas.openxmlformats.org/officeDocument/2006/relationships/chart" Target="charts/chart5.xml"/><Relationship Id="rId19" Type="http://schemas.openxmlformats.org/officeDocument/2006/relationships/chart" Target="charts/chart14.xml"/><Relationship Id="rId31" Type="http://schemas.openxmlformats.org/officeDocument/2006/relationships/chart" Target="charts/chart26.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7.xml"/><Relationship Id="rId27" Type="http://schemas.openxmlformats.org/officeDocument/2006/relationships/chart" Target="charts/chart22.xml"/><Relationship Id="rId30" Type="http://schemas.openxmlformats.org/officeDocument/2006/relationships/chart" Target="charts/chart25.xml"/><Relationship Id="rId8"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DUTCHValidationGraphs_liquidvsDry_09012020.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frankraia/Documents/Marie/Marie%20writing/PA_DUTCH%20graph%20files/ValidationGraphs_OATs_09012020.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marie/Documents/Marie/Marie%20writing/PA_DUTCH%20graph%20files/ValidationGraphs_OATs_09012020.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12.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marie/Documents/Marie/Marie%20writing/PA_DUTCH%20graph%20files/ValidationGraphs_OATs_09012020.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3.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marie/Documents/Marie/Marie%20writing/PA_DUTCH%20graph%20files/ValidationGraphs_OATs_09012020.xlsx" TargetMode="Externa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14.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15.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16.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17.xml"/></Relationships>
</file>

<file path=word/charts/_rels/chart18.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chartUserShapes" Target="../drawings/drawing18.xml"/></Relationships>
</file>

<file path=word/charts/_rels/chart19.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oleObject" Target="file:////Users/marie/Documents/Marie/Marie%20writing/DUTCHValidationGraphs_24hvDUTCH_09282020.xlsx" TargetMode="Externa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chartUserShapes" Target="../drawings/drawing2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73397856517935"/>
          <c:y val="4.2795275590551178E-2"/>
          <c:w val="0.7933215769903762"/>
          <c:h val="0.8203409339457568"/>
        </c:manualLayout>
      </c:layout>
      <c:scatterChart>
        <c:scatterStyle val="lineMarker"/>
        <c:varyColors val="0"/>
        <c:ser>
          <c:idx val="0"/>
          <c:order val="0"/>
          <c:tx>
            <c:v>E1</c:v>
          </c:tx>
          <c:spPr>
            <a:ln w="25400" cap="rnd">
              <a:noFill/>
              <a:round/>
            </a:ln>
            <a:effectLst/>
          </c:spPr>
          <c:marker>
            <c:symbol val="circle"/>
            <c:size val="5"/>
            <c:spPr>
              <a:solidFill>
                <a:sysClr val="windowText" lastClr="000000"/>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Sheet1!$N$2:$N$19</c:f>
              <c:numCache>
                <c:formatCode>0.00</c:formatCode>
                <c:ptCount val="18"/>
                <c:pt idx="0">
                  <c:v>3.2348233329111</c:v>
                </c:pt>
                <c:pt idx="1">
                  <c:v>28.750165748000001</c:v>
                </c:pt>
                <c:pt idx="2">
                  <c:v>2.25497319651268</c:v>
                </c:pt>
                <c:pt idx="3">
                  <c:v>34.207715937682799</c:v>
                </c:pt>
                <c:pt idx="4">
                  <c:v>7.6000041313037601</c:v>
                </c:pt>
                <c:pt idx="5">
                  <c:v>6.31677688351167</c:v>
                </c:pt>
                <c:pt idx="6">
                  <c:v>4.1748929431267703</c:v>
                </c:pt>
                <c:pt idx="7">
                  <c:v>23.262765927568399</c:v>
                </c:pt>
                <c:pt idx="8">
                  <c:v>13.708287661983601</c:v>
                </c:pt>
                <c:pt idx="9">
                  <c:v>6.82588103445695</c:v>
                </c:pt>
                <c:pt idx="10">
                  <c:v>6.2589750681700096</c:v>
                </c:pt>
                <c:pt idx="11">
                  <c:v>4.7911533513190099</c:v>
                </c:pt>
                <c:pt idx="12">
                  <c:v>13.7613992146199</c:v>
                </c:pt>
                <c:pt idx="13">
                  <c:v>19.8440530351888</c:v>
                </c:pt>
                <c:pt idx="14">
                  <c:v>7.8556814598243001</c:v>
                </c:pt>
                <c:pt idx="15">
                  <c:v>13.984438968061699</c:v>
                </c:pt>
                <c:pt idx="16">
                  <c:v>18.729077329249801</c:v>
                </c:pt>
                <c:pt idx="17">
                  <c:v>16.722607325045502</c:v>
                </c:pt>
              </c:numCache>
            </c:numRef>
          </c:xVal>
          <c:yVal>
            <c:numRef>
              <c:f>Sheet1!$AG$2:$AG$19</c:f>
              <c:numCache>
                <c:formatCode>0.00</c:formatCode>
                <c:ptCount val="18"/>
                <c:pt idx="0">
                  <c:v>5.5749192425599601</c:v>
                </c:pt>
                <c:pt idx="1">
                  <c:v>29.959866808087899</c:v>
                </c:pt>
                <c:pt idx="2">
                  <c:v>2.3060305666435199</c:v>
                </c:pt>
                <c:pt idx="3">
                  <c:v>39.112420017902302</c:v>
                </c:pt>
                <c:pt idx="4">
                  <c:v>7.3005634952492002</c:v>
                </c:pt>
                <c:pt idx="5">
                  <c:v>7.3494986396611601</c:v>
                </c:pt>
                <c:pt idx="6">
                  <c:v>12.960383223954301</c:v>
                </c:pt>
                <c:pt idx="7">
                  <c:v>25.6441294990782</c:v>
                </c:pt>
                <c:pt idx="8">
                  <c:v>12.5951920670996</c:v>
                </c:pt>
                <c:pt idx="9">
                  <c:v>7.9622731505718596</c:v>
                </c:pt>
                <c:pt idx="10">
                  <c:v>6.5900343577709597</c:v>
                </c:pt>
                <c:pt idx="11">
                  <c:v>4.49723226119269</c:v>
                </c:pt>
                <c:pt idx="12">
                  <c:v>13.3092544131084</c:v>
                </c:pt>
                <c:pt idx="13">
                  <c:v>22.0209709183003</c:v>
                </c:pt>
                <c:pt idx="14">
                  <c:v>7.2166082504260398</c:v>
                </c:pt>
                <c:pt idx="15">
                  <c:v>14.1209821809716</c:v>
                </c:pt>
                <c:pt idx="16">
                  <c:v>20.647830401074401</c:v>
                </c:pt>
                <c:pt idx="17">
                  <c:v>16.194139056778202</c:v>
                </c:pt>
              </c:numCache>
            </c:numRef>
          </c:yVal>
          <c:smooth val="0"/>
          <c:extLst>
            <c:ext xmlns:c16="http://schemas.microsoft.com/office/drawing/2014/chart" uri="{C3380CC4-5D6E-409C-BE32-E72D297353CC}">
              <c16:uniqueId val="{00000001-7A54-724F-9645-EAD80D5EF90B}"/>
            </c:ext>
          </c:extLst>
        </c:ser>
        <c:dLbls>
          <c:showLegendKey val="0"/>
          <c:showVal val="0"/>
          <c:showCatName val="0"/>
          <c:showSerName val="0"/>
          <c:showPercent val="0"/>
          <c:showBubbleSize val="0"/>
        </c:dLbls>
        <c:axId val="512053768"/>
        <c:axId val="512052592"/>
      </c:scatterChart>
      <c:valAx>
        <c:axId val="512053768"/>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Estrone Dried Urine (ug/d)</a:t>
                </a:r>
              </a:p>
            </c:rich>
          </c:tx>
          <c:layout>
            <c:manualLayout>
              <c:xMode val="edge"/>
              <c:yMode val="edge"/>
              <c:x val="0.29146407480314962"/>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52592"/>
        <c:crosses val="autoZero"/>
        <c:crossBetween val="midCat"/>
        <c:majorUnit val="5"/>
      </c:valAx>
      <c:valAx>
        <c:axId val="512052592"/>
        <c:scaling>
          <c:orientation val="minMax"/>
          <c:max val="4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Estrone</a:t>
                </a:r>
                <a:r>
                  <a:rPr lang="en-US" baseline="0"/>
                  <a:t> </a:t>
                </a:r>
                <a:r>
                  <a:rPr lang="en-US"/>
                  <a:t>Liquid Urine (ug/d)</a:t>
                </a:r>
              </a:p>
            </c:rich>
          </c:tx>
          <c:layout>
            <c:manualLayout>
              <c:xMode val="edge"/>
              <c:yMode val="edge"/>
              <c:x val="6.9444444444444441E-3"/>
              <c:y val="0.1490335192475940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537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37286745406825"/>
          <c:y val="4.2795275590551178E-2"/>
          <c:w val="0.7933215769903762"/>
          <c:h val="0.82728537839020122"/>
        </c:manualLayout>
      </c:layout>
      <c:scatterChart>
        <c:scatterStyle val="lineMarker"/>
        <c:varyColors val="0"/>
        <c:ser>
          <c:idx val="0"/>
          <c:order val="0"/>
          <c:tx>
            <c:v>E3</c:v>
          </c:tx>
          <c:spPr>
            <a:ln w="25400" cap="rnd">
              <a:noFill/>
              <a:round/>
            </a:ln>
            <a:effectLst/>
          </c:spPr>
          <c:marker>
            <c:symbol val="circle"/>
            <c:size val="5"/>
            <c:spPr>
              <a:solidFill>
                <a:sysClr val="windowText" lastClr="000000"/>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Sheet1!$P$2:$P$19</c:f>
              <c:numCache>
                <c:formatCode>0.00</c:formatCode>
                <c:ptCount val="18"/>
                <c:pt idx="0">
                  <c:v>6.9052315334694798</c:v>
                </c:pt>
                <c:pt idx="1">
                  <c:v>12.8000892412268</c:v>
                </c:pt>
                <c:pt idx="2">
                  <c:v>1.45146640560081</c:v>
                </c:pt>
                <c:pt idx="3">
                  <c:v>18.188734407850902</c:v>
                </c:pt>
                <c:pt idx="4">
                  <c:v>5.5602686997953601</c:v>
                </c:pt>
                <c:pt idx="5">
                  <c:v>3.4459955792271502</c:v>
                </c:pt>
                <c:pt idx="6">
                  <c:v>2.15126483253262</c:v>
                </c:pt>
                <c:pt idx="7">
                  <c:v>10.6363643532873</c:v>
                </c:pt>
                <c:pt idx="8">
                  <c:v>6.7305848278538098</c:v>
                </c:pt>
                <c:pt idx="9">
                  <c:v>1.60778706686093</c:v>
                </c:pt>
                <c:pt idx="10">
                  <c:v>3.5740852819537801</c:v>
                </c:pt>
                <c:pt idx="11">
                  <c:v>8.8600780077671395</c:v>
                </c:pt>
                <c:pt idx="12">
                  <c:v>5.8468825858061697</c:v>
                </c:pt>
                <c:pt idx="13">
                  <c:v>31.1500448279218</c:v>
                </c:pt>
                <c:pt idx="14">
                  <c:v>2.8790309410174499</c:v>
                </c:pt>
                <c:pt idx="15">
                  <c:v>7.6831435834384303</c:v>
                </c:pt>
                <c:pt idx="16">
                  <c:v>11.644862727082099</c:v>
                </c:pt>
                <c:pt idx="17">
                  <c:v>16.554007681526599</c:v>
                </c:pt>
              </c:numCache>
            </c:numRef>
          </c:xVal>
          <c:yVal>
            <c:numRef>
              <c:f>Sheet1!$AI$2:$AI$19</c:f>
              <c:numCache>
                <c:formatCode>0.00</c:formatCode>
                <c:ptCount val="18"/>
                <c:pt idx="0">
                  <c:v>7.3241051633439804</c:v>
                </c:pt>
                <c:pt idx="1">
                  <c:v>14.6135019578506</c:v>
                </c:pt>
                <c:pt idx="2">
                  <c:v>1.7644932823923301</c:v>
                </c:pt>
                <c:pt idx="3">
                  <c:v>16.092831361999</c:v>
                </c:pt>
                <c:pt idx="4">
                  <c:v>5.7620224394798196</c:v>
                </c:pt>
                <c:pt idx="5">
                  <c:v>3.2173458503124999</c:v>
                </c:pt>
                <c:pt idx="6">
                  <c:v>6.9714826040493003</c:v>
                </c:pt>
                <c:pt idx="7">
                  <c:v>14.409229957591</c:v>
                </c:pt>
                <c:pt idx="8">
                  <c:v>6.4871707785593102</c:v>
                </c:pt>
                <c:pt idx="9">
                  <c:v>2.89572250899479</c:v>
                </c:pt>
                <c:pt idx="10">
                  <c:v>5.8610300241536804</c:v>
                </c:pt>
                <c:pt idx="11">
                  <c:v>9.05380822967809</c:v>
                </c:pt>
                <c:pt idx="12">
                  <c:v>4.7553132002666398</c:v>
                </c:pt>
                <c:pt idx="13">
                  <c:v>31.4894373750748</c:v>
                </c:pt>
                <c:pt idx="14">
                  <c:v>3.73808259022982</c:v>
                </c:pt>
                <c:pt idx="15">
                  <c:v>7.6436116540926404</c:v>
                </c:pt>
                <c:pt idx="16">
                  <c:v>13.097710144551201</c:v>
                </c:pt>
                <c:pt idx="17">
                  <c:v>17.9766751099773</c:v>
                </c:pt>
              </c:numCache>
            </c:numRef>
          </c:yVal>
          <c:smooth val="0"/>
          <c:extLst>
            <c:ext xmlns:c16="http://schemas.microsoft.com/office/drawing/2014/chart" uri="{C3380CC4-5D6E-409C-BE32-E72D297353CC}">
              <c16:uniqueId val="{00000001-A31D-244D-870E-EF89DDE6807D}"/>
            </c:ext>
          </c:extLst>
        </c:ser>
        <c:dLbls>
          <c:showLegendKey val="0"/>
          <c:showVal val="0"/>
          <c:showCatName val="0"/>
          <c:showSerName val="0"/>
          <c:showPercent val="0"/>
          <c:showBubbleSize val="0"/>
        </c:dLbls>
        <c:axId val="548419112"/>
        <c:axId val="548417544"/>
      </c:scatterChart>
      <c:valAx>
        <c:axId val="548419112"/>
        <c:scaling>
          <c:orientation val="minMax"/>
          <c:max val="35"/>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Estriol Dried Urine (ug/d)</a:t>
                </a:r>
              </a:p>
            </c:rich>
          </c:tx>
          <c:layout>
            <c:manualLayout>
              <c:xMode val="edge"/>
              <c:yMode val="edge"/>
              <c:x val="0.30287046150481189"/>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48417544"/>
        <c:crosses val="autoZero"/>
        <c:crossBetween val="midCat"/>
        <c:majorUnit val="5"/>
      </c:valAx>
      <c:valAx>
        <c:axId val="54841754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Estriol Liquid Urine (ug/d)</a:t>
                </a:r>
              </a:p>
            </c:rich>
          </c:tx>
          <c:layout>
            <c:manualLayout>
              <c:xMode val="edge"/>
              <c:yMode val="edge"/>
              <c:x val="3.472222222222222E-3"/>
              <c:y val="0.1604396325459317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484191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78258967629045"/>
          <c:y val="4.2795275590551178E-2"/>
          <c:w val="0.7636515748031496"/>
          <c:h val="0.81339648950131238"/>
        </c:manualLayout>
      </c:layout>
      <c:scatterChart>
        <c:scatterStyle val="lineMarker"/>
        <c:varyColors val="0"/>
        <c:ser>
          <c:idx val="0"/>
          <c:order val="0"/>
          <c:tx>
            <c:v>2OHe2</c:v>
          </c:tx>
          <c:spPr>
            <a:ln w="19050" cap="rnd">
              <a:noFill/>
              <a:round/>
            </a:ln>
            <a:effectLst/>
          </c:spPr>
          <c:marker>
            <c:symbol val="circle"/>
            <c:size val="5"/>
            <c:spPr>
              <a:solidFill>
                <a:sysClr val="windowText" lastClr="000000"/>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Sheet1!$U$2:$U$19</c:f>
              <c:numCache>
                <c:formatCode>0.00</c:formatCode>
                <c:ptCount val="18"/>
                <c:pt idx="0">
                  <c:v>0.10730996842966101</c:v>
                </c:pt>
                <c:pt idx="1">
                  <c:v>0.98950263469414701</c:v>
                </c:pt>
                <c:pt idx="2">
                  <c:v>5.81754223586863E-2</c:v>
                </c:pt>
                <c:pt idx="3">
                  <c:v>0.31779620110593698</c:v>
                </c:pt>
                <c:pt idx="4">
                  <c:v>0.18991692048115599</c:v>
                </c:pt>
                <c:pt idx="5">
                  <c:v>0.25507683657769398</c:v>
                </c:pt>
                <c:pt idx="6">
                  <c:v>3.1698769510701302E-2</c:v>
                </c:pt>
                <c:pt idx="7">
                  <c:v>0.578252480090652</c:v>
                </c:pt>
                <c:pt idx="8">
                  <c:v>0.17917217010236899</c:v>
                </c:pt>
                <c:pt idx="9">
                  <c:v>6.1512927914804102E-2</c:v>
                </c:pt>
                <c:pt idx="10">
                  <c:v>0.134300801096505</c:v>
                </c:pt>
                <c:pt idx="11">
                  <c:v>5.9598775088906597E-2</c:v>
                </c:pt>
                <c:pt idx="12">
                  <c:v>0.22825994638208599</c:v>
                </c:pt>
                <c:pt idx="13">
                  <c:v>0.66905278172734295</c:v>
                </c:pt>
                <c:pt idx="14">
                  <c:v>8.7883202142695099E-2</c:v>
                </c:pt>
                <c:pt idx="15">
                  <c:v>0.12613821909248399</c:v>
                </c:pt>
                <c:pt idx="16">
                  <c:v>0.81284184679076299</c:v>
                </c:pt>
                <c:pt idx="17">
                  <c:v>0.71666570407143404</c:v>
                </c:pt>
              </c:numCache>
            </c:numRef>
          </c:xVal>
          <c:yVal>
            <c:numRef>
              <c:f>Sheet1!$AN$2:$AN$19</c:f>
              <c:numCache>
                <c:formatCode>0.00</c:formatCode>
                <c:ptCount val="18"/>
                <c:pt idx="0">
                  <c:v>0.18707018450479099</c:v>
                </c:pt>
                <c:pt idx="1">
                  <c:v>1.0835285061328099</c:v>
                </c:pt>
                <c:pt idx="2">
                  <c:v>7.9289116248260003E-2</c:v>
                </c:pt>
                <c:pt idx="3">
                  <c:v>0.38734306988888001</c:v>
                </c:pt>
                <c:pt idx="4">
                  <c:v>0.17813735415316601</c:v>
                </c:pt>
                <c:pt idx="5">
                  <c:v>0.27706701134635298</c:v>
                </c:pt>
                <c:pt idx="6">
                  <c:v>6.6043463050837498E-2</c:v>
                </c:pt>
                <c:pt idx="7">
                  <c:v>0.46762981894479999</c:v>
                </c:pt>
                <c:pt idx="8">
                  <c:v>0.158530996808911</c:v>
                </c:pt>
                <c:pt idx="9">
                  <c:v>7.2192718524822702E-2</c:v>
                </c:pt>
                <c:pt idx="10">
                  <c:v>0.115410458173773</c:v>
                </c:pt>
                <c:pt idx="11">
                  <c:v>4.8370107291309798E-2</c:v>
                </c:pt>
                <c:pt idx="12">
                  <c:v>0.19962662895088701</c:v>
                </c:pt>
                <c:pt idx="13">
                  <c:v>0.64117606756946899</c:v>
                </c:pt>
                <c:pt idx="14">
                  <c:v>7.5937642025674698E-2</c:v>
                </c:pt>
                <c:pt idx="15">
                  <c:v>0.111407574884966</c:v>
                </c:pt>
                <c:pt idx="16">
                  <c:v>0.80372508503738505</c:v>
                </c:pt>
                <c:pt idx="17">
                  <c:v>0.71877952775462195</c:v>
                </c:pt>
              </c:numCache>
            </c:numRef>
          </c:yVal>
          <c:smooth val="0"/>
          <c:extLst>
            <c:ext xmlns:c16="http://schemas.microsoft.com/office/drawing/2014/chart" uri="{C3380CC4-5D6E-409C-BE32-E72D297353CC}">
              <c16:uniqueId val="{00000001-A19A-B243-B63C-41A2AC6EFC19}"/>
            </c:ext>
          </c:extLst>
        </c:ser>
        <c:dLbls>
          <c:showLegendKey val="0"/>
          <c:showVal val="0"/>
          <c:showCatName val="0"/>
          <c:showSerName val="0"/>
          <c:showPercent val="0"/>
          <c:showBubbleSize val="0"/>
        </c:dLbls>
        <c:axId val="548410488"/>
        <c:axId val="548408528"/>
      </c:scatterChart>
      <c:valAx>
        <c:axId val="548410488"/>
        <c:scaling>
          <c:orientation val="minMax"/>
          <c:max val="1.2"/>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2-OH-Estradiol Dried Urine (ug/d)</a:t>
                </a:r>
              </a:p>
            </c:rich>
          </c:tx>
          <c:layout>
            <c:manualLayout>
              <c:xMode val="edge"/>
              <c:yMode val="edge"/>
              <c:x val="0.2349103237095363"/>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48408528"/>
        <c:crosses val="autoZero"/>
        <c:crossBetween val="midCat"/>
        <c:majorUnit val="0.2"/>
      </c:valAx>
      <c:valAx>
        <c:axId val="548408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2-OH-Estradiol Liquid Urine (ug/d)</a:t>
                </a:r>
              </a:p>
            </c:rich>
          </c:tx>
          <c:layout>
            <c:manualLayout>
              <c:xMode val="edge"/>
              <c:yMode val="edge"/>
              <c:x val="1.0416666666666666E-2"/>
              <c:y val="9.8035050306211721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484104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78258967629045"/>
          <c:y val="4.2795275590551178E-2"/>
          <c:w val="0.78101268591426076"/>
          <c:h val="0.81339648950131238"/>
        </c:manualLayout>
      </c:layout>
      <c:scatterChart>
        <c:scatterStyle val="lineMarker"/>
        <c:varyColors val="0"/>
        <c:ser>
          <c:idx val="0"/>
          <c:order val="0"/>
          <c:tx>
            <c:v>4OHE1</c:v>
          </c:tx>
          <c:spPr>
            <a:ln w="25400" cap="rnd">
              <a:noFill/>
              <a:round/>
            </a:ln>
            <a:effectLst/>
          </c:spPr>
          <c:marker>
            <c:symbol val="circle"/>
            <c:size val="5"/>
            <c:spPr>
              <a:solidFill>
                <a:schemeClr val="tx1"/>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Sheet1!$R$2:$R$19</c:f>
              <c:numCache>
                <c:formatCode>0.00</c:formatCode>
                <c:ptCount val="18"/>
                <c:pt idx="0">
                  <c:v>0.14395921233664</c:v>
                </c:pt>
                <c:pt idx="1">
                  <c:v>1.2385602418281501</c:v>
                </c:pt>
                <c:pt idx="2">
                  <c:v>0.12339540684603</c:v>
                </c:pt>
                <c:pt idx="3">
                  <c:v>0.5049888068017</c:v>
                </c:pt>
                <c:pt idx="4">
                  <c:v>0.16414805178255201</c:v>
                </c:pt>
                <c:pt idx="5">
                  <c:v>0.25874025137494999</c:v>
                </c:pt>
                <c:pt idx="6">
                  <c:v>0.14988455613964699</c:v>
                </c:pt>
                <c:pt idx="7">
                  <c:v>0.98841143659112995</c:v>
                </c:pt>
                <c:pt idx="8">
                  <c:v>0.38898499835973699</c:v>
                </c:pt>
                <c:pt idx="9">
                  <c:v>0.133949774551061</c:v>
                </c:pt>
                <c:pt idx="10">
                  <c:v>0.30254751361605298</c:v>
                </c:pt>
                <c:pt idx="11">
                  <c:v>0.192252713512298</c:v>
                </c:pt>
                <c:pt idx="12">
                  <c:v>0.32299065663533</c:v>
                </c:pt>
                <c:pt idx="13">
                  <c:v>0.98135983189222298</c:v>
                </c:pt>
                <c:pt idx="14">
                  <c:v>0.30375905731505298</c:v>
                </c:pt>
                <c:pt idx="15">
                  <c:v>0.35999963570863502</c:v>
                </c:pt>
                <c:pt idx="16">
                  <c:v>1.0553559419283101</c:v>
                </c:pt>
                <c:pt idx="17">
                  <c:v>0.67432891940903605</c:v>
                </c:pt>
              </c:numCache>
            </c:numRef>
          </c:xVal>
          <c:yVal>
            <c:numRef>
              <c:f>Sheet1!$AK$2:$AK$19</c:f>
              <c:numCache>
                <c:formatCode>0.00</c:formatCode>
                <c:ptCount val="18"/>
                <c:pt idx="0">
                  <c:v>0.214854450181271</c:v>
                </c:pt>
                <c:pt idx="1">
                  <c:v>1.24408480695077</c:v>
                </c:pt>
                <c:pt idx="2">
                  <c:v>0.137343154363672</c:v>
                </c:pt>
                <c:pt idx="3">
                  <c:v>0.60677719528680096</c:v>
                </c:pt>
                <c:pt idx="4">
                  <c:v>0.34256209142402799</c:v>
                </c:pt>
                <c:pt idx="5">
                  <c:v>0.28118288841453498</c:v>
                </c:pt>
                <c:pt idx="6">
                  <c:v>0.52218772589348095</c:v>
                </c:pt>
                <c:pt idx="7">
                  <c:v>0.83032257387116704</c:v>
                </c:pt>
                <c:pt idx="8">
                  <c:v>0.45089697979172999</c:v>
                </c:pt>
                <c:pt idx="9">
                  <c:v>0.12877061271024501</c:v>
                </c:pt>
                <c:pt idx="10">
                  <c:v>0.29514690629846502</c:v>
                </c:pt>
                <c:pt idx="11">
                  <c:v>0.16270618960080499</c:v>
                </c:pt>
                <c:pt idx="12">
                  <c:v>0.245671993403549</c:v>
                </c:pt>
                <c:pt idx="13">
                  <c:v>1.05855022623721</c:v>
                </c:pt>
                <c:pt idx="14">
                  <c:v>0.27434826907804299</c:v>
                </c:pt>
                <c:pt idx="15">
                  <c:v>0.451737392785036</c:v>
                </c:pt>
                <c:pt idx="16">
                  <c:v>0.99786471119179099</c:v>
                </c:pt>
                <c:pt idx="17">
                  <c:v>0.62409712086011504</c:v>
                </c:pt>
              </c:numCache>
            </c:numRef>
          </c:yVal>
          <c:smooth val="0"/>
          <c:extLst>
            <c:ext xmlns:c16="http://schemas.microsoft.com/office/drawing/2014/chart" uri="{C3380CC4-5D6E-409C-BE32-E72D297353CC}">
              <c16:uniqueId val="{00000001-88AF-AF4A-8F06-E9BFBEE2E6AD}"/>
            </c:ext>
          </c:extLst>
        </c:ser>
        <c:dLbls>
          <c:showLegendKey val="0"/>
          <c:showVal val="0"/>
          <c:showCatName val="0"/>
          <c:showSerName val="0"/>
          <c:showPercent val="0"/>
          <c:showBubbleSize val="0"/>
        </c:dLbls>
        <c:axId val="512046320"/>
        <c:axId val="512049064"/>
      </c:scatterChart>
      <c:valAx>
        <c:axId val="512046320"/>
        <c:scaling>
          <c:orientation val="minMax"/>
          <c:max val="1.4"/>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4-OH-Estrone Dried Urine (ug/d)</a:t>
                </a:r>
              </a:p>
            </c:rich>
          </c:tx>
          <c:layout>
            <c:manualLayout>
              <c:xMode val="edge"/>
              <c:yMode val="edge"/>
              <c:x val="0.24400754593175852"/>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49064"/>
        <c:crosses val="autoZero"/>
        <c:crossBetween val="midCat"/>
        <c:majorUnit val="0.2"/>
      </c:valAx>
      <c:valAx>
        <c:axId val="51204906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4-OH-Estrone Liquid Urine (ug/d)</a:t>
                </a:r>
              </a:p>
            </c:rich>
          </c:tx>
          <c:layout>
            <c:manualLayout>
              <c:xMode val="edge"/>
              <c:yMode val="edge"/>
              <c:x val="0"/>
              <c:y val="9.8946576990376206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463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84508967629046"/>
          <c:y val="4.2795275590551178E-2"/>
          <c:w val="0.78984935476815399"/>
          <c:h val="0.8203409339457568"/>
        </c:manualLayout>
      </c:layout>
      <c:scatterChart>
        <c:scatterStyle val="lineMarker"/>
        <c:varyColors val="0"/>
        <c:ser>
          <c:idx val="0"/>
          <c:order val="0"/>
          <c:tx>
            <c:v>2methoxyE1</c:v>
          </c:tx>
          <c:spPr>
            <a:ln w="25400" cap="rnd">
              <a:noFill/>
              <a:round/>
            </a:ln>
            <a:effectLst/>
          </c:spPr>
          <c:marker>
            <c:symbol val="circle"/>
            <c:size val="5"/>
            <c:spPr>
              <a:solidFill>
                <a:schemeClr val="tx1"/>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Sheet1!$T$2:$T$19</c:f>
              <c:numCache>
                <c:formatCode>0.00</c:formatCode>
                <c:ptCount val="18"/>
                <c:pt idx="0">
                  <c:v>0.98956511706059203</c:v>
                </c:pt>
                <c:pt idx="1">
                  <c:v>5.4999585741454897</c:v>
                </c:pt>
                <c:pt idx="2">
                  <c:v>0.331398256542284</c:v>
                </c:pt>
                <c:pt idx="3">
                  <c:v>3.5634813016654001</c:v>
                </c:pt>
                <c:pt idx="4">
                  <c:v>1.63037046024615</c:v>
                </c:pt>
                <c:pt idx="5">
                  <c:v>1.0144019150861601</c:v>
                </c:pt>
                <c:pt idx="6">
                  <c:v>1.04767180882435</c:v>
                </c:pt>
                <c:pt idx="7">
                  <c:v>7.5580222705294604</c:v>
                </c:pt>
                <c:pt idx="8">
                  <c:v>1.5481523299819899</c:v>
                </c:pt>
                <c:pt idx="9">
                  <c:v>1.3776323308406</c:v>
                </c:pt>
                <c:pt idx="10">
                  <c:v>1.2985351458438601</c:v>
                </c:pt>
                <c:pt idx="11">
                  <c:v>0.34712675586092301</c:v>
                </c:pt>
                <c:pt idx="12">
                  <c:v>1.6545376966827801</c:v>
                </c:pt>
                <c:pt idx="13">
                  <c:v>10.6176841913279</c:v>
                </c:pt>
                <c:pt idx="14">
                  <c:v>2.3456481093262198</c:v>
                </c:pt>
                <c:pt idx="15">
                  <c:v>2.44777901060765</c:v>
                </c:pt>
                <c:pt idx="16">
                  <c:v>5.1656037664606798</c:v>
                </c:pt>
                <c:pt idx="17">
                  <c:v>3.1378726330123698</c:v>
                </c:pt>
              </c:numCache>
            </c:numRef>
          </c:xVal>
          <c:yVal>
            <c:numRef>
              <c:f>Sheet1!$AM$2:$AM$19</c:f>
              <c:numCache>
                <c:formatCode>0.00</c:formatCode>
                <c:ptCount val="18"/>
                <c:pt idx="0">
                  <c:v>1.65011840537308</c:v>
                </c:pt>
                <c:pt idx="1">
                  <c:v>6.18738630953015</c:v>
                </c:pt>
                <c:pt idx="2">
                  <c:v>0.25817169325320299</c:v>
                </c:pt>
                <c:pt idx="3">
                  <c:v>3.57854418186432</c:v>
                </c:pt>
                <c:pt idx="4">
                  <c:v>1.4968600714298801</c:v>
                </c:pt>
                <c:pt idx="5">
                  <c:v>1.1253639835800899</c:v>
                </c:pt>
                <c:pt idx="6">
                  <c:v>1.7419209234728901</c:v>
                </c:pt>
                <c:pt idx="7">
                  <c:v>8.1830760911211708</c:v>
                </c:pt>
                <c:pt idx="8">
                  <c:v>1.52081327519813</c:v>
                </c:pt>
                <c:pt idx="9">
                  <c:v>1.5460120034911999</c:v>
                </c:pt>
                <c:pt idx="10">
                  <c:v>1.6201767531503799</c:v>
                </c:pt>
                <c:pt idx="11">
                  <c:v>0.42669301006889898</c:v>
                </c:pt>
                <c:pt idx="12">
                  <c:v>1.44116188608466</c:v>
                </c:pt>
                <c:pt idx="13">
                  <c:v>10.8595874293121</c:v>
                </c:pt>
                <c:pt idx="14">
                  <c:v>1.95777641127774</c:v>
                </c:pt>
                <c:pt idx="15">
                  <c:v>2.64923930046786</c:v>
                </c:pt>
                <c:pt idx="16">
                  <c:v>4.7389957425737403</c:v>
                </c:pt>
                <c:pt idx="17">
                  <c:v>2.6919906888977101</c:v>
                </c:pt>
              </c:numCache>
            </c:numRef>
          </c:yVal>
          <c:smooth val="0"/>
          <c:extLst>
            <c:ext xmlns:c16="http://schemas.microsoft.com/office/drawing/2014/chart" uri="{C3380CC4-5D6E-409C-BE32-E72D297353CC}">
              <c16:uniqueId val="{00000001-DB17-DF47-9D4E-81820E883D5F}"/>
            </c:ext>
          </c:extLst>
        </c:ser>
        <c:dLbls>
          <c:showLegendKey val="0"/>
          <c:showVal val="0"/>
          <c:showCatName val="0"/>
          <c:showSerName val="0"/>
          <c:showPercent val="0"/>
          <c:showBubbleSize val="0"/>
        </c:dLbls>
        <c:axId val="512048672"/>
        <c:axId val="512040832"/>
      </c:scatterChart>
      <c:valAx>
        <c:axId val="512048672"/>
        <c:scaling>
          <c:orientation val="minMax"/>
          <c:max val="12"/>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2-Methoxyestrone Dried Urine (ug/d)</a:t>
                </a:r>
              </a:p>
            </c:rich>
          </c:tx>
          <c:layout>
            <c:manualLayout>
              <c:xMode val="edge"/>
              <c:yMode val="edge"/>
              <c:x val="0.19476268591426071"/>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40832"/>
        <c:crosses val="autoZero"/>
        <c:crossBetween val="midCat"/>
        <c:majorUnit val="2"/>
      </c:valAx>
      <c:valAx>
        <c:axId val="51204083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2-Methoxyestrone</a:t>
                </a:r>
                <a:r>
                  <a:rPr lang="en-US" baseline="0"/>
                  <a:t> </a:t>
                </a:r>
                <a:r>
                  <a:rPr lang="en-US"/>
                  <a:t>Liquid Urine (ug/d)</a:t>
                </a:r>
              </a:p>
            </c:rich>
          </c:tx>
          <c:layout>
            <c:manualLayout>
              <c:xMode val="edge"/>
              <c:yMode val="edge"/>
              <c:x val="6.9444444444444441E-3"/>
              <c:y val="5.233213035870516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486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7895341207349"/>
          <c:y val="4.2795275590551178E-2"/>
          <c:w val="0.78290491032370957"/>
          <c:h val="0.80992426727909006"/>
        </c:manualLayout>
      </c:layout>
      <c:scatterChart>
        <c:scatterStyle val="lineMarker"/>
        <c:varyColors val="0"/>
        <c:ser>
          <c:idx val="0"/>
          <c:order val="0"/>
          <c:tx>
            <c:v>DHT</c:v>
          </c:tx>
          <c:spPr>
            <a:ln w="25400" cap="rnd">
              <a:noFill/>
              <a:round/>
            </a:ln>
            <a:effectLst/>
          </c:spPr>
          <c:marker>
            <c:symbol val="circle"/>
            <c:size val="5"/>
            <c:spPr>
              <a:solidFill>
                <a:sysClr val="windowText" lastClr="000000"/>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Sheet1!$J$2:$J$19</c:f>
              <c:numCache>
                <c:formatCode>0.00</c:formatCode>
                <c:ptCount val="18"/>
                <c:pt idx="0">
                  <c:v>10.307017753193</c:v>
                </c:pt>
                <c:pt idx="1">
                  <c:v>6.5333965603450599</c:v>
                </c:pt>
                <c:pt idx="2">
                  <c:v>1.37882318563971</c:v>
                </c:pt>
                <c:pt idx="3">
                  <c:v>4.4686022774078404</c:v>
                </c:pt>
                <c:pt idx="4">
                  <c:v>17.467827881681401</c:v>
                </c:pt>
                <c:pt idx="5">
                  <c:v>12.6049560771821</c:v>
                </c:pt>
                <c:pt idx="6">
                  <c:v>2.91856099929293</c:v>
                </c:pt>
                <c:pt idx="7">
                  <c:v>1.3260018449331901</c:v>
                </c:pt>
                <c:pt idx="8">
                  <c:v>2.7176884742126699</c:v>
                </c:pt>
                <c:pt idx="9">
                  <c:v>5.60385998122928</c:v>
                </c:pt>
                <c:pt idx="10">
                  <c:v>11.592925047166201</c:v>
                </c:pt>
                <c:pt idx="11">
                  <c:v>1.7806910838513399</c:v>
                </c:pt>
                <c:pt idx="12">
                  <c:v>21.315722643194501</c:v>
                </c:pt>
                <c:pt idx="13">
                  <c:v>0.76922091662509895</c:v>
                </c:pt>
                <c:pt idx="14">
                  <c:v>9.8763104746181405</c:v>
                </c:pt>
                <c:pt idx="15">
                  <c:v>15.8624452177589</c:v>
                </c:pt>
                <c:pt idx="16">
                  <c:v>5.4642086654668596</c:v>
                </c:pt>
                <c:pt idx="17">
                  <c:v>4.59945860220187</c:v>
                </c:pt>
              </c:numCache>
            </c:numRef>
          </c:xVal>
          <c:yVal>
            <c:numRef>
              <c:f>Sheet1!$AC$2:$AC$19</c:f>
              <c:numCache>
                <c:formatCode>0.00</c:formatCode>
                <c:ptCount val="18"/>
                <c:pt idx="0">
                  <c:v>9.8644983766294203</c:v>
                </c:pt>
                <c:pt idx="1">
                  <c:v>5.8091322975691497</c:v>
                </c:pt>
                <c:pt idx="2">
                  <c:v>1.41348779450827</c:v>
                </c:pt>
                <c:pt idx="3">
                  <c:v>3.36731938692337</c:v>
                </c:pt>
                <c:pt idx="4">
                  <c:v>14.244125729910399</c:v>
                </c:pt>
                <c:pt idx="5">
                  <c:v>12.0539009642832</c:v>
                </c:pt>
                <c:pt idx="6">
                  <c:v>2.9928829751242598</c:v>
                </c:pt>
                <c:pt idx="7">
                  <c:v>1.7248268388908401</c:v>
                </c:pt>
                <c:pt idx="8">
                  <c:v>2.6804783565355801</c:v>
                </c:pt>
                <c:pt idx="9">
                  <c:v>4.8253049999437998</c:v>
                </c:pt>
                <c:pt idx="10">
                  <c:v>10.3475486319581</c:v>
                </c:pt>
                <c:pt idx="11">
                  <c:v>1.6433443898097999</c:v>
                </c:pt>
                <c:pt idx="12">
                  <c:v>20.4573532210838</c:v>
                </c:pt>
                <c:pt idx="13">
                  <c:v>0.893730703441596</c:v>
                </c:pt>
                <c:pt idx="14">
                  <c:v>8.3749459047372596</c:v>
                </c:pt>
                <c:pt idx="15">
                  <c:v>15.8937265007196</c:v>
                </c:pt>
                <c:pt idx="16">
                  <c:v>5.0567051782151804</c:v>
                </c:pt>
                <c:pt idx="17">
                  <c:v>4.0317891982593004</c:v>
                </c:pt>
              </c:numCache>
            </c:numRef>
          </c:yVal>
          <c:smooth val="0"/>
          <c:extLst>
            <c:ext xmlns:c16="http://schemas.microsoft.com/office/drawing/2014/chart" uri="{C3380CC4-5D6E-409C-BE32-E72D297353CC}">
              <c16:uniqueId val="{00000001-CF23-804E-A4C7-7CF653B5C0BA}"/>
            </c:ext>
          </c:extLst>
        </c:ser>
        <c:dLbls>
          <c:showLegendKey val="0"/>
          <c:showVal val="0"/>
          <c:showCatName val="0"/>
          <c:showSerName val="0"/>
          <c:showPercent val="0"/>
          <c:showBubbleSize val="0"/>
        </c:dLbls>
        <c:axId val="512048280"/>
        <c:axId val="512042400"/>
      </c:scatterChart>
      <c:valAx>
        <c:axId val="512048280"/>
        <c:scaling>
          <c:orientation val="minMax"/>
          <c:max val="22"/>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Dihydrotestosterone</a:t>
                </a:r>
                <a:r>
                  <a:rPr lang="en-US" baseline="0"/>
                  <a:t> </a:t>
                </a:r>
                <a:r>
                  <a:rPr lang="en-US"/>
                  <a:t>Dried Urine (ug/d)</a:t>
                </a:r>
              </a:p>
            </c:rich>
          </c:tx>
          <c:layout>
            <c:manualLayout>
              <c:xMode val="edge"/>
              <c:yMode val="edge"/>
              <c:x val="0.18556731189851269"/>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42400"/>
        <c:crosses val="autoZero"/>
        <c:crossBetween val="midCat"/>
        <c:majorUnit val="5"/>
      </c:valAx>
      <c:valAx>
        <c:axId val="512042400"/>
        <c:scaling>
          <c:orientation val="minMax"/>
          <c:max val="2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Dihydrotestosterone</a:t>
                </a:r>
                <a:r>
                  <a:rPr lang="en-US" baseline="0"/>
                  <a:t> </a:t>
                </a:r>
                <a:r>
                  <a:rPr lang="en-US"/>
                  <a:t>Liquid Urine (ug/d)</a:t>
                </a:r>
              </a:p>
            </c:rich>
          </c:tx>
          <c:layout>
            <c:manualLayout>
              <c:xMode val="edge"/>
              <c:yMode val="edge"/>
              <c:x val="3.472222222222222E-3"/>
              <c:y val="4.2795275590551178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482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778953412073491"/>
          <c:y val="4.2795275590551178E-2"/>
          <c:w val="0.70915491032370959"/>
          <c:h val="0.80645204505686807"/>
        </c:manualLayout>
      </c:layout>
      <c:scatterChart>
        <c:scatterStyle val="lineMarker"/>
        <c:varyColors val="0"/>
        <c:ser>
          <c:idx val="0"/>
          <c:order val="0"/>
          <c:tx>
            <c:v>Androsterone</c:v>
          </c:tx>
          <c:spPr>
            <a:ln w="25400" cap="rnd">
              <a:noFill/>
              <a:round/>
            </a:ln>
            <a:effectLst/>
          </c:spPr>
          <c:marker>
            <c:symbol val="circle"/>
            <c:size val="5"/>
            <c:spPr>
              <a:solidFill>
                <a:sysClr val="windowText" lastClr="000000">
                  <a:lumMod val="65000"/>
                  <a:lumOff val="35000"/>
                </a:sys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Sheet1!$G$2:$G$19</c:f>
              <c:numCache>
                <c:formatCode>0.00</c:formatCode>
                <c:ptCount val="18"/>
                <c:pt idx="0">
                  <c:v>2430.5380856298598</c:v>
                </c:pt>
                <c:pt idx="1">
                  <c:v>1813.2439165359201</c:v>
                </c:pt>
                <c:pt idx="2">
                  <c:v>184.60222202936001</c:v>
                </c:pt>
                <c:pt idx="3">
                  <c:v>1402.86422514929</c:v>
                </c:pt>
                <c:pt idx="4">
                  <c:v>1005.51460972703</c:v>
                </c:pt>
                <c:pt idx="5">
                  <c:v>936.871011857089</c:v>
                </c:pt>
                <c:pt idx="6">
                  <c:v>504.95006372118399</c:v>
                </c:pt>
                <c:pt idx="7">
                  <c:v>1760.62511834055</c:v>
                </c:pt>
                <c:pt idx="8">
                  <c:v>691.69672705500705</c:v>
                </c:pt>
                <c:pt idx="9">
                  <c:v>1261.10973384315</c:v>
                </c:pt>
                <c:pt idx="10">
                  <c:v>1405.4787105861601</c:v>
                </c:pt>
                <c:pt idx="11">
                  <c:v>854.40893671279798</c:v>
                </c:pt>
                <c:pt idx="12">
                  <c:v>4469.1284608650303</c:v>
                </c:pt>
                <c:pt idx="13">
                  <c:v>1032.7704243657699</c:v>
                </c:pt>
                <c:pt idx="14">
                  <c:v>2579.02711123172</c:v>
                </c:pt>
                <c:pt idx="15">
                  <c:v>1933.3025891719899</c:v>
                </c:pt>
                <c:pt idx="16">
                  <c:v>1940.29119335513</c:v>
                </c:pt>
                <c:pt idx="17">
                  <c:v>929.42981876869305</c:v>
                </c:pt>
              </c:numCache>
            </c:numRef>
          </c:xVal>
          <c:yVal>
            <c:numRef>
              <c:f>Sheet1!$Z$2:$Z$19</c:f>
              <c:numCache>
                <c:formatCode>0.00</c:formatCode>
                <c:ptCount val="18"/>
                <c:pt idx="0">
                  <c:v>2344.7053536190601</c:v>
                </c:pt>
                <c:pt idx="1">
                  <c:v>1797.65785511224</c:v>
                </c:pt>
                <c:pt idx="2">
                  <c:v>220.30901282272799</c:v>
                </c:pt>
                <c:pt idx="3">
                  <c:v>1654.16161507283</c:v>
                </c:pt>
                <c:pt idx="4">
                  <c:v>989.17284368426397</c:v>
                </c:pt>
                <c:pt idx="5">
                  <c:v>909.75287161996198</c:v>
                </c:pt>
                <c:pt idx="6">
                  <c:v>582.39613956190897</c:v>
                </c:pt>
                <c:pt idx="7">
                  <c:v>1847.1010731874201</c:v>
                </c:pt>
                <c:pt idx="8">
                  <c:v>673.75384194673995</c:v>
                </c:pt>
                <c:pt idx="9">
                  <c:v>1200.2354124328699</c:v>
                </c:pt>
                <c:pt idx="10">
                  <c:v>1275.01777090971</c:v>
                </c:pt>
                <c:pt idx="11">
                  <c:v>805.19349149422396</c:v>
                </c:pt>
                <c:pt idx="12">
                  <c:v>4131.0492808364997</c:v>
                </c:pt>
                <c:pt idx="13">
                  <c:v>1116.1683604120899</c:v>
                </c:pt>
                <c:pt idx="14">
                  <c:v>2294.3861780255002</c:v>
                </c:pt>
                <c:pt idx="15">
                  <c:v>2108.9078945479901</c:v>
                </c:pt>
                <c:pt idx="16">
                  <c:v>1778.2796362108099</c:v>
                </c:pt>
                <c:pt idx="17">
                  <c:v>813.30569916209095</c:v>
                </c:pt>
              </c:numCache>
            </c:numRef>
          </c:yVal>
          <c:smooth val="0"/>
          <c:extLst>
            <c:ext xmlns:c16="http://schemas.microsoft.com/office/drawing/2014/chart" uri="{C3380CC4-5D6E-409C-BE32-E72D297353CC}">
              <c16:uniqueId val="{00000001-5E1F-0C4A-A09D-BD5416CA9E7C}"/>
            </c:ext>
          </c:extLst>
        </c:ser>
        <c:dLbls>
          <c:showLegendKey val="0"/>
          <c:showVal val="0"/>
          <c:showCatName val="0"/>
          <c:showSerName val="0"/>
          <c:showPercent val="0"/>
          <c:showBubbleSize val="0"/>
        </c:dLbls>
        <c:axId val="384949936"/>
        <c:axId val="512047888"/>
      </c:scatterChart>
      <c:valAx>
        <c:axId val="384949936"/>
        <c:scaling>
          <c:orientation val="minMax"/>
          <c:max val="4700"/>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Androsterone Dried Urine (ug/d)</a:t>
                </a:r>
              </a:p>
            </c:rich>
          </c:tx>
          <c:layout>
            <c:manualLayout>
              <c:xMode val="edge"/>
              <c:yMode val="edge"/>
              <c:x val="0.25018810148731407"/>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12047888"/>
        <c:crosses val="autoZero"/>
        <c:crossBetween val="midCat"/>
        <c:majorUnit val="1000"/>
      </c:valAx>
      <c:valAx>
        <c:axId val="51204788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Androsterone Liquid Urine (ug/d)</a:t>
                </a:r>
              </a:p>
            </c:rich>
          </c:tx>
          <c:layout>
            <c:manualLayout>
              <c:xMode val="edge"/>
              <c:yMode val="edge"/>
              <c:x val="1.0416666666666666E-2"/>
              <c:y val="0.105387685914260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849499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59508967629046"/>
          <c:y val="4.2795275590551178E-2"/>
          <c:w val="0.76290491032370955"/>
          <c:h val="0.82159093394575677"/>
        </c:manualLayout>
      </c:layout>
      <c:scatterChart>
        <c:scatterStyle val="lineMarker"/>
        <c:varyColors val="0"/>
        <c:ser>
          <c:idx val="0"/>
          <c:order val="0"/>
          <c:tx>
            <c:v>5a Androstanediol</c:v>
          </c:tx>
          <c:spPr>
            <a:ln w="25400" cap="rnd">
              <a:noFill/>
              <a:round/>
            </a:ln>
            <a:effectLst/>
          </c:spPr>
          <c:marker>
            <c:symbol val="circle"/>
            <c:size val="5"/>
            <c:spPr>
              <a:solidFill>
                <a:schemeClr val="bg2">
                  <a:lumMod val="25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Sheet1!$K$2:$K$19</c:f>
              <c:numCache>
                <c:formatCode>0.00</c:formatCode>
                <c:ptCount val="18"/>
                <c:pt idx="0">
                  <c:v>252.98854361823501</c:v>
                </c:pt>
                <c:pt idx="1">
                  <c:v>97.4997412811543</c:v>
                </c:pt>
                <c:pt idx="2">
                  <c:v>65.440417555195197</c:v>
                </c:pt>
                <c:pt idx="3">
                  <c:v>157.333187381686</c:v>
                </c:pt>
                <c:pt idx="4">
                  <c:v>157.05947151292301</c:v>
                </c:pt>
                <c:pt idx="5">
                  <c:v>112.67021065581901</c:v>
                </c:pt>
                <c:pt idx="6">
                  <c:v>54.034096942065403</c:v>
                </c:pt>
                <c:pt idx="7">
                  <c:v>21.8559258788016</c:v>
                </c:pt>
                <c:pt idx="8">
                  <c:v>74.257906228052803</c:v>
                </c:pt>
                <c:pt idx="9">
                  <c:v>107.501782312415</c:v>
                </c:pt>
                <c:pt idx="10">
                  <c:v>271.38025763875402</c:v>
                </c:pt>
                <c:pt idx="11">
                  <c:v>197.135308600174</c:v>
                </c:pt>
                <c:pt idx="12">
                  <c:v>507.360275804808</c:v>
                </c:pt>
                <c:pt idx="13">
                  <c:v>46.487322213493499</c:v>
                </c:pt>
                <c:pt idx="14">
                  <c:v>143.302064220554</c:v>
                </c:pt>
                <c:pt idx="15">
                  <c:v>292.531837321919</c:v>
                </c:pt>
                <c:pt idx="16">
                  <c:v>57.504720478828403</c:v>
                </c:pt>
                <c:pt idx="17">
                  <c:v>49.2085108873992</c:v>
                </c:pt>
              </c:numCache>
            </c:numRef>
          </c:xVal>
          <c:yVal>
            <c:numRef>
              <c:f>Sheet1!$AD$2:$AD$19</c:f>
              <c:numCache>
                <c:formatCode>0.00</c:formatCode>
                <c:ptCount val="18"/>
                <c:pt idx="0">
                  <c:v>288.86501130030302</c:v>
                </c:pt>
                <c:pt idx="1">
                  <c:v>171.68430699133299</c:v>
                </c:pt>
                <c:pt idx="2">
                  <c:v>87.808203047325804</c:v>
                </c:pt>
                <c:pt idx="3">
                  <c:v>93.700601328422493</c:v>
                </c:pt>
                <c:pt idx="4">
                  <c:v>148.57317361554499</c:v>
                </c:pt>
                <c:pt idx="5">
                  <c:v>97.295879429423096</c:v>
                </c:pt>
                <c:pt idx="6">
                  <c:v>52.322934233252397</c:v>
                </c:pt>
                <c:pt idx="7">
                  <c:v>29.245840373313499</c:v>
                </c:pt>
                <c:pt idx="8">
                  <c:v>128.031014553462</c:v>
                </c:pt>
                <c:pt idx="9">
                  <c:v>110.773397148477</c:v>
                </c:pt>
                <c:pt idx="10">
                  <c:v>247.543713386615</c:v>
                </c:pt>
                <c:pt idx="11">
                  <c:v>226.926577611342</c:v>
                </c:pt>
                <c:pt idx="12">
                  <c:v>508.544613222816</c:v>
                </c:pt>
                <c:pt idx="13">
                  <c:v>15.4385171875517</c:v>
                </c:pt>
                <c:pt idx="14">
                  <c:v>140.28461308293299</c:v>
                </c:pt>
                <c:pt idx="15">
                  <c:v>498.32446414774699</c:v>
                </c:pt>
                <c:pt idx="16">
                  <c:v>65.631924550139104</c:v>
                </c:pt>
                <c:pt idx="17">
                  <c:v>36.620992449272897</c:v>
                </c:pt>
              </c:numCache>
            </c:numRef>
          </c:yVal>
          <c:smooth val="0"/>
          <c:extLst>
            <c:ext xmlns:c16="http://schemas.microsoft.com/office/drawing/2014/chart" uri="{C3380CC4-5D6E-409C-BE32-E72D297353CC}">
              <c16:uniqueId val="{00000001-A3D7-CC4B-A536-635707942D57}"/>
            </c:ext>
          </c:extLst>
        </c:ser>
        <c:dLbls>
          <c:showLegendKey val="0"/>
          <c:showVal val="0"/>
          <c:showCatName val="0"/>
          <c:showSerName val="0"/>
          <c:showPercent val="0"/>
          <c:showBubbleSize val="0"/>
        </c:dLbls>
        <c:axId val="506173912"/>
        <c:axId val="506181752"/>
      </c:scatterChart>
      <c:valAx>
        <c:axId val="506173912"/>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5</a:t>
                </a:r>
                <a:r>
                  <a:rPr lang="en-US">
                    <a:latin typeface="Symbol" pitchFamily="2" charset="2"/>
                  </a:rPr>
                  <a:t>a</a:t>
                </a:r>
                <a:r>
                  <a:rPr lang="en-US"/>
                  <a:t>-Androstanediol Dried Urine (ug/d)</a:t>
                </a:r>
              </a:p>
            </c:rich>
          </c:tx>
          <c:layout>
            <c:manualLayout>
              <c:xMode val="edge"/>
              <c:yMode val="edge"/>
              <c:x val="0.20890064523184601"/>
              <c:y val="0.9364930555555555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06181752"/>
        <c:crosses val="autoZero"/>
        <c:crossBetween val="midCat"/>
        <c:majorUnit val="100"/>
      </c:valAx>
      <c:valAx>
        <c:axId val="50618175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5</a:t>
                </a:r>
                <a:r>
                  <a:rPr lang="en-US">
                    <a:latin typeface="Symbol" pitchFamily="2" charset="2"/>
                  </a:rPr>
                  <a:t>a</a:t>
                </a:r>
                <a:r>
                  <a:rPr lang="en-US"/>
                  <a:t>-Androstanediol Liquid Urine (ug/d)</a:t>
                </a:r>
              </a:p>
            </c:rich>
          </c:tx>
          <c:layout>
            <c:manualLayout>
              <c:xMode val="edge"/>
              <c:yMode val="edge"/>
              <c:x val="6.9444444444444441E-3"/>
              <c:y val="5.754893919510061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06173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06731189851267"/>
          <c:y val="4.2795275590551178E-2"/>
          <c:w val="0.75943268810148734"/>
          <c:h val="0.81117426727909014"/>
        </c:manualLayout>
      </c:layout>
      <c:scatterChart>
        <c:scatterStyle val="lineMarker"/>
        <c:varyColors val="0"/>
        <c:ser>
          <c:idx val="0"/>
          <c:order val="0"/>
          <c:tx>
            <c:v>5b Androstanediol</c:v>
          </c:tx>
          <c:spPr>
            <a:ln w="25400" cap="rnd">
              <a:noFill/>
              <a:round/>
            </a:ln>
            <a:effectLst/>
          </c:spPr>
          <c:marker>
            <c:symbol val="circle"/>
            <c:size val="5"/>
            <c:spPr>
              <a:solidFill>
                <a:sysClr val="windowText" lastClr="000000"/>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Sheet1!$L$2:$L$19</c:f>
              <c:numCache>
                <c:formatCode>0.00</c:formatCode>
                <c:ptCount val="18"/>
                <c:pt idx="0">
                  <c:v>60.747661647950103</c:v>
                </c:pt>
                <c:pt idx="1">
                  <c:v>72.420709217876507</c:v>
                </c:pt>
                <c:pt idx="2">
                  <c:v>12.478682265266499</c:v>
                </c:pt>
                <c:pt idx="3">
                  <c:v>45.310836299149798</c:v>
                </c:pt>
                <c:pt idx="4">
                  <c:v>94.735652113671307</c:v>
                </c:pt>
                <c:pt idx="5">
                  <c:v>202.703209641553</c:v>
                </c:pt>
                <c:pt idx="6">
                  <c:v>14.780181107592799</c:v>
                </c:pt>
                <c:pt idx="7">
                  <c:v>8.7539351691139196</c:v>
                </c:pt>
                <c:pt idx="8">
                  <c:v>12.758193241266101</c:v>
                </c:pt>
                <c:pt idx="9">
                  <c:v>48.616701771752602</c:v>
                </c:pt>
                <c:pt idx="10">
                  <c:v>25.8529437950226</c:v>
                </c:pt>
                <c:pt idx="11">
                  <c:v>14.0521644353499</c:v>
                </c:pt>
                <c:pt idx="12">
                  <c:v>122.176107285684</c:v>
                </c:pt>
                <c:pt idx="13">
                  <c:v>6.7314404027820398</c:v>
                </c:pt>
                <c:pt idx="14">
                  <c:v>14.567712480727</c:v>
                </c:pt>
                <c:pt idx="15">
                  <c:v>147.907095464138</c:v>
                </c:pt>
                <c:pt idx="16">
                  <c:v>59.769712377727501</c:v>
                </c:pt>
                <c:pt idx="17">
                  <c:v>15.832295848624501</c:v>
                </c:pt>
              </c:numCache>
            </c:numRef>
          </c:xVal>
          <c:yVal>
            <c:numRef>
              <c:f>Sheet1!$AE$2:$AE$19</c:f>
              <c:numCache>
                <c:formatCode>0.00</c:formatCode>
                <c:ptCount val="18"/>
                <c:pt idx="0">
                  <c:v>57.686762162993197</c:v>
                </c:pt>
                <c:pt idx="1">
                  <c:v>57.510577543685599</c:v>
                </c:pt>
                <c:pt idx="2">
                  <c:v>14.720343646921201</c:v>
                </c:pt>
                <c:pt idx="3">
                  <c:v>47.4921000017832</c:v>
                </c:pt>
                <c:pt idx="4">
                  <c:v>96.041485581838202</c:v>
                </c:pt>
                <c:pt idx="5">
                  <c:v>189.31957551744301</c:v>
                </c:pt>
                <c:pt idx="6">
                  <c:v>15.217778973159399</c:v>
                </c:pt>
                <c:pt idx="7">
                  <c:v>9.6222722499756497</c:v>
                </c:pt>
                <c:pt idx="8">
                  <c:v>12.4737744384185</c:v>
                </c:pt>
                <c:pt idx="9">
                  <c:v>51.295575714413999</c:v>
                </c:pt>
                <c:pt idx="10">
                  <c:v>20.226459206684101</c:v>
                </c:pt>
                <c:pt idx="11">
                  <c:v>12.0609644373443</c:v>
                </c:pt>
                <c:pt idx="12">
                  <c:v>45.295501739225799</c:v>
                </c:pt>
                <c:pt idx="13">
                  <c:v>6.08483143003689</c:v>
                </c:pt>
                <c:pt idx="14">
                  <c:v>89.586106611724702</c:v>
                </c:pt>
                <c:pt idx="15">
                  <c:v>165.23098419241799</c:v>
                </c:pt>
                <c:pt idx="16">
                  <c:v>65.385085892450704</c:v>
                </c:pt>
                <c:pt idx="17">
                  <c:v>15.2260481082571</c:v>
                </c:pt>
              </c:numCache>
            </c:numRef>
          </c:yVal>
          <c:smooth val="0"/>
          <c:extLst>
            <c:ext xmlns:c16="http://schemas.microsoft.com/office/drawing/2014/chart" uri="{C3380CC4-5D6E-409C-BE32-E72D297353CC}">
              <c16:uniqueId val="{00000001-30F3-1747-8CE7-14603C3D032F}"/>
            </c:ext>
          </c:extLst>
        </c:ser>
        <c:dLbls>
          <c:showLegendKey val="0"/>
          <c:showVal val="0"/>
          <c:showCatName val="0"/>
          <c:showSerName val="0"/>
          <c:showPercent val="0"/>
          <c:showBubbleSize val="0"/>
        </c:dLbls>
        <c:axId val="506176264"/>
        <c:axId val="506175480"/>
      </c:scatterChart>
      <c:valAx>
        <c:axId val="506176264"/>
        <c:scaling>
          <c:orientation val="minMax"/>
          <c:max val="220"/>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5</a:t>
                </a:r>
                <a:r>
                  <a:rPr lang="en-US">
                    <a:latin typeface="Symbol" pitchFamily="2" charset="2"/>
                  </a:rPr>
                  <a:t>b</a:t>
                </a:r>
                <a:r>
                  <a:rPr lang="en-US"/>
                  <a:t>-Androstanediol Dried Urine (ug/d)</a:t>
                </a:r>
              </a:p>
            </c:rich>
          </c:tx>
          <c:layout>
            <c:manualLayout>
              <c:xMode val="edge"/>
              <c:yMode val="edge"/>
              <c:x val="0.20890064523184601"/>
              <c:y val="0.9364930555555555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06175480"/>
        <c:crosses val="autoZero"/>
        <c:crossBetween val="midCat"/>
        <c:majorUnit val="50"/>
      </c:valAx>
      <c:valAx>
        <c:axId val="50617548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5</a:t>
                </a:r>
                <a:r>
                  <a:rPr lang="en-US">
                    <a:latin typeface="Symbol" pitchFamily="2" charset="2"/>
                  </a:rPr>
                  <a:t>b</a:t>
                </a:r>
                <a:r>
                  <a:rPr lang="en-US"/>
                  <a:t>-Androstanediol Liquid Urine (ug/d)</a:t>
                </a:r>
              </a:p>
            </c:rich>
          </c:tx>
          <c:layout>
            <c:manualLayout>
              <c:xMode val="edge"/>
              <c:yMode val="edge"/>
              <c:x val="1.3888888888888888E-2"/>
              <c:y val="5.9259076990376192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061762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76870078740158"/>
          <c:y val="4.2795275590551178E-2"/>
          <c:w val="0.76328685476815394"/>
          <c:h val="0.81461176727909013"/>
        </c:manualLayout>
      </c:layout>
      <c:scatterChart>
        <c:scatterStyle val="lineMarker"/>
        <c:varyColors val="0"/>
        <c:ser>
          <c:idx val="0"/>
          <c:order val="0"/>
          <c:tx>
            <c:v>Melatonin</c:v>
          </c:tx>
          <c:spPr>
            <a:ln w="19050" cap="rnd">
              <a:noFill/>
              <a:round/>
            </a:ln>
            <a:effectLst/>
          </c:spPr>
          <c:marker>
            <c:symbol val="circle"/>
            <c:size val="5"/>
            <c:spPr>
              <a:solidFill>
                <a:sysClr val="windowText" lastClr="000000"/>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Sheet1!$V$2:$V$19</c:f>
              <c:numCache>
                <c:formatCode>0.00</c:formatCode>
                <c:ptCount val="18"/>
                <c:pt idx="0">
                  <c:v>12.2130268235491</c:v>
                </c:pt>
                <c:pt idx="1">
                  <c:v>7.4763360467569697</c:v>
                </c:pt>
                <c:pt idx="2">
                  <c:v>14.328519151574</c:v>
                </c:pt>
                <c:pt idx="3">
                  <c:v>0.94927066734826104</c:v>
                </c:pt>
                <c:pt idx="4">
                  <c:v>9.5028513308143907</c:v>
                </c:pt>
                <c:pt idx="5">
                  <c:v>20.0630213396513</c:v>
                </c:pt>
                <c:pt idx="6">
                  <c:v>1.7745160748959701</c:v>
                </c:pt>
                <c:pt idx="7">
                  <c:v>5.9294117647058799</c:v>
                </c:pt>
                <c:pt idx="8">
                  <c:v>7.4757037467007397</c:v>
                </c:pt>
                <c:pt idx="9">
                  <c:v>7.9497322096655401</c:v>
                </c:pt>
                <c:pt idx="10">
                  <c:v>5.1085835357871296</c:v>
                </c:pt>
                <c:pt idx="11">
                  <c:v>33.216424681197303</c:v>
                </c:pt>
                <c:pt idx="12">
                  <c:v>24.517286598650202</c:v>
                </c:pt>
                <c:pt idx="13">
                  <c:v>6.3</c:v>
                </c:pt>
                <c:pt idx="14">
                  <c:v>42.556078879035397</c:v>
                </c:pt>
                <c:pt idx="15">
                  <c:v>9.7436740031885005</c:v>
                </c:pt>
                <c:pt idx="16">
                  <c:v>4.8128904792508296</c:v>
                </c:pt>
                <c:pt idx="17">
                  <c:v>7.7823529411764696</c:v>
                </c:pt>
              </c:numCache>
            </c:numRef>
          </c:xVal>
          <c:yVal>
            <c:numRef>
              <c:f>Sheet1!$AO$2:$AO$19</c:f>
              <c:numCache>
                <c:formatCode>0.00</c:formatCode>
                <c:ptCount val="18"/>
                <c:pt idx="0">
                  <c:v>13.8643435755623</c:v>
                </c:pt>
                <c:pt idx="1">
                  <c:v>7.8931315922953598</c:v>
                </c:pt>
                <c:pt idx="2">
                  <c:v>14.6690934962807</c:v>
                </c:pt>
                <c:pt idx="3">
                  <c:v>1.11125694651384</c:v>
                </c:pt>
                <c:pt idx="4">
                  <c:v>10.517486739354201</c:v>
                </c:pt>
                <c:pt idx="5">
                  <c:v>25.020479844276501</c:v>
                </c:pt>
                <c:pt idx="6">
                  <c:v>2.0140533574796202</c:v>
                </c:pt>
                <c:pt idx="7">
                  <c:v>5.4952292264535103</c:v>
                </c:pt>
                <c:pt idx="8">
                  <c:v>7.4077985359827601</c:v>
                </c:pt>
                <c:pt idx="9">
                  <c:v>8.6215332047597606</c:v>
                </c:pt>
                <c:pt idx="10">
                  <c:v>6.3267630555911696</c:v>
                </c:pt>
                <c:pt idx="11">
                  <c:v>32.768082503596503</c:v>
                </c:pt>
                <c:pt idx="12">
                  <c:v>23.0819274151733</c:v>
                </c:pt>
                <c:pt idx="13">
                  <c:v>5.9294117647058799</c:v>
                </c:pt>
                <c:pt idx="14">
                  <c:v>34.756865537676497</c:v>
                </c:pt>
                <c:pt idx="15">
                  <c:v>10.2491292266276</c:v>
                </c:pt>
                <c:pt idx="16">
                  <c:v>5.5816955951479601</c:v>
                </c:pt>
                <c:pt idx="17">
                  <c:v>7.0411764705882396</c:v>
                </c:pt>
              </c:numCache>
            </c:numRef>
          </c:yVal>
          <c:smooth val="0"/>
          <c:extLst>
            <c:ext xmlns:c16="http://schemas.microsoft.com/office/drawing/2014/chart" uri="{C3380CC4-5D6E-409C-BE32-E72D297353CC}">
              <c16:uniqueId val="{00000001-9A6B-6540-B319-59DAF4154EF4}"/>
            </c:ext>
          </c:extLst>
        </c:ser>
        <c:dLbls>
          <c:showLegendKey val="0"/>
          <c:showVal val="0"/>
          <c:showCatName val="0"/>
          <c:showSerName val="0"/>
          <c:showPercent val="0"/>
          <c:showBubbleSize val="0"/>
        </c:dLbls>
        <c:axId val="548409312"/>
        <c:axId val="548409704"/>
      </c:scatterChart>
      <c:valAx>
        <c:axId val="548409312"/>
        <c:scaling>
          <c:orientation val="minMax"/>
          <c:max val="4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6-Hydroxymelatoninsulfate Dried Urine (ug/d)</a:t>
                </a:r>
              </a:p>
            </c:rich>
          </c:tx>
          <c:layout>
            <c:manualLayout>
              <c:xMode val="edge"/>
              <c:yMode val="edge"/>
              <c:x val="0.20128472222222221"/>
              <c:y val="0.9364583333333332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48409704"/>
        <c:crosses val="autoZero"/>
        <c:crossBetween val="midCat"/>
        <c:majorUnit val="5"/>
      </c:valAx>
      <c:valAx>
        <c:axId val="548409704"/>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6-Hydroxymelatoninsulfate Liquid Urine (ug/d)</a:t>
                </a:r>
              </a:p>
            </c:rich>
          </c:tx>
          <c:layout>
            <c:manualLayout>
              <c:xMode val="edge"/>
              <c:yMode val="edge"/>
              <c:x val="0"/>
              <c:y val="8.793416447944008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484093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200"/>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7270341207349"/>
          <c:y val="4.2795275590551178E-2"/>
          <c:w val="0.78988407699037622"/>
          <c:h val="0.80992426727909006"/>
        </c:manualLayout>
      </c:layout>
      <c:scatterChart>
        <c:scatterStyle val="lineMarker"/>
        <c:varyColors val="0"/>
        <c:ser>
          <c:idx val="0"/>
          <c:order val="0"/>
          <c:tx>
            <c:v>Pyroglutamic Acid</c:v>
          </c:tx>
          <c:spPr>
            <a:ln w="25400" cap="rnd">
              <a:noFill/>
              <a:round/>
            </a:ln>
            <a:effectLst/>
          </c:spPr>
          <c:marker>
            <c:symbol val="circle"/>
            <c:size val="5"/>
            <c:spPr>
              <a:solidFill>
                <a:schemeClr val="tx1">
                  <a:lumMod val="65000"/>
                  <a:lumOff val="35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Sheet1!$J$2:$J$23</c:f>
              <c:numCache>
                <c:formatCode>General</c:formatCode>
                <c:ptCount val="22"/>
                <c:pt idx="0">
                  <c:v>4.05863914373783</c:v>
                </c:pt>
                <c:pt idx="1">
                  <c:v>3.9193207372469199</c:v>
                </c:pt>
                <c:pt idx="2">
                  <c:v>5.6334154421338196</c:v>
                </c:pt>
                <c:pt idx="3">
                  <c:v>4.9394827869206299</c:v>
                </c:pt>
                <c:pt idx="4">
                  <c:v>3.3629049899388099</c:v>
                </c:pt>
                <c:pt idx="5">
                  <c:v>5.3847661841774404</c:v>
                </c:pt>
                <c:pt idx="6">
                  <c:v>4.0910584676422097</c:v>
                </c:pt>
                <c:pt idx="7">
                  <c:v>4.32629635065706</c:v>
                </c:pt>
                <c:pt idx="8">
                  <c:v>4.1267760403318396</c:v>
                </c:pt>
                <c:pt idx="9">
                  <c:v>3.8986318462456602</c:v>
                </c:pt>
                <c:pt idx="10">
                  <c:v>4.2988291880118803</c:v>
                </c:pt>
                <c:pt idx="11">
                  <c:v>4.6327091404222704</c:v>
                </c:pt>
                <c:pt idx="12">
                  <c:v>4.3693615453227501</c:v>
                </c:pt>
                <c:pt idx="13">
                  <c:v>3.7689757326417901</c:v>
                </c:pt>
                <c:pt idx="14">
                  <c:v>5.1375753808222004</c:v>
                </c:pt>
                <c:pt idx="15">
                  <c:v>4.2698084651639503</c:v>
                </c:pt>
                <c:pt idx="16">
                  <c:v>3.7284204189041001</c:v>
                </c:pt>
                <c:pt idx="17">
                  <c:v>5.78084913485326</c:v>
                </c:pt>
                <c:pt idx="18">
                  <c:v>5.3450549120222997</c:v>
                </c:pt>
                <c:pt idx="19">
                  <c:v>4.0841614871756002</c:v>
                </c:pt>
                <c:pt idx="20">
                  <c:v>6.54484369940735</c:v>
                </c:pt>
                <c:pt idx="21">
                  <c:v>3.4403259613418902</c:v>
                </c:pt>
              </c:numCache>
            </c:numRef>
          </c:xVal>
          <c:yVal>
            <c:numRef>
              <c:f>Sheet1!$S$2:$S$23</c:f>
              <c:numCache>
                <c:formatCode>General</c:formatCode>
                <c:ptCount val="22"/>
                <c:pt idx="0">
                  <c:v>3.9173483685684301</c:v>
                </c:pt>
                <c:pt idx="1">
                  <c:v>3.0051093511498301</c:v>
                </c:pt>
                <c:pt idx="2">
                  <c:v>5.1524599248191603</c:v>
                </c:pt>
                <c:pt idx="3">
                  <c:v>4.3036870754229497</c:v>
                </c:pt>
                <c:pt idx="4">
                  <c:v>3.13677814188447</c:v>
                </c:pt>
                <c:pt idx="5">
                  <c:v>5.1371186977020198</c:v>
                </c:pt>
                <c:pt idx="6">
                  <c:v>3.9357932352719902</c:v>
                </c:pt>
                <c:pt idx="7">
                  <c:v>3.8942808236842201</c:v>
                </c:pt>
                <c:pt idx="8">
                  <c:v>3.7517774446524701</c:v>
                </c:pt>
                <c:pt idx="9">
                  <c:v>3.75852030297168</c:v>
                </c:pt>
                <c:pt idx="10">
                  <c:v>4.1946368232169098</c:v>
                </c:pt>
                <c:pt idx="11">
                  <c:v>3.7627404308319501</c:v>
                </c:pt>
                <c:pt idx="12">
                  <c:v>4.1710287939673902</c:v>
                </c:pt>
                <c:pt idx="13">
                  <c:v>3.9626037379410302</c:v>
                </c:pt>
                <c:pt idx="14">
                  <c:v>4.4163250884648697</c:v>
                </c:pt>
                <c:pt idx="15">
                  <c:v>3.3957407820326702</c:v>
                </c:pt>
                <c:pt idx="16">
                  <c:v>3.4743921220709999</c:v>
                </c:pt>
                <c:pt idx="17">
                  <c:v>5.8534432509804999</c:v>
                </c:pt>
                <c:pt idx="18">
                  <c:v>4.2829581263120797</c:v>
                </c:pt>
                <c:pt idx="19">
                  <c:v>3.8101629532399501</c:v>
                </c:pt>
                <c:pt idx="20">
                  <c:v>5.3232126877874304</c:v>
                </c:pt>
                <c:pt idx="21">
                  <c:v>3.5533670734995102</c:v>
                </c:pt>
              </c:numCache>
            </c:numRef>
          </c:yVal>
          <c:smooth val="0"/>
          <c:extLst>
            <c:ext xmlns:c16="http://schemas.microsoft.com/office/drawing/2014/chart" uri="{C3380CC4-5D6E-409C-BE32-E72D297353CC}">
              <c16:uniqueId val="{00000001-9CA9-7448-9AE4-2C176C942250}"/>
            </c:ext>
          </c:extLst>
        </c:ser>
        <c:dLbls>
          <c:showLegendKey val="0"/>
          <c:showVal val="0"/>
          <c:showCatName val="0"/>
          <c:showSerName val="0"/>
          <c:showPercent val="0"/>
          <c:showBubbleSize val="0"/>
        </c:dLbls>
        <c:axId val="341993048"/>
        <c:axId val="341992264"/>
      </c:scatterChart>
      <c:valAx>
        <c:axId val="341993048"/>
        <c:scaling>
          <c:orientation val="minMax"/>
          <c:max val="7"/>
          <c:min val="2.5"/>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a:t>Pyroglutamatic Acid Dried Urine (ng/mg-Cr)</a:t>
                </a:r>
              </a:p>
            </c:rich>
          </c:tx>
          <c:layout>
            <c:manualLayout>
              <c:xMode val="edge"/>
              <c:yMode val="edge"/>
              <c:x val="0.19401629483814523"/>
              <c:y val="0.9387152777777777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341992264"/>
        <c:crosses val="autoZero"/>
        <c:crossBetween val="midCat"/>
        <c:majorUnit val="0.5"/>
      </c:valAx>
      <c:valAx>
        <c:axId val="341992264"/>
        <c:scaling>
          <c:orientation val="minMax"/>
          <c:max val="7"/>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a:t>Pyroglutamatic Acid Liquid Urine (ng/mg-Cr)</a:t>
                </a:r>
              </a:p>
            </c:rich>
          </c:tx>
          <c:layout>
            <c:manualLayout>
              <c:xMode val="edge"/>
              <c:yMode val="edge"/>
              <c:x val="1.0416666666666666E-2"/>
              <c:y val="4.5760881452318457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3419930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100"/>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618465660542433"/>
          <c:y val="5.1400554097404488E-2"/>
          <c:w val="0.75605506342957129"/>
          <c:h val="0.81199447725284335"/>
        </c:manualLayout>
      </c:layout>
      <c:scatterChart>
        <c:scatterStyle val="lineMarker"/>
        <c:varyColors val="0"/>
        <c:ser>
          <c:idx val="0"/>
          <c:order val="0"/>
          <c:tx>
            <c:v>5HIAA</c:v>
          </c:tx>
          <c:spPr>
            <a:ln w="25400" cap="rnd">
              <a:noFill/>
              <a:round/>
            </a:ln>
            <a:effectLst/>
          </c:spPr>
          <c:marker>
            <c:symbol val="circle"/>
            <c:size val="5"/>
            <c:spPr>
              <a:solidFill>
                <a:schemeClr val="tx1">
                  <a:lumMod val="65000"/>
                  <a:lumOff val="35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Sheet1!$F$2:$F$23</c:f>
              <c:numCache>
                <c:formatCode>General</c:formatCode>
                <c:ptCount val="22"/>
                <c:pt idx="1">
                  <c:v>0.45591448875941198</c:v>
                </c:pt>
                <c:pt idx="2">
                  <c:v>0.48842660950151301</c:v>
                </c:pt>
                <c:pt idx="3">
                  <c:v>0.421345565049974</c:v>
                </c:pt>
                <c:pt idx="4">
                  <c:v>0.58117045357480202</c:v>
                </c:pt>
                <c:pt idx="5">
                  <c:v>0.45628296534728202</c:v>
                </c:pt>
                <c:pt idx="6">
                  <c:v>0.53931772945864298</c:v>
                </c:pt>
                <c:pt idx="7">
                  <c:v>0.40340927414501698</c:v>
                </c:pt>
                <c:pt idx="8">
                  <c:v>0.57915067319619296</c:v>
                </c:pt>
                <c:pt idx="9">
                  <c:v>0.33016461805555603</c:v>
                </c:pt>
                <c:pt idx="10">
                  <c:v>0.49343193500182903</c:v>
                </c:pt>
                <c:pt idx="11">
                  <c:v>0.44097111441972398</c:v>
                </c:pt>
                <c:pt idx="12">
                  <c:v>0.43036949560068299</c:v>
                </c:pt>
                <c:pt idx="13">
                  <c:v>0.61548927343761906</c:v>
                </c:pt>
                <c:pt idx="14">
                  <c:v>0.71882121449673397</c:v>
                </c:pt>
                <c:pt idx="15">
                  <c:v>0.56386658320207705</c:v>
                </c:pt>
                <c:pt idx="16">
                  <c:v>0.342278249224512</c:v>
                </c:pt>
                <c:pt idx="17">
                  <c:v>0.43801518709721798</c:v>
                </c:pt>
                <c:pt idx="18">
                  <c:v>0.466503065209247</c:v>
                </c:pt>
                <c:pt idx="19">
                  <c:v>0.58466826729376897</c:v>
                </c:pt>
                <c:pt idx="20">
                  <c:v>0.54384654326633497</c:v>
                </c:pt>
                <c:pt idx="21">
                  <c:v>0.37539057119637298</c:v>
                </c:pt>
              </c:numCache>
            </c:numRef>
          </c:xVal>
          <c:yVal>
            <c:numRef>
              <c:f>Sheet1!$O$2:$O$23</c:f>
              <c:numCache>
                <c:formatCode>General</c:formatCode>
                <c:ptCount val="22"/>
                <c:pt idx="1">
                  <c:v>0.405097323896074</c:v>
                </c:pt>
                <c:pt idx="2">
                  <c:v>0.45924216507437199</c:v>
                </c:pt>
                <c:pt idx="3">
                  <c:v>0.39869987770839799</c:v>
                </c:pt>
                <c:pt idx="4">
                  <c:v>0.65333297575620997</c:v>
                </c:pt>
                <c:pt idx="5">
                  <c:v>0.414653372821427</c:v>
                </c:pt>
                <c:pt idx="6">
                  <c:v>0.46747852783206301</c:v>
                </c:pt>
                <c:pt idx="7">
                  <c:v>0.37098518867084901</c:v>
                </c:pt>
                <c:pt idx="8">
                  <c:v>0.525410005971225</c:v>
                </c:pt>
                <c:pt idx="9">
                  <c:v>0.349513372742909</c:v>
                </c:pt>
                <c:pt idx="10">
                  <c:v>0.54248484514524697</c:v>
                </c:pt>
                <c:pt idx="11">
                  <c:v>0.412768110857687</c:v>
                </c:pt>
                <c:pt idx="12">
                  <c:v>0.367806507387408</c:v>
                </c:pt>
                <c:pt idx="13">
                  <c:v>0.61281780844238398</c:v>
                </c:pt>
                <c:pt idx="14">
                  <c:v>0.57915450661134205</c:v>
                </c:pt>
                <c:pt idx="15">
                  <c:v>0.54904375940309202</c:v>
                </c:pt>
                <c:pt idx="16">
                  <c:v>0.35760513515341702</c:v>
                </c:pt>
                <c:pt idx="17">
                  <c:v>0.47373507195207698</c:v>
                </c:pt>
                <c:pt idx="18">
                  <c:v>0.41295830374607101</c:v>
                </c:pt>
                <c:pt idx="19">
                  <c:v>0.50848868776740297</c:v>
                </c:pt>
                <c:pt idx="20">
                  <c:v>0.475174637483677</c:v>
                </c:pt>
                <c:pt idx="21">
                  <c:v>0.41710940614752001</c:v>
                </c:pt>
              </c:numCache>
            </c:numRef>
          </c:yVal>
          <c:smooth val="0"/>
          <c:extLst>
            <c:ext xmlns:c16="http://schemas.microsoft.com/office/drawing/2014/chart" uri="{C3380CC4-5D6E-409C-BE32-E72D297353CC}">
              <c16:uniqueId val="{00000001-EDC8-184C-83F5-25297EF940CA}"/>
            </c:ext>
          </c:extLst>
        </c:ser>
        <c:dLbls>
          <c:showLegendKey val="0"/>
          <c:showVal val="0"/>
          <c:showCatName val="0"/>
          <c:showSerName val="0"/>
          <c:showPercent val="0"/>
          <c:showBubbleSize val="0"/>
        </c:dLbls>
        <c:axId val="344002880"/>
        <c:axId val="343995432"/>
      </c:scatterChart>
      <c:valAx>
        <c:axId val="344002880"/>
        <c:scaling>
          <c:orientation val="minMax"/>
          <c:max val="0.75000000000000011"/>
          <c:min val="0.30000000000000004"/>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a:t>5-HIAA Dried Urine (ng/mg-Cr)</a:t>
                </a:r>
              </a:p>
            </c:rich>
          </c:tx>
          <c:layout>
            <c:manualLayout>
              <c:xMode val="edge"/>
              <c:yMode val="edge"/>
              <c:x val="0.28751968503937009"/>
              <c:y val="0.9365507436570430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343995432"/>
        <c:crosses val="autoZero"/>
        <c:crossBetween val="midCat"/>
        <c:majorUnit val="0.1"/>
      </c:valAx>
      <c:valAx>
        <c:axId val="343995432"/>
        <c:scaling>
          <c:orientation val="minMax"/>
          <c:max val="0.75000000000000011"/>
          <c:min val="0.300000000000000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a:t>5-HIAA Liquid Urine (ng/mg-Cr)</a:t>
                </a:r>
              </a:p>
            </c:rich>
          </c:tx>
          <c:layout>
            <c:manualLayout>
              <c:xMode val="edge"/>
              <c:yMode val="edge"/>
              <c:x val="9.2593503937007868E-3"/>
              <c:y val="0.1370097878390201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3440028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100"/>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796314523184603"/>
          <c:y val="4.2795275590551178E-2"/>
          <c:w val="0.77483213035870513"/>
          <c:h val="0.81763260061242349"/>
        </c:manualLayout>
      </c:layout>
      <c:scatterChart>
        <c:scatterStyle val="lineMarker"/>
        <c:varyColors val="0"/>
        <c:ser>
          <c:idx val="0"/>
          <c:order val="0"/>
          <c:tx>
            <c:v>VMA</c:v>
          </c:tx>
          <c:spPr>
            <a:ln w="25400" cap="rnd">
              <a:noFill/>
              <a:round/>
            </a:ln>
            <a:effectLst/>
          </c:spPr>
          <c:marker>
            <c:symbol val="circle"/>
            <c:size val="5"/>
            <c:spPr>
              <a:solidFill>
                <a:schemeClr val="tx1">
                  <a:lumMod val="65000"/>
                  <a:lumOff val="35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Sheet1!$G$2:$G$23</c:f>
              <c:numCache>
                <c:formatCode>General</c:formatCode>
                <c:ptCount val="22"/>
                <c:pt idx="0">
                  <c:v>0.29972920481836601</c:v>
                </c:pt>
                <c:pt idx="1">
                  <c:v>0.41691155611045599</c:v>
                </c:pt>
                <c:pt idx="2">
                  <c:v>0.60660888849061201</c:v>
                </c:pt>
                <c:pt idx="3">
                  <c:v>0.45375222996082298</c:v>
                </c:pt>
                <c:pt idx="4">
                  <c:v>0.55068223173586295</c:v>
                </c:pt>
                <c:pt idx="5">
                  <c:v>0.4305157829972</c:v>
                </c:pt>
                <c:pt idx="6">
                  <c:v>0.382834101744985</c:v>
                </c:pt>
                <c:pt idx="7">
                  <c:v>0.41000901687131602</c:v>
                </c:pt>
                <c:pt idx="8">
                  <c:v>0.46507661346773399</c:v>
                </c:pt>
                <c:pt idx="9">
                  <c:v>0.33794513671874998</c:v>
                </c:pt>
                <c:pt idx="10">
                  <c:v>0.61267722855909601</c:v>
                </c:pt>
                <c:pt idx="11">
                  <c:v>0.608086376186177</c:v>
                </c:pt>
                <c:pt idx="12">
                  <c:v>0.28137807446371699</c:v>
                </c:pt>
                <c:pt idx="13">
                  <c:v>0.26061317880399898</c:v>
                </c:pt>
                <c:pt idx="14">
                  <c:v>0.73835302108726597</c:v>
                </c:pt>
                <c:pt idx="15">
                  <c:v>0.51856309875542494</c:v>
                </c:pt>
                <c:pt idx="16">
                  <c:v>0.26496305172106799</c:v>
                </c:pt>
                <c:pt idx="17">
                  <c:v>0.423000143394553</c:v>
                </c:pt>
                <c:pt idx="18">
                  <c:v>0.61900673483577895</c:v>
                </c:pt>
                <c:pt idx="19">
                  <c:v>0.42937385861548699</c:v>
                </c:pt>
                <c:pt idx="20">
                  <c:v>0.52857500174745897</c:v>
                </c:pt>
                <c:pt idx="21">
                  <c:v>0.43904737966860102</c:v>
                </c:pt>
              </c:numCache>
            </c:numRef>
          </c:xVal>
          <c:yVal>
            <c:numRef>
              <c:f>Sheet1!$P$2:$P$23</c:f>
              <c:numCache>
                <c:formatCode>General</c:formatCode>
                <c:ptCount val="22"/>
                <c:pt idx="0">
                  <c:v>0.32697137483220101</c:v>
                </c:pt>
                <c:pt idx="1">
                  <c:v>0.34333444309939098</c:v>
                </c:pt>
                <c:pt idx="2">
                  <c:v>0.49481726236886597</c:v>
                </c:pt>
                <c:pt idx="3">
                  <c:v>0.42130456285706602</c:v>
                </c:pt>
                <c:pt idx="4">
                  <c:v>0.50381532417339303</c:v>
                </c:pt>
                <c:pt idx="5">
                  <c:v>0.30007524072959701</c:v>
                </c:pt>
                <c:pt idx="6">
                  <c:v>0.26885335667428201</c:v>
                </c:pt>
                <c:pt idx="7">
                  <c:v>0.39355322308513102</c:v>
                </c:pt>
                <c:pt idx="8">
                  <c:v>0.43392110640319198</c:v>
                </c:pt>
                <c:pt idx="9">
                  <c:v>0.260117230927637</c:v>
                </c:pt>
                <c:pt idx="10">
                  <c:v>0.69852682462981797</c:v>
                </c:pt>
                <c:pt idx="11">
                  <c:v>0.45041445672367503</c:v>
                </c:pt>
                <c:pt idx="12">
                  <c:v>0.28468774603056601</c:v>
                </c:pt>
                <c:pt idx="13">
                  <c:v>0.28118376297415598</c:v>
                </c:pt>
                <c:pt idx="14">
                  <c:v>0.57870818775449895</c:v>
                </c:pt>
                <c:pt idx="15">
                  <c:v>0.47885507054714799</c:v>
                </c:pt>
                <c:pt idx="16">
                  <c:v>0.25343983679672399</c:v>
                </c:pt>
                <c:pt idx="17">
                  <c:v>0.45205301958932398</c:v>
                </c:pt>
                <c:pt idx="18">
                  <c:v>0.52027963607943895</c:v>
                </c:pt>
                <c:pt idx="19">
                  <c:v>0.46158275092954998</c:v>
                </c:pt>
                <c:pt idx="20">
                  <c:v>0.42897587407028898</c:v>
                </c:pt>
                <c:pt idx="21">
                  <c:v>0.43626797467135597</c:v>
                </c:pt>
              </c:numCache>
            </c:numRef>
          </c:yVal>
          <c:smooth val="0"/>
          <c:extLst>
            <c:ext xmlns:c16="http://schemas.microsoft.com/office/drawing/2014/chart" uri="{C3380CC4-5D6E-409C-BE32-E72D297353CC}">
              <c16:uniqueId val="{00000001-9E91-BD43-A2C0-FEF54C9CC7D4}"/>
            </c:ext>
          </c:extLst>
        </c:ser>
        <c:dLbls>
          <c:showLegendKey val="0"/>
          <c:showVal val="0"/>
          <c:showCatName val="0"/>
          <c:showSerName val="0"/>
          <c:showPercent val="0"/>
          <c:showBubbleSize val="0"/>
        </c:dLbls>
        <c:axId val="344000920"/>
        <c:axId val="344000528"/>
      </c:scatterChart>
      <c:valAx>
        <c:axId val="344000920"/>
        <c:scaling>
          <c:orientation val="minMax"/>
          <c:min val="0.2"/>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Vanillylmandelic Acid Dried Urine (ng/mg-Cr)</a:t>
                </a:r>
              </a:p>
            </c:rich>
          </c:tx>
          <c:layout>
            <c:manualLayout>
              <c:xMode val="edge"/>
              <c:yMode val="edge"/>
              <c:x val="0.20531824146981628"/>
              <c:y val="0.9429513888888888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44000528"/>
        <c:crosses val="autoZero"/>
        <c:crossBetween val="midCat"/>
        <c:majorUnit val="0.1"/>
      </c:valAx>
      <c:valAx>
        <c:axId val="344000528"/>
        <c:scaling>
          <c:orientation val="minMax"/>
          <c:min val="0.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Vanilllylmandelic</a:t>
                </a:r>
                <a:r>
                  <a:rPr lang="en-US" sz="1100" baseline="0"/>
                  <a:t> </a:t>
                </a:r>
                <a:r>
                  <a:rPr lang="en-US" sz="1100"/>
                  <a:t> Acid Liquid Urine (ng/mg-Cr)</a:t>
                </a:r>
              </a:p>
            </c:rich>
          </c:tx>
          <c:layout>
            <c:manualLayout>
              <c:xMode val="edge"/>
              <c:yMode val="edge"/>
              <c:x val="1.0416666666666666E-2"/>
              <c:y val="6.0925743657042869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440009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12981189851269"/>
          <c:y val="4.2795275590551178E-2"/>
          <c:w val="0.75010990813648293"/>
          <c:h val="0.82804926727909012"/>
        </c:manualLayout>
      </c:layout>
      <c:scatterChart>
        <c:scatterStyle val="lineMarker"/>
        <c:varyColors val="0"/>
        <c:ser>
          <c:idx val="0"/>
          <c:order val="0"/>
          <c:tx>
            <c:v>HVA</c:v>
          </c:tx>
          <c:spPr>
            <a:ln w="19050" cap="rnd">
              <a:noFill/>
              <a:round/>
            </a:ln>
            <a:effectLst/>
          </c:spPr>
          <c:marker>
            <c:symbol val="circle"/>
            <c:size val="5"/>
            <c:spPr>
              <a:solidFill>
                <a:schemeClr val="tx1">
                  <a:lumMod val="65000"/>
                  <a:lumOff val="35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Sheet1!$C$2:$C$23</c:f>
              <c:numCache>
                <c:formatCode>General</c:formatCode>
                <c:ptCount val="22"/>
                <c:pt idx="0">
                  <c:v>0.38612564966623197</c:v>
                </c:pt>
                <c:pt idx="1">
                  <c:v>0.60400374866091699</c:v>
                </c:pt>
                <c:pt idx="2">
                  <c:v>0.68437463237504204</c:v>
                </c:pt>
                <c:pt idx="3">
                  <c:v>0.39235633025699601</c:v>
                </c:pt>
                <c:pt idx="4">
                  <c:v>0.53399489138023104</c:v>
                </c:pt>
                <c:pt idx="5">
                  <c:v>0.384051229023119</c:v>
                </c:pt>
                <c:pt idx="6">
                  <c:v>1.0024307993267401</c:v>
                </c:pt>
                <c:pt idx="7">
                  <c:v>0.50240541503949998</c:v>
                </c:pt>
                <c:pt idx="8">
                  <c:v>0.52795542478919399</c:v>
                </c:pt>
                <c:pt idx="9">
                  <c:v>0.334816015082465</c:v>
                </c:pt>
                <c:pt idx="10">
                  <c:v>0.57414063978754004</c:v>
                </c:pt>
                <c:pt idx="11">
                  <c:v>0.77649592471801998</c:v>
                </c:pt>
                <c:pt idx="12">
                  <c:v>0.300440949895383</c:v>
                </c:pt>
                <c:pt idx="13">
                  <c:v>0.42984425583713598</c:v>
                </c:pt>
                <c:pt idx="14">
                  <c:v>0.66565411499835203</c:v>
                </c:pt>
                <c:pt idx="15">
                  <c:v>0.58184415639519305</c:v>
                </c:pt>
                <c:pt idx="16">
                  <c:v>0.49238006503790799</c:v>
                </c:pt>
                <c:pt idx="17">
                  <c:v>0.46838913046520497</c:v>
                </c:pt>
                <c:pt idx="18">
                  <c:v>0.40668983337362302</c:v>
                </c:pt>
                <c:pt idx="19">
                  <c:v>0.45262728938562602</c:v>
                </c:pt>
                <c:pt idx="20">
                  <c:v>0.51896291385028404</c:v>
                </c:pt>
                <c:pt idx="21">
                  <c:v>0.45238613092938601</c:v>
                </c:pt>
              </c:numCache>
            </c:numRef>
          </c:xVal>
          <c:yVal>
            <c:numRef>
              <c:f>Sheet1!$L$2:$L$23</c:f>
              <c:numCache>
                <c:formatCode>General</c:formatCode>
                <c:ptCount val="22"/>
                <c:pt idx="0">
                  <c:v>0.46890428673685403</c:v>
                </c:pt>
                <c:pt idx="1">
                  <c:v>0.64767057173803499</c:v>
                </c:pt>
                <c:pt idx="2">
                  <c:v>0.64610126197474305</c:v>
                </c:pt>
                <c:pt idx="3">
                  <c:v>0.37208647992252802</c:v>
                </c:pt>
                <c:pt idx="4">
                  <c:v>0.57897752492410803</c:v>
                </c:pt>
                <c:pt idx="5">
                  <c:v>0.40308695474770201</c:v>
                </c:pt>
                <c:pt idx="6">
                  <c:v>0.88334997994366604</c:v>
                </c:pt>
                <c:pt idx="7">
                  <c:v>0.46819422215204098</c:v>
                </c:pt>
                <c:pt idx="8">
                  <c:v>0.42700246186290403</c:v>
                </c:pt>
                <c:pt idx="9">
                  <c:v>0.29015433457756801</c:v>
                </c:pt>
                <c:pt idx="10">
                  <c:v>0.52361580705323796</c:v>
                </c:pt>
                <c:pt idx="11">
                  <c:v>0.76587031505984604</c:v>
                </c:pt>
                <c:pt idx="12">
                  <c:v>0.31013837540856098</c:v>
                </c:pt>
                <c:pt idx="13">
                  <c:v>0.46493239570017297</c:v>
                </c:pt>
                <c:pt idx="14">
                  <c:v>0.66758143012342996</c:v>
                </c:pt>
                <c:pt idx="15">
                  <c:v>0.506339799635532</c:v>
                </c:pt>
                <c:pt idx="16">
                  <c:v>0.41393720549903501</c:v>
                </c:pt>
                <c:pt idx="17">
                  <c:v>0.52541655414132704</c:v>
                </c:pt>
                <c:pt idx="18">
                  <c:v>0.35214425641924801</c:v>
                </c:pt>
                <c:pt idx="19">
                  <c:v>0.37776593426459298</c:v>
                </c:pt>
                <c:pt idx="20">
                  <c:v>0.40127431669789398</c:v>
                </c:pt>
                <c:pt idx="21">
                  <c:v>0.67178152059651497</c:v>
                </c:pt>
              </c:numCache>
            </c:numRef>
          </c:yVal>
          <c:smooth val="0"/>
          <c:extLst>
            <c:ext xmlns:c16="http://schemas.microsoft.com/office/drawing/2014/chart" uri="{C3380CC4-5D6E-409C-BE32-E72D297353CC}">
              <c16:uniqueId val="{00000001-2B59-AC45-AA5D-AF4F89F08844}"/>
            </c:ext>
          </c:extLst>
        </c:ser>
        <c:dLbls>
          <c:showLegendKey val="0"/>
          <c:showVal val="0"/>
          <c:showCatName val="0"/>
          <c:showSerName val="0"/>
          <c:showPercent val="0"/>
          <c:showBubbleSize val="0"/>
        </c:dLbls>
        <c:axId val="344958416"/>
        <c:axId val="344952536"/>
      </c:scatterChart>
      <c:valAx>
        <c:axId val="344958416"/>
        <c:scaling>
          <c:orientation val="minMax"/>
          <c:max val="1.05"/>
          <c:min val="0.25"/>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Homovanillic Acid Dried Urine (ng/mg-Cr)</a:t>
                </a:r>
              </a:p>
            </c:rich>
          </c:tx>
          <c:layout>
            <c:manualLayout>
              <c:xMode val="edge"/>
              <c:yMode val="edge"/>
              <c:x val="0.23342601706036747"/>
              <c:y val="0.9429513888888888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44952536"/>
        <c:crosses val="autoZero"/>
        <c:crossBetween val="midCat"/>
        <c:majorUnit val="0.1"/>
      </c:valAx>
      <c:valAx>
        <c:axId val="344952536"/>
        <c:scaling>
          <c:orientation val="minMax"/>
          <c:max val="1.05"/>
          <c:min val="0.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Homovanillic Acid Liquid Urine (ng/mg-Cr)</a:t>
                </a:r>
              </a:p>
            </c:rich>
          </c:tx>
          <c:layout>
            <c:manualLayout>
              <c:xMode val="edge"/>
              <c:yMode val="edge"/>
              <c:x val="1.7361111111111112E-2"/>
              <c:y val="9.9397965879265096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449584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6784230096238"/>
          <c:y val="4.2795275590551178E-2"/>
          <c:w val="0.78637713254593178"/>
          <c:h val="0.8203409339457568"/>
        </c:manualLayout>
      </c:layout>
      <c:scatterChart>
        <c:scatterStyle val="lineMarker"/>
        <c:varyColors val="0"/>
        <c:ser>
          <c:idx val="0"/>
          <c:order val="0"/>
          <c:tx>
            <c:v>E1</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Sheet1!$M$2:$M$27</c:f>
              <c:numCache>
                <c:formatCode>0.00</c:formatCode>
                <c:ptCount val="26"/>
                <c:pt idx="0">
                  <c:v>13.5979838461013</c:v>
                </c:pt>
                <c:pt idx="1">
                  <c:v>9.3432883090254908</c:v>
                </c:pt>
                <c:pt idx="2">
                  <c:v>16.032480456495399</c:v>
                </c:pt>
                <c:pt idx="3">
                  <c:v>7.99174062411881</c:v>
                </c:pt>
                <c:pt idx="4">
                  <c:v>26.188916441180901</c:v>
                </c:pt>
                <c:pt idx="5">
                  <c:v>2.5715803125446599</c:v>
                </c:pt>
                <c:pt idx="6">
                  <c:v>37.8793696111128</c:v>
                </c:pt>
                <c:pt idx="7">
                  <c:v>9.1832751778408301</c:v>
                </c:pt>
                <c:pt idx="8">
                  <c:v>6.7972612295108803</c:v>
                </c:pt>
                <c:pt idx="9">
                  <c:v>4.4264224313206899</c:v>
                </c:pt>
                <c:pt idx="10">
                  <c:v>24.5927560599103</c:v>
                </c:pt>
                <c:pt idx="11">
                  <c:v>14.336913767659899</c:v>
                </c:pt>
                <c:pt idx="12">
                  <c:v>6.6979922161297303</c:v>
                </c:pt>
                <c:pt idx="13">
                  <c:v>7.1338504241326399</c:v>
                </c:pt>
                <c:pt idx="14">
                  <c:v>4.8531660303037798</c:v>
                </c:pt>
                <c:pt idx="15">
                  <c:v>14.729722588545799</c:v>
                </c:pt>
                <c:pt idx="16">
                  <c:v>23.1215759747218</c:v>
                </c:pt>
                <c:pt idx="17">
                  <c:v>8.6206925255358708</c:v>
                </c:pt>
                <c:pt idx="18">
                  <c:v>14.409031054096801</c:v>
                </c:pt>
                <c:pt idx="19">
                  <c:v>18.749115641922501</c:v>
                </c:pt>
                <c:pt idx="20">
                  <c:v>18.562889280131099</c:v>
                </c:pt>
                <c:pt idx="21">
                  <c:v>25.992057859991199</c:v>
                </c:pt>
                <c:pt idx="22">
                  <c:v>25.384389688954599</c:v>
                </c:pt>
                <c:pt idx="23">
                  <c:v>17.959984180689499</c:v>
                </c:pt>
                <c:pt idx="24">
                  <c:v>1.4430851971412999</c:v>
                </c:pt>
                <c:pt idx="25">
                  <c:v>17.936699009804801</c:v>
                </c:pt>
              </c:numCache>
            </c:numRef>
          </c:xVal>
          <c:yVal>
            <c:numRef>
              <c:f>Sheet1!$AF$2:$AF$27</c:f>
              <c:numCache>
                <c:formatCode>0.00</c:formatCode>
                <c:ptCount val="26"/>
                <c:pt idx="0">
                  <c:v>13.6290962174243</c:v>
                </c:pt>
                <c:pt idx="1">
                  <c:v>7.6721280758201997</c:v>
                </c:pt>
                <c:pt idx="2">
                  <c:v>13.679457332567599</c:v>
                </c:pt>
                <c:pt idx="3">
                  <c:v>3.2348233329111</c:v>
                </c:pt>
                <c:pt idx="4">
                  <c:v>28.750165748000001</c:v>
                </c:pt>
                <c:pt idx="5">
                  <c:v>2.25497319651268</c:v>
                </c:pt>
                <c:pt idx="6">
                  <c:v>34.207715937682799</c:v>
                </c:pt>
                <c:pt idx="7">
                  <c:v>7.6000041313037601</c:v>
                </c:pt>
                <c:pt idx="8">
                  <c:v>6.31677688351167</c:v>
                </c:pt>
                <c:pt idx="9">
                  <c:v>4.1748929431267703</c:v>
                </c:pt>
                <c:pt idx="10">
                  <c:v>23.262765927568399</c:v>
                </c:pt>
                <c:pt idx="11">
                  <c:v>13.708287661983601</c:v>
                </c:pt>
                <c:pt idx="12">
                  <c:v>6.82588103445695</c:v>
                </c:pt>
                <c:pt idx="13">
                  <c:v>6.2589750681700096</c:v>
                </c:pt>
                <c:pt idx="14">
                  <c:v>4.7911533513190099</c:v>
                </c:pt>
                <c:pt idx="15">
                  <c:v>13.7613992146199</c:v>
                </c:pt>
                <c:pt idx="16">
                  <c:v>19.8440530351888</c:v>
                </c:pt>
                <c:pt idx="17">
                  <c:v>7.8556814598243001</c:v>
                </c:pt>
                <c:pt idx="18">
                  <c:v>13.984438968061699</c:v>
                </c:pt>
                <c:pt idx="19">
                  <c:v>18.729077329249801</c:v>
                </c:pt>
                <c:pt idx="20">
                  <c:v>16.722607325045502</c:v>
                </c:pt>
                <c:pt idx="21">
                  <c:v>28.390090054353902</c:v>
                </c:pt>
                <c:pt idx="22">
                  <c:v>23.680377140167899</c:v>
                </c:pt>
                <c:pt idx="23">
                  <c:v>18.7484376158808</c:v>
                </c:pt>
                <c:pt idx="24">
                  <c:v>1.61190367318503</c:v>
                </c:pt>
                <c:pt idx="25">
                  <c:v>19.157134193575502</c:v>
                </c:pt>
              </c:numCache>
            </c:numRef>
          </c:yVal>
          <c:smooth val="0"/>
          <c:extLst>
            <c:ext xmlns:c16="http://schemas.microsoft.com/office/drawing/2014/chart" uri="{C3380CC4-5D6E-409C-BE32-E72D297353CC}">
              <c16:uniqueId val="{00000001-1E91-A846-95E2-42DFD4B40078}"/>
            </c:ext>
          </c:extLst>
        </c:ser>
        <c:dLbls>
          <c:showLegendKey val="0"/>
          <c:showVal val="0"/>
          <c:showCatName val="0"/>
          <c:showSerName val="0"/>
          <c:showPercent val="0"/>
          <c:showBubbleSize val="0"/>
        </c:dLbls>
        <c:axId val="409183216"/>
        <c:axId val="409184392"/>
      </c:scatterChart>
      <c:valAx>
        <c:axId val="409183216"/>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Estrone (ng/mg-Cr)</a:t>
                </a:r>
              </a:p>
            </c:rich>
          </c:tx>
          <c:layout>
            <c:manualLayout>
              <c:xMode val="edge"/>
              <c:yMode val="edge"/>
              <c:x val="0.3498930993000875"/>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09184392"/>
        <c:crosses val="autoZero"/>
        <c:crossBetween val="midCat"/>
        <c:majorUnit val="5"/>
      </c:valAx>
      <c:valAx>
        <c:axId val="40918439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Estrone (ug/d)</a:t>
                </a:r>
              </a:p>
            </c:rich>
          </c:tx>
          <c:layout>
            <c:manualLayout>
              <c:xMode val="edge"/>
              <c:yMode val="edge"/>
              <c:x val="6.9444444444444441E-3"/>
              <c:y val="0.2610646325459317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091832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6784230096238"/>
          <c:y val="4.2795275590551178E-2"/>
          <c:w val="0.78637713254593178"/>
          <c:h val="0.81339648950131238"/>
        </c:manualLayout>
      </c:layout>
      <c:scatterChart>
        <c:scatterStyle val="lineMarker"/>
        <c:varyColors val="0"/>
        <c:ser>
          <c:idx val="0"/>
          <c:order val="0"/>
          <c:tx>
            <c:v>E3</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Sheet1!$O$2:$O$27</c:f>
              <c:numCache>
                <c:formatCode>0.00</c:formatCode>
                <c:ptCount val="26"/>
                <c:pt idx="0">
                  <c:v>9.7227185079881107</c:v>
                </c:pt>
                <c:pt idx="1">
                  <c:v>3.76621153345156</c:v>
                </c:pt>
                <c:pt idx="2">
                  <c:v>5.0585247391517996</c:v>
                </c:pt>
                <c:pt idx="3">
                  <c:v>8.8198110610755904</c:v>
                </c:pt>
                <c:pt idx="4">
                  <c:v>13.626555997858</c:v>
                </c:pt>
                <c:pt idx="5">
                  <c:v>1.6514793407170401</c:v>
                </c:pt>
                <c:pt idx="6">
                  <c:v>21.612386986011799</c:v>
                </c:pt>
                <c:pt idx="7">
                  <c:v>7.2203468122408196</c:v>
                </c:pt>
                <c:pt idx="8">
                  <c:v>3.5671935470456702</c:v>
                </c:pt>
                <c:pt idx="9">
                  <c:v>7.5499199999865398</c:v>
                </c:pt>
                <c:pt idx="10">
                  <c:v>9.4528028038299006</c:v>
                </c:pt>
                <c:pt idx="11">
                  <c:v>6.1337458874932098</c:v>
                </c:pt>
                <c:pt idx="12">
                  <c:v>1.5042905933516799</c:v>
                </c:pt>
                <c:pt idx="13">
                  <c:v>4.1544387465423096</c:v>
                </c:pt>
                <c:pt idx="14">
                  <c:v>11.3378886996435</c:v>
                </c:pt>
                <c:pt idx="15">
                  <c:v>6.4193826456262704</c:v>
                </c:pt>
                <c:pt idx="16">
                  <c:v>25.679316317607501</c:v>
                </c:pt>
                <c:pt idx="17">
                  <c:v>4.01278811350263</c:v>
                </c:pt>
                <c:pt idx="18">
                  <c:v>7.0187217969706301</c:v>
                </c:pt>
                <c:pt idx="19">
                  <c:v>12.3764480409868</c:v>
                </c:pt>
                <c:pt idx="20">
                  <c:v>19.120110797296</c:v>
                </c:pt>
                <c:pt idx="21">
                  <c:v>16.0488858085467</c:v>
                </c:pt>
                <c:pt idx="22">
                  <c:v>15.6028891078792</c:v>
                </c:pt>
                <c:pt idx="23">
                  <c:v>5.7627776679866098</c:v>
                </c:pt>
                <c:pt idx="24">
                  <c:v>1.4984579433723699</c:v>
                </c:pt>
                <c:pt idx="25">
                  <c:v>12.9569566383888</c:v>
                </c:pt>
              </c:numCache>
            </c:numRef>
          </c:xVal>
          <c:yVal>
            <c:numRef>
              <c:f>Sheet1!$AH$2:$AH$27</c:f>
              <c:numCache>
                <c:formatCode>0.00</c:formatCode>
                <c:ptCount val="26"/>
                <c:pt idx="0">
                  <c:v>9.6827395342024207</c:v>
                </c:pt>
                <c:pt idx="1">
                  <c:v>4.1352643959025803</c:v>
                </c:pt>
                <c:pt idx="2">
                  <c:v>6.3469777357522803</c:v>
                </c:pt>
                <c:pt idx="3">
                  <c:v>6.9052315334694798</c:v>
                </c:pt>
                <c:pt idx="4">
                  <c:v>12.8000892412268</c:v>
                </c:pt>
                <c:pt idx="5">
                  <c:v>1.45146640560081</c:v>
                </c:pt>
                <c:pt idx="6">
                  <c:v>18.188734407850902</c:v>
                </c:pt>
                <c:pt idx="7">
                  <c:v>5.5602686997953601</c:v>
                </c:pt>
                <c:pt idx="8">
                  <c:v>3.4459955792271502</c:v>
                </c:pt>
                <c:pt idx="9">
                  <c:v>2.15126483253262</c:v>
                </c:pt>
                <c:pt idx="10">
                  <c:v>10.6363643532873</c:v>
                </c:pt>
                <c:pt idx="11">
                  <c:v>6.7305848278538098</c:v>
                </c:pt>
                <c:pt idx="12">
                  <c:v>1.60778706686093</c:v>
                </c:pt>
                <c:pt idx="13">
                  <c:v>3.5740852819537801</c:v>
                </c:pt>
                <c:pt idx="14">
                  <c:v>8.8600780077671395</c:v>
                </c:pt>
                <c:pt idx="15">
                  <c:v>5.8468825858061697</c:v>
                </c:pt>
                <c:pt idx="16">
                  <c:v>31.1500448279218</c:v>
                </c:pt>
                <c:pt idx="17">
                  <c:v>2.8790309410174499</c:v>
                </c:pt>
                <c:pt idx="18">
                  <c:v>7.6831435834384303</c:v>
                </c:pt>
                <c:pt idx="19">
                  <c:v>11.644862727082099</c:v>
                </c:pt>
                <c:pt idx="20">
                  <c:v>16.554007681526599</c:v>
                </c:pt>
                <c:pt idx="21">
                  <c:v>16.7581865722061</c:v>
                </c:pt>
                <c:pt idx="22">
                  <c:v>13.803533195146899</c:v>
                </c:pt>
                <c:pt idx="23">
                  <c:v>6.1361560309007999</c:v>
                </c:pt>
                <c:pt idx="24">
                  <c:v>1.5693715009260201</c:v>
                </c:pt>
                <c:pt idx="25">
                  <c:v>14.708781770173699</c:v>
                </c:pt>
              </c:numCache>
            </c:numRef>
          </c:yVal>
          <c:smooth val="0"/>
          <c:extLst>
            <c:ext xmlns:c16="http://schemas.microsoft.com/office/drawing/2014/chart" uri="{C3380CC4-5D6E-409C-BE32-E72D297353CC}">
              <c16:uniqueId val="{00000001-59E5-C244-A845-1E2376808FD7}"/>
            </c:ext>
          </c:extLst>
        </c:ser>
        <c:dLbls>
          <c:showLegendKey val="0"/>
          <c:showVal val="0"/>
          <c:showCatName val="0"/>
          <c:showSerName val="0"/>
          <c:showPercent val="0"/>
          <c:showBubbleSize val="0"/>
        </c:dLbls>
        <c:axId val="398405168"/>
        <c:axId val="398406344"/>
      </c:scatterChart>
      <c:valAx>
        <c:axId val="398405168"/>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Estriol (ng/mg-Cr)</a:t>
                </a:r>
              </a:p>
            </c:rich>
          </c:tx>
          <c:layout>
            <c:manualLayout>
              <c:xMode val="edge"/>
              <c:yMode val="edge"/>
              <c:x val="0.34046587926509186"/>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8406344"/>
        <c:crosses val="autoZero"/>
        <c:crossBetween val="midCat"/>
        <c:majorUnit val="5"/>
      </c:valAx>
      <c:valAx>
        <c:axId val="398406344"/>
        <c:scaling>
          <c:orientation val="minMax"/>
          <c:max val="3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Estriol (ug/d)</a:t>
                </a:r>
              </a:p>
            </c:rich>
          </c:tx>
          <c:layout>
            <c:manualLayout>
              <c:xMode val="edge"/>
              <c:yMode val="edge"/>
              <c:x val="6.9444444444444441E-3"/>
              <c:y val="0.2759432414698162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84051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78258967629045"/>
          <c:y val="4.2795275590551178E-2"/>
          <c:w val="0.78101268591426076"/>
          <c:h val="0.81339648950131238"/>
        </c:manualLayout>
      </c:layout>
      <c:scatterChart>
        <c:scatterStyle val="lineMarker"/>
        <c:varyColors val="0"/>
        <c:ser>
          <c:idx val="0"/>
          <c:order val="0"/>
          <c:tx>
            <c:v>2OHE2</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Sheet1!$T$2:$T$27</c:f>
              <c:numCache>
                <c:formatCode>0.00</c:formatCode>
                <c:ptCount val="26"/>
                <c:pt idx="0">
                  <c:v>0.36529238794232899</c:v>
                </c:pt>
                <c:pt idx="1">
                  <c:v>0.244074971094527</c:v>
                </c:pt>
                <c:pt idx="2">
                  <c:v>0.43137430749278399</c:v>
                </c:pt>
                <c:pt idx="3">
                  <c:v>0.249482364983491</c:v>
                </c:pt>
                <c:pt idx="4">
                  <c:v>0.97495861200503997</c:v>
                </c:pt>
                <c:pt idx="5">
                  <c:v>9.5670773829392194E-2</c:v>
                </c:pt>
                <c:pt idx="6">
                  <c:v>0.45852985293113302</c:v>
                </c:pt>
                <c:pt idx="7">
                  <c:v>0.25238651809034901</c:v>
                </c:pt>
                <c:pt idx="8">
                  <c:v>0.28558959780636201</c:v>
                </c:pt>
                <c:pt idx="9">
                  <c:v>3.0429097155001E-2</c:v>
                </c:pt>
                <c:pt idx="10">
                  <c:v>0.48702337758992698</c:v>
                </c:pt>
                <c:pt idx="11">
                  <c:v>0.219143385591381</c:v>
                </c:pt>
                <c:pt idx="12">
                  <c:v>7.7749924796552405E-2</c:v>
                </c:pt>
                <c:pt idx="13">
                  <c:v>0.14436610951898601</c:v>
                </c:pt>
                <c:pt idx="14">
                  <c:v>8.2502471996669394E-2</c:v>
                </c:pt>
                <c:pt idx="15">
                  <c:v>0.31488026641583799</c:v>
                </c:pt>
                <c:pt idx="16">
                  <c:v>0.75395439761173</c:v>
                </c:pt>
                <c:pt idx="17">
                  <c:v>0.11189765936769</c:v>
                </c:pt>
                <c:pt idx="18">
                  <c:v>0.127788086143207</c:v>
                </c:pt>
                <c:pt idx="19">
                  <c:v>0.73733476729912495</c:v>
                </c:pt>
                <c:pt idx="20">
                  <c:v>0.86557025566580803</c:v>
                </c:pt>
                <c:pt idx="21">
                  <c:v>1.8246579343618501</c:v>
                </c:pt>
                <c:pt idx="22">
                  <c:v>1.17524996896468</c:v>
                </c:pt>
                <c:pt idx="23">
                  <c:v>0.49154957492173901</c:v>
                </c:pt>
                <c:pt idx="24">
                  <c:v>4.4797083422751703E-2</c:v>
                </c:pt>
                <c:pt idx="25">
                  <c:v>0.355384034408742</c:v>
                </c:pt>
              </c:numCache>
            </c:numRef>
          </c:xVal>
          <c:yVal>
            <c:numRef>
              <c:f>Sheet1!$AM$2:$AM$27</c:f>
              <c:numCache>
                <c:formatCode>0.00</c:formatCode>
                <c:ptCount val="26"/>
                <c:pt idx="0">
                  <c:v>0.317820026922985</c:v>
                </c:pt>
                <c:pt idx="1">
                  <c:v>0.23570040770273201</c:v>
                </c:pt>
                <c:pt idx="2">
                  <c:v>0.38305332342116999</c:v>
                </c:pt>
                <c:pt idx="3">
                  <c:v>0.10730996842966101</c:v>
                </c:pt>
                <c:pt idx="4">
                  <c:v>0.98950263469414701</c:v>
                </c:pt>
                <c:pt idx="5">
                  <c:v>5.81754223586863E-2</c:v>
                </c:pt>
                <c:pt idx="6">
                  <c:v>0.31779620110593698</c:v>
                </c:pt>
                <c:pt idx="7">
                  <c:v>0.18991692048115599</c:v>
                </c:pt>
                <c:pt idx="8">
                  <c:v>0.25507683657769398</c:v>
                </c:pt>
                <c:pt idx="9">
                  <c:v>3.1698769510701302E-2</c:v>
                </c:pt>
                <c:pt idx="10">
                  <c:v>0.578252480090652</c:v>
                </c:pt>
                <c:pt idx="11">
                  <c:v>0.17917217010236899</c:v>
                </c:pt>
                <c:pt idx="12">
                  <c:v>6.1512927914804102E-2</c:v>
                </c:pt>
                <c:pt idx="13">
                  <c:v>0.134300801096505</c:v>
                </c:pt>
                <c:pt idx="14">
                  <c:v>5.9598775088906597E-2</c:v>
                </c:pt>
                <c:pt idx="15">
                  <c:v>0.22825994638208599</c:v>
                </c:pt>
                <c:pt idx="16">
                  <c:v>0.66905278172734295</c:v>
                </c:pt>
                <c:pt idx="17">
                  <c:v>8.7883202142695099E-2</c:v>
                </c:pt>
                <c:pt idx="18">
                  <c:v>0.12613821909248399</c:v>
                </c:pt>
                <c:pt idx="19">
                  <c:v>0.81284184679076299</c:v>
                </c:pt>
                <c:pt idx="20">
                  <c:v>0.71666570407143404</c:v>
                </c:pt>
                <c:pt idx="21">
                  <c:v>1.7245514962763699</c:v>
                </c:pt>
                <c:pt idx="22">
                  <c:v>0.86806777389041401</c:v>
                </c:pt>
                <c:pt idx="23">
                  <c:v>0.69829952642428095</c:v>
                </c:pt>
                <c:pt idx="24">
                  <c:v>5.1525758907119301E-2</c:v>
                </c:pt>
                <c:pt idx="25">
                  <c:v>0.34220762639938201</c:v>
                </c:pt>
              </c:numCache>
            </c:numRef>
          </c:yVal>
          <c:smooth val="0"/>
          <c:extLst>
            <c:ext xmlns:c16="http://schemas.microsoft.com/office/drawing/2014/chart" uri="{C3380CC4-5D6E-409C-BE32-E72D297353CC}">
              <c16:uniqueId val="{00000001-FEFC-6741-8B7A-AACFEE79D7D0}"/>
            </c:ext>
          </c:extLst>
        </c:ser>
        <c:dLbls>
          <c:showLegendKey val="0"/>
          <c:showVal val="0"/>
          <c:showCatName val="0"/>
          <c:showSerName val="0"/>
          <c:showPercent val="0"/>
          <c:showBubbleSize val="0"/>
        </c:dLbls>
        <c:axId val="344064208"/>
        <c:axId val="397124824"/>
      </c:scatterChart>
      <c:valAx>
        <c:axId val="344064208"/>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2-OH-Estradiol (ng/mg-Cr)</a:t>
                </a:r>
              </a:p>
            </c:rich>
          </c:tx>
          <c:layout>
            <c:manualLayout>
              <c:xMode val="edge"/>
              <c:yMode val="edge"/>
              <c:x val="0.26903351924759406"/>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7124824"/>
        <c:crosses val="autoZero"/>
        <c:crossBetween val="midCat"/>
        <c:majorUnit val="0.2"/>
      </c:valAx>
      <c:valAx>
        <c:axId val="39712482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2-OH-Estradiol (ug/d)</a:t>
                </a:r>
              </a:p>
            </c:rich>
          </c:tx>
          <c:layout>
            <c:manualLayout>
              <c:xMode val="edge"/>
              <c:yMode val="edge"/>
              <c:x val="3.472222222222222E-3"/>
              <c:y val="0.2018807414698162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440642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2">
          <a:lumMod val="50000"/>
        </a:schemeClr>
      </a:solidFill>
      <a:round/>
    </a:ln>
    <a:effectLst/>
  </c:spPr>
  <c:txPr>
    <a:bodyPr/>
    <a:lstStyle/>
    <a:p>
      <a:pPr>
        <a:defRPr sz="1200"/>
      </a:pPr>
      <a:endParaRPr lang="en-US"/>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78258967629045"/>
          <c:y val="4.2795275590551178E-2"/>
          <c:w val="0.78101268591426076"/>
          <c:h val="0.8203409339457568"/>
        </c:manualLayout>
      </c:layout>
      <c:scatterChart>
        <c:scatterStyle val="lineMarker"/>
        <c:varyColors val="0"/>
        <c:ser>
          <c:idx val="0"/>
          <c:order val="0"/>
          <c:tx>
            <c:v>4OHE1</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Sheet1!$Q$2:$Q$27</c:f>
              <c:numCache>
                <c:formatCode>0.00</c:formatCode>
                <c:ptCount val="26"/>
                <c:pt idx="0">
                  <c:v>0.61565687863266205</c:v>
                </c:pt>
                <c:pt idx="1">
                  <c:v>0.441142830289108</c:v>
                </c:pt>
                <c:pt idx="2">
                  <c:v>0.45560070943687198</c:v>
                </c:pt>
                <c:pt idx="3">
                  <c:v>0.303174078490836</c:v>
                </c:pt>
                <c:pt idx="4">
                  <c:v>1.1363548342411001</c:v>
                </c:pt>
                <c:pt idx="5">
                  <c:v>0.17400889380995899</c:v>
                </c:pt>
                <c:pt idx="6">
                  <c:v>0.80813282120066199</c:v>
                </c:pt>
                <c:pt idx="7">
                  <c:v>0.271131258786869</c:v>
                </c:pt>
                <c:pt idx="8">
                  <c:v>0.26305022643958298</c:v>
                </c:pt>
                <c:pt idx="9">
                  <c:v>0.17205498821964901</c:v>
                </c:pt>
                <c:pt idx="10">
                  <c:v>1.0793223110000301</c:v>
                </c:pt>
                <c:pt idx="11">
                  <c:v>0.46074948308408697</c:v>
                </c:pt>
                <c:pt idx="12">
                  <c:v>0.17816242042850899</c:v>
                </c:pt>
                <c:pt idx="13">
                  <c:v>0.31605278627481298</c:v>
                </c:pt>
                <c:pt idx="14">
                  <c:v>0.25023423916825999</c:v>
                </c:pt>
                <c:pt idx="15">
                  <c:v>0.36767754274199299</c:v>
                </c:pt>
                <c:pt idx="16">
                  <c:v>1.1946085036805201</c:v>
                </c:pt>
                <c:pt idx="17">
                  <c:v>0.34449159841078397</c:v>
                </c:pt>
                <c:pt idx="18">
                  <c:v>0.37293657472462299</c:v>
                </c:pt>
                <c:pt idx="19">
                  <c:v>1.08466582746399</c:v>
                </c:pt>
                <c:pt idx="20">
                  <c:v>0.78293129469482303</c:v>
                </c:pt>
                <c:pt idx="21">
                  <c:v>1.09746357637646</c:v>
                </c:pt>
                <c:pt idx="22">
                  <c:v>0.87235605177718101</c:v>
                </c:pt>
                <c:pt idx="23">
                  <c:v>0.54334249719558303</c:v>
                </c:pt>
                <c:pt idx="24">
                  <c:v>0.119995017939206</c:v>
                </c:pt>
                <c:pt idx="25">
                  <c:v>0.55887508798002805</c:v>
                </c:pt>
              </c:numCache>
            </c:numRef>
          </c:xVal>
          <c:yVal>
            <c:numRef>
              <c:f>Sheet1!$AJ$2:$AJ$27</c:f>
              <c:numCache>
                <c:formatCode>0.00</c:formatCode>
                <c:ptCount val="26"/>
                <c:pt idx="0">
                  <c:v>0.59770613670352801</c:v>
                </c:pt>
                <c:pt idx="1">
                  <c:v>0.34962819261502398</c:v>
                </c:pt>
                <c:pt idx="2">
                  <c:v>0.43504949977734397</c:v>
                </c:pt>
                <c:pt idx="3">
                  <c:v>0.14395921233664</c:v>
                </c:pt>
                <c:pt idx="4">
                  <c:v>1.2385602418281501</c:v>
                </c:pt>
                <c:pt idx="5">
                  <c:v>0.12339540684603</c:v>
                </c:pt>
                <c:pt idx="6">
                  <c:v>0.5049888068017</c:v>
                </c:pt>
                <c:pt idx="7">
                  <c:v>0.16414805178255201</c:v>
                </c:pt>
                <c:pt idx="8">
                  <c:v>0.25874025137494999</c:v>
                </c:pt>
                <c:pt idx="9">
                  <c:v>0.14988455613964699</c:v>
                </c:pt>
                <c:pt idx="10">
                  <c:v>0.98841143659112995</c:v>
                </c:pt>
                <c:pt idx="11">
                  <c:v>0.38898499835973699</c:v>
                </c:pt>
                <c:pt idx="12">
                  <c:v>0.133949774551061</c:v>
                </c:pt>
                <c:pt idx="13">
                  <c:v>0.30254751361605298</c:v>
                </c:pt>
                <c:pt idx="14">
                  <c:v>0.192252713512298</c:v>
                </c:pt>
                <c:pt idx="15">
                  <c:v>0.32299065663533</c:v>
                </c:pt>
                <c:pt idx="16">
                  <c:v>0.98135983189222298</c:v>
                </c:pt>
                <c:pt idx="17">
                  <c:v>0.30375905731505298</c:v>
                </c:pt>
                <c:pt idx="18">
                  <c:v>0.35999963570863502</c:v>
                </c:pt>
                <c:pt idx="19">
                  <c:v>1.0553559419283101</c:v>
                </c:pt>
                <c:pt idx="20">
                  <c:v>0.67432891940903605</c:v>
                </c:pt>
                <c:pt idx="21">
                  <c:v>1.1050291943533499</c:v>
                </c:pt>
                <c:pt idx="22">
                  <c:v>0.915448743561037</c:v>
                </c:pt>
                <c:pt idx="23">
                  <c:v>0.54028729300431999</c:v>
                </c:pt>
                <c:pt idx="24">
                  <c:v>0.116208265019118</c:v>
                </c:pt>
                <c:pt idx="25">
                  <c:v>0.750338266369316</c:v>
                </c:pt>
              </c:numCache>
            </c:numRef>
          </c:yVal>
          <c:smooth val="0"/>
          <c:extLst>
            <c:ext xmlns:c16="http://schemas.microsoft.com/office/drawing/2014/chart" uri="{C3380CC4-5D6E-409C-BE32-E72D297353CC}">
              <c16:uniqueId val="{00000001-3EFE-6844-BBE9-0ECF15BCD12C}"/>
            </c:ext>
          </c:extLst>
        </c:ser>
        <c:dLbls>
          <c:showLegendKey val="0"/>
          <c:showVal val="0"/>
          <c:showCatName val="0"/>
          <c:showSerName val="0"/>
          <c:showPercent val="0"/>
          <c:showBubbleSize val="0"/>
        </c:dLbls>
        <c:axId val="408307304"/>
        <c:axId val="408308480"/>
      </c:scatterChart>
      <c:valAx>
        <c:axId val="408307304"/>
        <c:scaling>
          <c:orientation val="minMax"/>
          <c:max val="1.4"/>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4-OH-Estrone (ng/mg-Cr)</a:t>
                </a:r>
              </a:p>
            </c:rich>
          </c:tx>
          <c:layout>
            <c:manualLayout>
              <c:xMode val="edge"/>
              <c:yMode val="edge"/>
              <c:x val="0.27813074146981626"/>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08308480"/>
        <c:crosses val="autoZero"/>
        <c:crossBetween val="midCat"/>
        <c:majorUnit val="0.2"/>
      </c:valAx>
      <c:valAx>
        <c:axId val="40830848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4-OH-Estrone</a:t>
                </a:r>
                <a:r>
                  <a:rPr lang="en-US" baseline="0"/>
                  <a:t> </a:t>
                </a:r>
                <a:r>
                  <a:rPr lang="en-US"/>
                  <a:t>(ug/d)</a:t>
                </a:r>
              </a:p>
            </c:rich>
          </c:tx>
          <c:layout>
            <c:manualLayout>
              <c:xMode val="edge"/>
              <c:yMode val="edge"/>
              <c:x val="1.3888888888888888E-2"/>
              <c:y val="0.2109779636920384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083073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73397856517935"/>
          <c:y val="4.2795275590551178E-2"/>
          <c:w val="0.7933215769903762"/>
          <c:h val="0.81339648950131238"/>
        </c:manualLayout>
      </c:layout>
      <c:scatterChart>
        <c:scatterStyle val="lineMarker"/>
        <c:varyColors val="0"/>
        <c:ser>
          <c:idx val="0"/>
          <c:order val="0"/>
          <c:tx>
            <c:v>2methoxyE1</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Sheet1!$S$2:$S$27</c:f>
              <c:numCache>
                <c:formatCode>0.00</c:formatCode>
                <c:ptCount val="26"/>
                <c:pt idx="0">
                  <c:v>2.1194526303532801</c:v>
                </c:pt>
                <c:pt idx="1">
                  <c:v>1.48528739055988</c:v>
                </c:pt>
                <c:pt idx="2">
                  <c:v>2.1569432903610801</c:v>
                </c:pt>
                <c:pt idx="3">
                  <c:v>1.94574553581328</c:v>
                </c:pt>
                <c:pt idx="4">
                  <c:v>5.4298408992995997</c:v>
                </c:pt>
                <c:pt idx="5">
                  <c:v>0.377143134964951</c:v>
                </c:pt>
                <c:pt idx="6">
                  <c:v>4.53581920484738</c:v>
                </c:pt>
                <c:pt idx="7">
                  <c:v>2.0084368810709199</c:v>
                </c:pt>
                <c:pt idx="8">
                  <c:v>1.4748201319334799</c:v>
                </c:pt>
                <c:pt idx="9">
                  <c:v>1.0459006488484801</c:v>
                </c:pt>
                <c:pt idx="10">
                  <c:v>7.76851457970238</c:v>
                </c:pt>
                <c:pt idx="11">
                  <c:v>1.7061263753743501</c:v>
                </c:pt>
                <c:pt idx="12">
                  <c:v>1.53836517385607</c:v>
                </c:pt>
                <c:pt idx="13">
                  <c:v>1.7285832095631399</c:v>
                </c:pt>
                <c:pt idx="14">
                  <c:v>0.537643750867559</c:v>
                </c:pt>
                <c:pt idx="15">
                  <c:v>1.6520878591710699</c:v>
                </c:pt>
                <c:pt idx="16">
                  <c:v>12.3749589071905</c:v>
                </c:pt>
                <c:pt idx="17">
                  <c:v>2.09416994726655</c:v>
                </c:pt>
                <c:pt idx="18">
                  <c:v>2.8629433939970799</c:v>
                </c:pt>
                <c:pt idx="19">
                  <c:v>5.3943888603199701</c:v>
                </c:pt>
                <c:pt idx="20">
                  <c:v>3.4274371736956</c:v>
                </c:pt>
                <c:pt idx="21">
                  <c:v>6.5183713581045204</c:v>
                </c:pt>
                <c:pt idx="22">
                  <c:v>4.1549545154919203</c:v>
                </c:pt>
                <c:pt idx="23">
                  <c:v>2.3089390412456301</c:v>
                </c:pt>
                <c:pt idx="24">
                  <c:v>0.33456489733688599</c:v>
                </c:pt>
                <c:pt idx="25">
                  <c:v>3.9223968844541099</c:v>
                </c:pt>
              </c:numCache>
            </c:numRef>
          </c:xVal>
          <c:yVal>
            <c:numRef>
              <c:f>Sheet1!$AL$2:$AL$27</c:f>
              <c:numCache>
                <c:formatCode>0.00</c:formatCode>
                <c:ptCount val="26"/>
                <c:pt idx="0">
                  <c:v>2.20363104165025</c:v>
                </c:pt>
                <c:pt idx="1">
                  <c:v>1.3862697048224499</c:v>
                </c:pt>
                <c:pt idx="2">
                  <c:v>2.4078843998648001</c:v>
                </c:pt>
                <c:pt idx="3">
                  <c:v>0.98956511706059203</c:v>
                </c:pt>
                <c:pt idx="4">
                  <c:v>5.4999585741454897</c:v>
                </c:pt>
                <c:pt idx="5">
                  <c:v>0.331398256542284</c:v>
                </c:pt>
                <c:pt idx="6">
                  <c:v>3.5634813016654001</c:v>
                </c:pt>
                <c:pt idx="7">
                  <c:v>1.63037046024615</c:v>
                </c:pt>
                <c:pt idx="8">
                  <c:v>1.0144019150861601</c:v>
                </c:pt>
                <c:pt idx="9">
                  <c:v>1.04767180882435</c:v>
                </c:pt>
                <c:pt idx="10">
                  <c:v>7.5580222705294604</c:v>
                </c:pt>
                <c:pt idx="11">
                  <c:v>1.5481523299819899</c:v>
                </c:pt>
                <c:pt idx="12">
                  <c:v>1.3776323308406</c:v>
                </c:pt>
                <c:pt idx="13">
                  <c:v>1.2985351458438601</c:v>
                </c:pt>
                <c:pt idx="14">
                  <c:v>0.34712675586092301</c:v>
                </c:pt>
                <c:pt idx="15">
                  <c:v>1.6545376966827801</c:v>
                </c:pt>
                <c:pt idx="16">
                  <c:v>10.6176841913279</c:v>
                </c:pt>
                <c:pt idx="17">
                  <c:v>2.3456481093262198</c:v>
                </c:pt>
                <c:pt idx="18">
                  <c:v>2.44777901060765</c:v>
                </c:pt>
                <c:pt idx="19">
                  <c:v>5.1656037664606798</c:v>
                </c:pt>
                <c:pt idx="20">
                  <c:v>3.1378726330123698</c:v>
                </c:pt>
                <c:pt idx="21">
                  <c:v>6.9302093590572396</c:v>
                </c:pt>
                <c:pt idx="22">
                  <c:v>3.8007776993831501</c:v>
                </c:pt>
                <c:pt idx="23">
                  <c:v>2.53910765996475</c:v>
                </c:pt>
                <c:pt idx="24">
                  <c:v>0.33887502227592198</c:v>
                </c:pt>
                <c:pt idx="25">
                  <c:v>3.9858115027133598</c:v>
                </c:pt>
              </c:numCache>
            </c:numRef>
          </c:yVal>
          <c:smooth val="0"/>
          <c:extLst>
            <c:ext xmlns:c16="http://schemas.microsoft.com/office/drawing/2014/chart" uri="{C3380CC4-5D6E-409C-BE32-E72D297353CC}">
              <c16:uniqueId val="{00000001-9415-2D49-B4C2-738C0187D687}"/>
            </c:ext>
          </c:extLst>
        </c:ser>
        <c:dLbls>
          <c:showLegendKey val="0"/>
          <c:showVal val="0"/>
          <c:showCatName val="0"/>
          <c:showSerName val="0"/>
          <c:showPercent val="0"/>
          <c:showBubbleSize val="0"/>
        </c:dLbls>
        <c:axId val="345820560"/>
        <c:axId val="345823304"/>
      </c:scatterChart>
      <c:valAx>
        <c:axId val="345820560"/>
        <c:scaling>
          <c:orientation val="minMax"/>
          <c:max val="13"/>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2-Methoxyestrone (ng/mg-Cr)</a:t>
                </a:r>
              </a:p>
            </c:rich>
          </c:tx>
          <c:layout>
            <c:manualLayout>
              <c:xMode val="edge"/>
              <c:yMode val="edge"/>
              <c:x val="0.23369504593175852"/>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45823304"/>
        <c:crosses val="autoZero"/>
        <c:crossBetween val="midCat"/>
        <c:majorUnit val="2"/>
      </c:valAx>
      <c:valAx>
        <c:axId val="34582330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2-Methoxyestrone</a:t>
                </a:r>
                <a:r>
                  <a:rPr lang="en-US" baseline="0"/>
                  <a:t> </a:t>
                </a:r>
                <a:r>
                  <a:rPr lang="en-US"/>
                  <a:t>(ug/d)</a:t>
                </a:r>
              </a:p>
            </c:rich>
          </c:tx>
          <c:layout>
            <c:manualLayout>
              <c:xMode val="edge"/>
              <c:yMode val="edge"/>
              <c:x val="6.9444444444444441E-3"/>
              <c:y val="0.1726446303587051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458205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2">
          <a:lumMod val="50000"/>
        </a:schemeClr>
      </a:solidFill>
      <a:round/>
    </a:ln>
    <a:effectLst/>
  </c:spPr>
  <c:txPr>
    <a:bodyPr/>
    <a:lstStyle/>
    <a:p>
      <a:pPr>
        <a:defRPr sz="1200"/>
      </a:pPr>
      <a:endParaRPr lang="en-US"/>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18022747156605"/>
          <c:y val="4.278652668416448E-2"/>
          <c:w val="0.77251421697287848"/>
          <c:h val="0.82038440507436572"/>
        </c:manualLayout>
      </c:layout>
      <c:scatterChart>
        <c:scatterStyle val="lineMarker"/>
        <c:varyColors val="0"/>
        <c:ser>
          <c:idx val="0"/>
          <c:order val="0"/>
          <c:tx>
            <c:v>5aDHT</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Sheet1!$I$2:$I$27</c:f>
              <c:numCache>
                <c:formatCode>0.00</c:formatCode>
                <c:ptCount val="26"/>
                <c:pt idx="0">
                  <c:v>22.2112961290633</c:v>
                </c:pt>
                <c:pt idx="1">
                  <c:v>10.9040260386698</c:v>
                </c:pt>
                <c:pt idx="2">
                  <c:v>14.351228129004101</c:v>
                </c:pt>
                <c:pt idx="3">
                  <c:v>14.5416784272462</c:v>
                </c:pt>
                <c:pt idx="4">
                  <c:v>7.0960942654232699</c:v>
                </c:pt>
                <c:pt idx="5">
                  <c:v>1.5749520607780201</c:v>
                </c:pt>
                <c:pt idx="6">
                  <c:v>7.59156348299559</c:v>
                </c:pt>
                <c:pt idx="7">
                  <c:v>18.880408301156901</c:v>
                </c:pt>
                <c:pt idx="8">
                  <c:v>11.6242704890858</c:v>
                </c:pt>
                <c:pt idx="9">
                  <c:v>3.2154855390584798</c:v>
                </c:pt>
                <c:pt idx="10">
                  <c:v>1.35097754847492</c:v>
                </c:pt>
                <c:pt idx="11">
                  <c:v>1.86507962338222</c:v>
                </c:pt>
                <c:pt idx="12">
                  <c:v>6.0815049182084699</c:v>
                </c:pt>
                <c:pt idx="13">
                  <c:v>11.9110397922615</c:v>
                </c:pt>
                <c:pt idx="14">
                  <c:v>2.1550866715106798</c:v>
                </c:pt>
                <c:pt idx="15">
                  <c:v>22.2860618835164</c:v>
                </c:pt>
                <c:pt idx="16">
                  <c:v>0.75086767841899904</c:v>
                </c:pt>
                <c:pt idx="17">
                  <c:v>7.86729159139656</c:v>
                </c:pt>
                <c:pt idx="18">
                  <c:v>16.872652053348698</c:v>
                </c:pt>
                <c:pt idx="19">
                  <c:v>4.7652993627430096</c:v>
                </c:pt>
                <c:pt idx="20">
                  <c:v>5.5723776991018603</c:v>
                </c:pt>
                <c:pt idx="21">
                  <c:v>6.7240459949549498</c:v>
                </c:pt>
                <c:pt idx="22">
                  <c:v>4.0478383477457802</c:v>
                </c:pt>
                <c:pt idx="23">
                  <c:v>2.4817410742539598</c:v>
                </c:pt>
                <c:pt idx="24">
                  <c:v>0.57887158110288195</c:v>
                </c:pt>
                <c:pt idx="25">
                  <c:v>1.1275365056266</c:v>
                </c:pt>
              </c:numCache>
            </c:numRef>
          </c:xVal>
          <c:yVal>
            <c:numRef>
              <c:f>Sheet1!$AB$2:$AB$27</c:f>
              <c:numCache>
                <c:formatCode>0.00</c:formatCode>
                <c:ptCount val="26"/>
                <c:pt idx="0">
                  <c:v>22.541167867751799</c:v>
                </c:pt>
                <c:pt idx="1">
                  <c:v>9.7884485866696007</c:v>
                </c:pt>
                <c:pt idx="2">
                  <c:v>13.1364410172944</c:v>
                </c:pt>
                <c:pt idx="3">
                  <c:v>10.307017753193</c:v>
                </c:pt>
                <c:pt idx="4">
                  <c:v>6.5333965603450599</c:v>
                </c:pt>
                <c:pt idx="5">
                  <c:v>1.37882318563971</c:v>
                </c:pt>
                <c:pt idx="6">
                  <c:v>4.4686022774078404</c:v>
                </c:pt>
                <c:pt idx="7">
                  <c:v>17.467827881681401</c:v>
                </c:pt>
                <c:pt idx="8">
                  <c:v>12.6049560771821</c:v>
                </c:pt>
                <c:pt idx="9">
                  <c:v>2.91856099929293</c:v>
                </c:pt>
                <c:pt idx="10">
                  <c:v>1.3260018449331901</c:v>
                </c:pt>
                <c:pt idx="11">
                  <c:v>2.7176884742126699</c:v>
                </c:pt>
                <c:pt idx="12">
                  <c:v>5.60385998122928</c:v>
                </c:pt>
                <c:pt idx="13">
                  <c:v>11.592925047166201</c:v>
                </c:pt>
                <c:pt idx="14">
                  <c:v>1.7806910838513399</c:v>
                </c:pt>
                <c:pt idx="15">
                  <c:v>21.315722643194501</c:v>
                </c:pt>
                <c:pt idx="16">
                  <c:v>0.76922091662509895</c:v>
                </c:pt>
                <c:pt idx="17">
                  <c:v>9.8763104746181405</c:v>
                </c:pt>
                <c:pt idx="18">
                  <c:v>15.8624452177589</c:v>
                </c:pt>
                <c:pt idx="19">
                  <c:v>5.4642086654668596</c:v>
                </c:pt>
                <c:pt idx="20">
                  <c:v>4.59945860220187</c:v>
                </c:pt>
                <c:pt idx="21">
                  <c:v>6.79675680347398</c:v>
                </c:pt>
                <c:pt idx="22">
                  <c:v>3.7331236530519498</c:v>
                </c:pt>
                <c:pt idx="23">
                  <c:v>2.7213863542426702</c:v>
                </c:pt>
                <c:pt idx="24">
                  <c:v>0.59718022896974898</c:v>
                </c:pt>
                <c:pt idx="25">
                  <c:v>1.1301166589384199</c:v>
                </c:pt>
              </c:numCache>
            </c:numRef>
          </c:yVal>
          <c:smooth val="0"/>
          <c:extLst>
            <c:ext xmlns:c16="http://schemas.microsoft.com/office/drawing/2014/chart" uri="{C3380CC4-5D6E-409C-BE32-E72D297353CC}">
              <c16:uniqueId val="{00000001-088F-F041-B179-0813E31B37EC}"/>
            </c:ext>
          </c:extLst>
        </c:ser>
        <c:dLbls>
          <c:showLegendKey val="0"/>
          <c:showVal val="0"/>
          <c:showCatName val="0"/>
          <c:showSerName val="0"/>
          <c:showPercent val="0"/>
          <c:showBubbleSize val="0"/>
        </c:dLbls>
        <c:axId val="410630968"/>
        <c:axId val="410619992"/>
      </c:scatterChart>
      <c:valAx>
        <c:axId val="41063096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a:t>
                </a:r>
                <a:r>
                  <a:rPr lang="en-US" sz="1200" b="0" i="0" u="none" strike="noStrike" baseline="0">
                    <a:effectLst/>
                  </a:rPr>
                  <a:t>Dihydrotestosterone</a:t>
                </a:r>
                <a:r>
                  <a:rPr lang="en-US" sz="1200" b="0" i="0" u="none" strike="noStrike" baseline="0"/>
                  <a:t> </a:t>
                </a:r>
                <a:r>
                  <a:rPr lang="en-US"/>
                  <a:t>(ng/mg-Cr)</a:t>
                </a:r>
              </a:p>
            </c:rich>
          </c:tx>
          <c:layout>
            <c:manualLayout>
              <c:xMode val="edge"/>
              <c:yMode val="edge"/>
              <c:x val="0.22354303368328962"/>
              <c:y val="0.9387325021872265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10619992"/>
        <c:crosses val="autoZero"/>
        <c:crossBetween val="midCat"/>
        <c:majorUnit val="5"/>
      </c:valAx>
      <c:valAx>
        <c:axId val="41061999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a:t>
                </a:r>
                <a:r>
                  <a:rPr lang="en-US" sz="1200" b="0" i="0" u="none" strike="noStrike" baseline="0">
                    <a:effectLst/>
                  </a:rPr>
                  <a:t>Dihydrotestosterone</a:t>
                </a:r>
                <a:r>
                  <a:rPr lang="en-US" sz="1200" b="0" i="0" u="none" strike="noStrike" baseline="0"/>
                  <a:t> </a:t>
                </a:r>
                <a:r>
                  <a:rPr lang="en-US"/>
                  <a:t> (ug/d)</a:t>
                </a:r>
              </a:p>
            </c:rich>
          </c:tx>
          <c:layout>
            <c:manualLayout>
              <c:xMode val="edge"/>
              <c:yMode val="edge"/>
              <c:x val="3.472222222222222E-3"/>
              <c:y val="0.1508606736657917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106309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91524496937883"/>
          <c:y val="4.278652668416448E-2"/>
          <c:w val="0.75779199475065617"/>
          <c:h val="0.80996773840769909"/>
        </c:manualLayout>
      </c:layout>
      <c:scatterChart>
        <c:scatterStyle val="lineMarker"/>
        <c:varyColors val="0"/>
        <c:ser>
          <c:idx val="0"/>
          <c:order val="0"/>
          <c:tx>
            <c:v>Androsterone</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Sheet1!$F$2:$F$27</c:f>
              <c:numCache>
                <c:formatCode>0.00</c:formatCode>
                <c:ptCount val="26"/>
                <c:pt idx="0">
                  <c:v>4658.6358979132401</c:v>
                </c:pt>
                <c:pt idx="1">
                  <c:v>2484.4951162193402</c:v>
                </c:pt>
                <c:pt idx="2">
                  <c:v>2798.47795155228</c:v>
                </c:pt>
                <c:pt idx="3">
                  <c:v>2487.7169710516901</c:v>
                </c:pt>
                <c:pt idx="4">
                  <c:v>1734.2202702960999</c:v>
                </c:pt>
                <c:pt idx="5">
                  <c:v>221.24286800997501</c:v>
                </c:pt>
                <c:pt idx="6">
                  <c:v>1977.2091598739701</c:v>
                </c:pt>
                <c:pt idx="7">
                  <c:v>1376.82455384886</c:v>
                </c:pt>
                <c:pt idx="8">
                  <c:v>818.58755280832202</c:v>
                </c:pt>
                <c:pt idx="9">
                  <c:v>634.56738947823703</c:v>
                </c:pt>
                <c:pt idx="10">
                  <c:v>1750.18769113233</c:v>
                </c:pt>
                <c:pt idx="11">
                  <c:v>691.56421126783403</c:v>
                </c:pt>
                <c:pt idx="12">
                  <c:v>1206.8033528854701</c:v>
                </c:pt>
                <c:pt idx="13">
                  <c:v>1381.0849532704201</c:v>
                </c:pt>
                <c:pt idx="14">
                  <c:v>967.04084814387897</c:v>
                </c:pt>
                <c:pt idx="15">
                  <c:v>4644.1964157172797</c:v>
                </c:pt>
                <c:pt idx="16">
                  <c:v>1286.3286615695399</c:v>
                </c:pt>
                <c:pt idx="17">
                  <c:v>2649.9502039885001</c:v>
                </c:pt>
                <c:pt idx="18">
                  <c:v>2065.6562004965399</c:v>
                </c:pt>
                <c:pt idx="19">
                  <c:v>1501.3654054946901</c:v>
                </c:pt>
                <c:pt idx="20">
                  <c:v>1145.74290159368</c:v>
                </c:pt>
                <c:pt idx="21">
                  <c:v>1216.2907797279099</c:v>
                </c:pt>
                <c:pt idx="22">
                  <c:v>1316.1046826596901</c:v>
                </c:pt>
                <c:pt idx="23">
                  <c:v>534.93346966206195</c:v>
                </c:pt>
                <c:pt idx="24">
                  <c:v>268.66991673716302</c:v>
                </c:pt>
                <c:pt idx="25">
                  <c:v>568.52523688512201</c:v>
                </c:pt>
              </c:numCache>
            </c:numRef>
          </c:xVal>
          <c:yVal>
            <c:numRef>
              <c:f>Sheet1!$Y$2:$Y$27</c:f>
              <c:numCache>
                <c:formatCode>0.00</c:formatCode>
                <c:ptCount val="26"/>
                <c:pt idx="0">
                  <c:v>4917.5243415722998</c:v>
                </c:pt>
                <c:pt idx="1">
                  <c:v>2083.5202559886402</c:v>
                </c:pt>
                <c:pt idx="2">
                  <c:v>2716.3265603680602</c:v>
                </c:pt>
                <c:pt idx="3">
                  <c:v>2430.5380856298598</c:v>
                </c:pt>
                <c:pt idx="4">
                  <c:v>1813.2439165359201</c:v>
                </c:pt>
                <c:pt idx="5">
                  <c:v>184.60222202936001</c:v>
                </c:pt>
                <c:pt idx="6">
                  <c:v>1402.86422514929</c:v>
                </c:pt>
                <c:pt idx="7">
                  <c:v>1005.51460972703</c:v>
                </c:pt>
                <c:pt idx="8">
                  <c:v>936.871011857089</c:v>
                </c:pt>
                <c:pt idx="9">
                  <c:v>504.95006372118399</c:v>
                </c:pt>
                <c:pt idx="10">
                  <c:v>1760.62511834055</c:v>
                </c:pt>
                <c:pt idx="11">
                  <c:v>691.69672705500705</c:v>
                </c:pt>
                <c:pt idx="12">
                  <c:v>1261.10973384315</c:v>
                </c:pt>
                <c:pt idx="13">
                  <c:v>1405.4787105861601</c:v>
                </c:pt>
                <c:pt idx="14">
                  <c:v>854.40893671279798</c:v>
                </c:pt>
                <c:pt idx="15">
                  <c:v>4469.1284608650303</c:v>
                </c:pt>
                <c:pt idx="16">
                  <c:v>1032.7704243657699</c:v>
                </c:pt>
                <c:pt idx="17">
                  <c:v>2579.02711123172</c:v>
                </c:pt>
                <c:pt idx="18">
                  <c:v>1933.3025891719899</c:v>
                </c:pt>
                <c:pt idx="19">
                  <c:v>1940.29119335513</c:v>
                </c:pt>
                <c:pt idx="20">
                  <c:v>929.42981876869305</c:v>
                </c:pt>
                <c:pt idx="21">
                  <c:v>1528.5876967387001</c:v>
                </c:pt>
                <c:pt idx="22">
                  <c:v>1231.89234051839</c:v>
                </c:pt>
                <c:pt idx="23">
                  <c:v>582.65114000143399</c:v>
                </c:pt>
                <c:pt idx="24">
                  <c:v>297.23390867777999</c:v>
                </c:pt>
                <c:pt idx="25">
                  <c:v>697.55316839248803</c:v>
                </c:pt>
              </c:numCache>
            </c:numRef>
          </c:yVal>
          <c:smooth val="0"/>
          <c:extLst>
            <c:ext xmlns:c16="http://schemas.microsoft.com/office/drawing/2014/chart" uri="{C3380CC4-5D6E-409C-BE32-E72D297353CC}">
              <c16:uniqueId val="{00000001-3362-EC42-8409-17D411BBED56}"/>
            </c:ext>
          </c:extLst>
        </c:ser>
        <c:dLbls>
          <c:showLegendKey val="0"/>
          <c:showVal val="0"/>
          <c:showCatName val="0"/>
          <c:showSerName val="0"/>
          <c:showPercent val="0"/>
          <c:showBubbleSize val="0"/>
        </c:dLbls>
        <c:axId val="412033496"/>
        <c:axId val="412034280"/>
      </c:scatterChart>
      <c:valAx>
        <c:axId val="41203349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Androsterone (ng/mg-Cr)</a:t>
                </a:r>
              </a:p>
            </c:rich>
          </c:tx>
          <c:layout>
            <c:manualLayout>
              <c:xMode val="edge"/>
              <c:yMode val="edge"/>
              <c:x val="0.26346511373578302"/>
              <c:y val="0.9387325021872265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12034280"/>
        <c:crosses val="autoZero"/>
        <c:crossBetween val="midCat"/>
        <c:majorUnit val="1000"/>
      </c:valAx>
      <c:valAx>
        <c:axId val="412034280"/>
        <c:scaling>
          <c:orientation val="minMax"/>
          <c:max val="5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Androsterone (ug/d)</a:t>
                </a:r>
              </a:p>
            </c:rich>
          </c:tx>
          <c:layout>
            <c:manualLayout>
              <c:xMode val="edge"/>
              <c:yMode val="edge"/>
              <c:x val="3.472222222222222E-3"/>
              <c:y val="0.2127181758530183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12033496"/>
        <c:crosses val="autoZero"/>
        <c:crossBetween val="midCat"/>
        <c:majorUnit val="1000"/>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413495188101488"/>
          <c:y val="4.278652668416448E-2"/>
          <c:w val="0.7733650481189851"/>
          <c:h val="0.81470745844269465"/>
        </c:manualLayout>
      </c:layout>
      <c:scatterChart>
        <c:scatterStyle val="lineMarker"/>
        <c:varyColors val="0"/>
        <c:ser>
          <c:idx val="0"/>
          <c:order val="0"/>
          <c:tx>
            <c:v>5aAndrostanediol</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Sheet1!$J$2:$J$27</c:f>
              <c:numCache>
                <c:formatCode>0.00</c:formatCode>
                <c:ptCount val="26"/>
                <c:pt idx="0">
                  <c:v>426.91015673469599</c:v>
                </c:pt>
                <c:pt idx="1">
                  <c:v>206.403703401592</c:v>
                </c:pt>
                <c:pt idx="2">
                  <c:v>200.69851021273399</c:v>
                </c:pt>
                <c:pt idx="3">
                  <c:v>319.75590992394899</c:v>
                </c:pt>
                <c:pt idx="4">
                  <c:v>82.980198232906503</c:v>
                </c:pt>
                <c:pt idx="5">
                  <c:v>121.32671945266399</c:v>
                </c:pt>
                <c:pt idx="6">
                  <c:v>168.92879888106199</c:v>
                </c:pt>
                <c:pt idx="7">
                  <c:v>146.69562567406899</c:v>
                </c:pt>
                <c:pt idx="8">
                  <c:v>90.505778509106605</c:v>
                </c:pt>
                <c:pt idx="9">
                  <c:v>51.310390922599296</c:v>
                </c:pt>
                <c:pt idx="10">
                  <c:v>28.947116579451599</c:v>
                </c:pt>
                <c:pt idx="11">
                  <c:v>56.535566110893498</c:v>
                </c:pt>
                <c:pt idx="12">
                  <c:v>82.459323810205504</c:v>
                </c:pt>
                <c:pt idx="13">
                  <c:v>261.37000832832598</c:v>
                </c:pt>
                <c:pt idx="14">
                  <c:v>65.514268705428293</c:v>
                </c:pt>
                <c:pt idx="15">
                  <c:v>496.54379258323598</c:v>
                </c:pt>
                <c:pt idx="16">
                  <c:v>46.4018638432091</c:v>
                </c:pt>
                <c:pt idx="17">
                  <c:v>142.907274260121</c:v>
                </c:pt>
                <c:pt idx="18">
                  <c:v>288.47301107404701</c:v>
                </c:pt>
                <c:pt idx="19">
                  <c:v>129.45838985798099</c:v>
                </c:pt>
                <c:pt idx="20">
                  <c:v>52.3486675339717</c:v>
                </c:pt>
                <c:pt idx="21">
                  <c:v>72.707396794403607</c:v>
                </c:pt>
                <c:pt idx="22">
                  <c:v>40.366359513246998</c:v>
                </c:pt>
                <c:pt idx="23">
                  <c:v>42.760499690160998</c:v>
                </c:pt>
                <c:pt idx="24">
                  <c:v>10.115450228403301</c:v>
                </c:pt>
                <c:pt idx="25">
                  <c:v>24.1644586085844</c:v>
                </c:pt>
              </c:numCache>
            </c:numRef>
          </c:xVal>
          <c:yVal>
            <c:numRef>
              <c:f>Sheet1!$AC$2:$AC$27</c:f>
              <c:numCache>
                <c:formatCode>0.00</c:formatCode>
                <c:ptCount val="26"/>
                <c:pt idx="0">
                  <c:v>427.19643457789903</c:v>
                </c:pt>
                <c:pt idx="1">
                  <c:v>229.013364014519</c:v>
                </c:pt>
                <c:pt idx="2">
                  <c:v>171.16618291537401</c:v>
                </c:pt>
                <c:pt idx="3">
                  <c:v>252.98854361823501</c:v>
                </c:pt>
                <c:pt idx="4">
                  <c:v>97.4997412811543</c:v>
                </c:pt>
                <c:pt idx="5">
                  <c:v>65.440417555195197</c:v>
                </c:pt>
                <c:pt idx="6">
                  <c:v>157.333187381686</c:v>
                </c:pt>
                <c:pt idx="7">
                  <c:v>157.05947151292301</c:v>
                </c:pt>
                <c:pt idx="8">
                  <c:v>112.67021065581901</c:v>
                </c:pt>
                <c:pt idx="9">
                  <c:v>54.034096942065403</c:v>
                </c:pt>
                <c:pt idx="10">
                  <c:v>21.8559258788016</c:v>
                </c:pt>
                <c:pt idx="11">
                  <c:v>74.257906228052803</c:v>
                </c:pt>
                <c:pt idx="12">
                  <c:v>107.501782312415</c:v>
                </c:pt>
                <c:pt idx="13">
                  <c:v>271.38025763875402</c:v>
                </c:pt>
                <c:pt idx="14">
                  <c:v>197.135308600174</c:v>
                </c:pt>
                <c:pt idx="15">
                  <c:v>507.360275804808</c:v>
                </c:pt>
                <c:pt idx="16">
                  <c:v>46.487322213493499</c:v>
                </c:pt>
                <c:pt idx="17">
                  <c:v>143.302064220554</c:v>
                </c:pt>
                <c:pt idx="18">
                  <c:v>292.531837321919</c:v>
                </c:pt>
                <c:pt idx="19">
                  <c:v>57.504720478828403</c:v>
                </c:pt>
                <c:pt idx="20">
                  <c:v>49.2085108873992</c:v>
                </c:pt>
                <c:pt idx="21">
                  <c:v>90.775812758663307</c:v>
                </c:pt>
                <c:pt idx="22">
                  <c:v>58.718739407203998</c:v>
                </c:pt>
                <c:pt idx="23">
                  <c:v>54.833263287034498</c:v>
                </c:pt>
                <c:pt idx="24">
                  <c:v>44.218882367508698</c:v>
                </c:pt>
                <c:pt idx="25">
                  <c:v>41.263380759346298</c:v>
                </c:pt>
              </c:numCache>
            </c:numRef>
          </c:yVal>
          <c:smooth val="0"/>
          <c:extLst>
            <c:ext xmlns:c16="http://schemas.microsoft.com/office/drawing/2014/chart" uri="{C3380CC4-5D6E-409C-BE32-E72D297353CC}">
              <c16:uniqueId val="{00000001-1A5F-824D-B98B-66C0AD91537A}"/>
            </c:ext>
          </c:extLst>
        </c:ser>
        <c:dLbls>
          <c:showLegendKey val="0"/>
          <c:showVal val="0"/>
          <c:showCatName val="0"/>
          <c:showSerName val="0"/>
          <c:showPercent val="0"/>
          <c:showBubbleSize val="0"/>
        </c:dLbls>
        <c:axId val="408650192"/>
        <c:axId val="408650584"/>
      </c:scatterChart>
      <c:valAx>
        <c:axId val="408650192"/>
        <c:scaling>
          <c:orientation val="minMax"/>
          <c:max val="550"/>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5</a:t>
                </a:r>
                <a:r>
                  <a:rPr lang="en-US" sz="1200" b="0" i="0" u="none" strike="noStrike" baseline="0">
                    <a:effectLst/>
                    <a:sym typeface="Symbol" pitchFamily="2" charset="2"/>
                  </a:rPr>
                  <a:t></a:t>
                </a:r>
                <a:r>
                  <a:rPr lang="en-US"/>
                  <a:t>-Androstanediol</a:t>
                </a:r>
                <a:r>
                  <a:rPr lang="en-US" baseline="0"/>
                  <a:t> </a:t>
                </a:r>
                <a:r>
                  <a:rPr lang="en-US"/>
                  <a:t>(ng/mg-Cr)</a:t>
                </a:r>
              </a:p>
            </c:rich>
          </c:tx>
          <c:layout>
            <c:manualLayout>
              <c:xMode val="edge"/>
              <c:yMode val="edge"/>
              <c:x val="0.23686761811023624"/>
              <c:y val="0.9365277777777777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08650584"/>
        <c:crosses val="autoZero"/>
        <c:crossBetween val="midCat"/>
        <c:majorUnit val="100"/>
      </c:valAx>
      <c:valAx>
        <c:axId val="408650584"/>
        <c:scaling>
          <c:orientation val="minMax"/>
          <c:max val="55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5</a:t>
                </a:r>
                <a:r>
                  <a:rPr lang="en-US" sz="1200" b="0" i="0" u="none" strike="noStrike" baseline="0">
                    <a:effectLst/>
                    <a:sym typeface="Symbol" pitchFamily="2" charset="2"/>
                  </a:rPr>
                  <a:t></a:t>
                </a:r>
                <a:r>
                  <a:rPr lang="en-US"/>
                  <a:t>-Androstanediol (ug/d)</a:t>
                </a:r>
              </a:p>
            </c:rich>
          </c:tx>
          <c:layout>
            <c:manualLayout>
              <c:xMode val="edge"/>
              <c:yMode val="edge"/>
              <c:x val="1.0416666666666666E-2"/>
              <c:y val="0.164888451443569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086501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90064523184601"/>
          <c:y val="4.2795275590551178E-2"/>
          <c:w val="0.768599354768154"/>
          <c:h val="0.81686871172353459"/>
        </c:manualLayout>
      </c:layout>
      <c:scatterChart>
        <c:scatterStyle val="lineMarker"/>
        <c:varyColors val="0"/>
        <c:ser>
          <c:idx val="0"/>
          <c:order val="0"/>
          <c:tx>
            <c:v>5bAndrostanediol</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Sheet1!$K$2:$K$27</c:f>
              <c:numCache>
                <c:formatCode>0.00</c:formatCode>
                <c:ptCount val="26"/>
                <c:pt idx="0">
                  <c:v>92.632752120948993</c:v>
                </c:pt>
                <c:pt idx="1">
                  <c:v>50.6941922693306</c:v>
                </c:pt>
                <c:pt idx="2">
                  <c:v>168.222492693579</c:v>
                </c:pt>
                <c:pt idx="3">
                  <c:v>57.931878120924203</c:v>
                </c:pt>
                <c:pt idx="4">
                  <c:v>62.769059145695998</c:v>
                </c:pt>
                <c:pt idx="5">
                  <c:v>13.9078307599844</c:v>
                </c:pt>
                <c:pt idx="6">
                  <c:v>10.2960278026616</c:v>
                </c:pt>
                <c:pt idx="7">
                  <c:v>119.73888900764</c:v>
                </c:pt>
                <c:pt idx="8">
                  <c:v>186.95356432235599</c:v>
                </c:pt>
                <c:pt idx="9">
                  <c:v>15.7975259434658</c:v>
                </c:pt>
                <c:pt idx="10">
                  <c:v>9.9912994764852296</c:v>
                </c:pt>
                <c:pt idx="11">
                  <c:v>12.434411201201399</c:v>
                </c:pt>
                <c:pt idx="12">
                  <c:v>46.341173092691498</c:v>
                </c:pt>
                <c:pt idx="13">
                  <c:v>22.808320110211799</c:v>
                </c:pt>
                <c:pt idx="14">
                  <c:v>14.846626677536699</c:v>
                </c:pt>
                <c:pt idx="15">
                  <c:v>120.580782178476</c:v>
                </c:pt>
                <c:pt idx="16">
                  <c:v>6.3161429760024497</c:v>
                </c:pt>
                <c:pt idx="17">
                  <c:v>14.278513102663201</c:v>
                </c:pt>
                <c:pt idx="18">
                  <c:v>153.102593101709</c:v>
                </c:pt>
                <c:pt idx="19">
                  <c:v>60.407340656176402</c:v>
                </c:pt>
                <c:pt idx="20">
                  <c:v>18.4489500300351</c:v>
                </c:pt>
                <c:pt idx="21">
                  <c:v>52.819922183188901</c:v>
                </c:pt>
                <c:pt idx="22">
                  <c:v>22.533537719679</c:v>
                </c:pt>
                <c:pt idx="23">
                  <c:v>46.178006787595599</c:v>
                </c:pt>
                <c:pt idx="24">
                  <c:v>5.2017693791561603</c:v>
                </c:pt>
                <c:pt idx="25">
                  <c:v>9.1149779849502295</c:v>
                </c:pt>
              </c:numCache>
            </c:numRef>
          </c:xVal>
          <c:yVal>
            <c:numRef>
              <c:f>Sheet1!$AD$2:$AD$27</c:f>
              <c:numCache>
                <c:formatCode>0.00</c:formatCode>
                <c:ptCount val="26"/>
                <c:pt idx="0">
                  <c:v>90.919469974319298</c:v>
                </c:pt>
                <c:pt idx="1">
                  <c:v>47.162010820994198</c:v>
                </c:pt>
                <c:pt idx="2">
                  <c:v>20.689421215024701</c:v>
                </c:pt>
                <c:pt idx="3">
                  <c:v>60.747661647950103</c:v>
                </c:pt>
                <c:pt idx="4">
                  <c:v>72.420709217876507</c:v>
                </c:pt>
                <c:pt idx="5">
                  <c:v>12.478682265266499</c:v>
                </c:pt>
                <c:pt idx="6">
                  <c:v>45.310836299149798</c:v>
                </c:pt>
                <c:pt idx="7">
                  <c:v>94.735652113671307</c:v>
                </c:pt>
                <c:pt idx="8">
                  <c:v>202.703209641553</c:v>
                </c:pt>
                <c:pt idx="9">
                  <c:v>14.780181107592799</c:v>
                </c:pt>
                <c:pt idx="10">
                  <c:v>8.7539351691139196</c:v>
                </c:pt>
                <c:pt idx="11">
                  <c:v>12.758193241266101</c:v>
                </c:pt>
                <c:pt idx="12">
                  <c:v>48.616701771752602</c:v>
                </c:pt>
                <c:pt idx="13">
                  <c:v>25.8529437950226</c:v>
                </c:pt>
                <c:pt idx="14">
                  <c:v>14.0521644353499</c:v>
                </c:pt>
                <c:pt idx="15">
                  <c:v>122.176107285684</c:v>
                </c:pt>
                <c:pt idx="16">
                  <c:v>6.7314404027820398</c:v>
                </c:pt>
                <c:pt idx="17">
                  <c:v>14.567712480727</c:v>
                </c:pt>
                <c:pt idx="18">
                  <c:v>147.907095464138</c:v>
                </c:pt>
                <c:pt idx="19">
                  <c:v>59.769712377727501</c:v>
                </c:pt>
                <c:pt idx="20">
                  <c:v>15.832295848624501</c:v>
                </c:pt>
                <c:pt idx="21">
                  <c:v>57.477791171100399</c:v>
                </c:pt>
                <c:pt idx="22">
                  <c:v>20.3005149929885</c:v>
                </c:pt>
                <c:pt idx="23">
                  <c:v>52.685554078133798</c:v>
                </c:pt>
                <c:pt idx="24">
                  <c:v>6.3785180403637103</c:v>
                </c:pt>
                <c:pt idx="25">
                  <c:v>9.3787154257470995</c:v>
                </c:pt>
              </c:numCache>
            </c:numRef>
          </c:yVal>
          <c:smooth val="0"/>
          <c:extLst>
            <c:ext xmlns:c16="http://schemas.microsoft.com/office/drawing/2014/chart" uri="{C3380CC4-5D6E-409C-BE32-E72D297353CC}">
              <c16:uniqueId val="{00000001-6ECC-CC4A-A586-EA7B92B2FEED}"/>
            </c:ext>
          </c:extLst>
        </c:ser>
        <c:dLbls>
          <c:showLegendKey val="0"/>
          <c:showVal val="0"/>
          <c:showCatName val="0"/>
          <c:showSerName val="0"/>
          <c:showPercent val="0"/>
          <c:showBubbleSize val="0"/>
        </c:dLbls>
        <c:axId val="408652152"/>
        <c:axId val="408656072"/>
      </c:scatterChart>
      <c:valAx>
        <c:axId val="408652152"/>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5</a:t>
                </a:r>
                <a:r>
                  <a:rPr lang="en-US" sz="1200" b="0" i="0" u="none" strike="noStrike" baseline="0">
                    <a:effectLst/>
                    <a:sym typeface="Symbol" pitchFamily="2" charset="2"/>
                  </a:rPr>
                  <a:t></a:t>
                </a:r>
                <a:r>
                  <a:rPr lang="en-US"/>
                  <a:t>-Androstanediol</a:t>
                </a:r>
                <a:r>
                  <a:rPr lang="en-US" baseline="0"/>
                  <a:t> </a:t>
                </a:r>
                <a:r>
                  <a:rPr lang="en-US"/>
                  <a:t>(ng/mg-Cr)</a:t>
                </a:r>
              </a:p>
            </c:rich>
          </c:tx>
          <c:layout>
            <c:manualLayout>
              <c:xMode val="edge"/>
              <c:yMode val="edge"/>
              <c:x val="0.25186351706036741"/>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08656072"/>
        <c:crosses val="autoZero"/>
        <c:crossBetween val="midCat"/>
        <c:majorUnit val="50"/>
      </c:valAx>
      <c:valAx>
        <c:axId val="408656072"/>
        <c:scaling>
          <c:orientation val="minMax"/>
          <c:max val="22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5</a:t>
                </a:r>
                <a:r>
                  <a:rPr lang="en-US" sz="1200" b="0" i="0" u="none" strike="noStrike" baseline="0">
                    <a:effectLst/>
                    <a:sym typeface="Symbol" pitchFamily="2" charset="2"/>
                  </a:rPr>
                  <a:t></a:t>
                </a:r>
                <a:r>
                  <a:rPr lang="en-US"/>
                  <a:t>-Androstanediol (ug/d)</a:t>
                </a:r>
              </a:p>
            </c:rich>
          </c:tx>
          <c:layout>
            <c:manualLayout>
              <c:xMode val="edge"/>
              <c:yMode val="edge"/>
              <c:x val="1.0416666666666666E-2"/>
              <c:y val="0.1716461614173228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086521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62286745406824"/>
          <c:y val="4.2795275590551178E-2"/>
          <c:w val="0.8180437992125984"/>
          <c:h val="0.80766732283464571"/>
        </c:manualLayout>
      </c:layout>
      <c:scatterChart>
        <c:scatterStyle val="lineMarker"/>
        <c:varyColors val="0"/>
        <c:ser>
          <c:idx val="0"/>
          <c:order val="0"/>
          <c:tx>
            <c:v>E2</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Sheet1!$EG$2:$EG$27</c:f>
              <c:numCache>
                <c:formatCode>General</c:formatCode>
                <c:ptCount val="26"/>
                <c:pt idx="0">
                  <c:v>1.6493621266281171</c:v>
                </c:pt>
                <c:pt idx="1">
                  <c:v>0.62214762090247777</c:v>
                </c:pt>
                <c:pt idx="2">
                  <c:v>1.0781779152476541</c:v>
                </c:pt>
                <c:pt idx="3">
                  <c:v>0.46127821591880985</c:v>
                </c:pt>
                <c:pt idx="4">
                  <c:v>4.3099610943719053</c:v>
                </c:pt>
                <c:pt idx="5">
                  <c:v>0.11813903215803372</c:v>
                </c:pt>
                <c:pt idx="6">
                  <c:v>3.0152650728756507</c:v>
                </c:pt>
                <c:pt idx="7">
                  <c:v>0.53355213825081371</c:v>
                </c:pt>
                <c:pt idx="8">
                  <c:v>0.3555810587206561</c:v>
                </c:pt>
                <c:pt idx="9">
                  <c:v>0.12711910979651547</c:v>
                </c:pt>
                <c:pt idx="10">
                  <c:v>5.4738476288800877</c:v>
                </c:pt>
                <c:pt idx="11">
                  <c:v>3.6650925164896786</c:v>
                </c:pt>
                <c:pt idx="12">
                  <c:v>0.33498922618818883</c:v>
                </c:pt>
                <c:pt idx="13">
                  <c:v>0.44886187494524571</c:v>
                </c:pt>
                <c:pt idx="14">
                  <c:v>0.30007675547860763</c:v>
                </c:pt>
                <c:pt idx="15">
                  <c:v>0.6379568774360006</c:v>
                </c:pt>
                <c:pt idx="16">
                  <c:v>3.8027279885452541</c:v>
                </c:pt>
                <c:pt idx="17">
                  <c:v>0.43928120071421795</c:v>
                </c:pt>
                <c:pt idx="18">
                  <c:v>0.61113135895012172</c:v>
                </c:pt>
                <c:pt idx="19">
                  <c:v>1.7326698445748094</c:v>
                </c:pt>
                <c:pt idx="20">
                  <c:v>2.7576724227928828</c:v>
                </c:pt>
                <c:pt idx="21">
                  <c:v>4.2778929001678829</c:v>
                </c:pt>
                <c:pt idx="22">
                  <c:v>0.79621228881223793</c:v>
                </c:pt>
                <c:pt idx="23">
                  <c:v>1.3433638648912298</c:v>
                </c:pt>
                <c:pt idx="24">
                  <c:v>5.8189343812266731E-2</c:v>
                </c:pt>
                <c:pt idx="25">
                  <c:v>1.6220661529989271</c:v>
                </c:pt>
              </c:numCache>
            </c:numRef>
          </c:xVal>
          <c:yVal>
            <c:numRef>
              <c:f>Sheet1!$AG$2:$AG$27</c:f>
              <c:numCache>
                <c:formatCode>0.00</c:formatCode>
                <c:ptCount val="26"/>
                <c:pt idx="0">
                  <c:v>1.9821908278003399</c:v>
                </c:pt>
                <c:pt idx="1">
                  <c:v>1.1435821993491699</c:v>
                </c:pt>
                <c:pt idx="2">
                  <c:v>1.62095343416842</c:v>
                </c:pt>
                <c:pt idx="3">
                  <c:v>0.31291510887438001</c:v>
                </c:pt>
                <c:pt idx="4">
                  <c:v>5.9366580409265204</c:v>
                </c:pt>
                <c:pt idx="5">
                  <c:v>0.25898553119623002</c:v>
                </c:pt>
                <c:pt idx="6">
                  <c:v>3.7832012986659298</c:v>
                </c:pt>
                <c:pt idx="7">
                  <c:v>1.19754974415638</c:v>
                </c:pt>
                <c:pt idx="8">
                  <c:v>0.92798577766924395</c:v>
                </c:pt>
                <c:pt idx="9">
                  <c:v>0.454833165429885</c:v>
                </c:pt>
                <c:pt idx="10">
                  <c:v>4.6506371637722204</c:v>
                </c:pt>
                <c:pt idx="11">
                  <c:v>3.2566386658495299</c:v>
                </c:pt>
                <c:pt idx="12">
                  <c:v>0.33420368757021601</c:v>
                </c:pt>
                <c:pt idx="13">
                  <c:v>0.79973328416852896</c:v>
                </c:pt>
                <c:pt idx="14">
                  <c:v>0.88774473757866901</c:v>
                </c:pt>
                <c:pt idx="15">
                  <c:v>1.44363318112808</c:v>
                </c:pt>
                <c:pt idx="16">
                  <c:v>3.2872886537350001</c:v>
                </c:pt>
                <c:pt idx="17">
                  <c:v>0.69851799975423001</c:v>
                </c:pt>
                <c:pt idx="18">
                  <c:v>1.8470551768482699</c:v>
                </c:pt>
                <c:pt idx="19">
                  <c:v>2.9824944143827898</c:v>
                </c:pt>
                <c:pt idx="20">
                  <c:v>3.16769321531214</c:v>
                </c:pt>
                <c:pt idx="21">
                  <c:v>5.1831338200544801</c:v>
                </c:pt>
                <c:pt idx="22">
                  <c:v>2.7537161934428598</c:v>
                </c:pt>
                <c:pt idx="23">
                  <c:v>4.1853118170689099</c:v>
                </c:pt>
                <c:pt idx="24">
                  <c:v>0.19882343042235801</c:v>
                </c:pt>
                <c:pt idx="25">
                  <c:v>3.1330571396059801</c:v>
                </c:pt>
              </c:numCache>
            </c:numRef>
          </c:yVal>
          <c:smooth val="0"/>
          <c:extLst>
            <c:ext xmlns:c16="http://schemas.microsoft.com/office/drawing/2014/chart" uri="{C3380CC4-5D6E-409C-BE32-E72D297353CC}">
              <c16:uniqueId val="{00000001-C2CC-D643-AEC8-A9FC57C96C66}"/>
            </c:ext>
          </c:extLst>
        </c:ser>
        <c:dLbls>
          <c:showLegendKey val="0"/>
          <c:showVal val="0"/>
          <c:showCatName val="0"/>
          <c:showSerName val="0"/>
          <c:showPercent val="0"/>
          <c:showBubbleSize val="0"/>
        </c:dLbls>
        <c:axId val="398409480"/>
        <c:axId val="398406736"/>
      </c:scatterChart>
      <c:valAx>
        <c:axId val="398409480"/>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Estradiol</a:t>
                </a:r>
                <a:r>
                  <a:rPr lang="en-US" baseline="0"/>
                  <a:t> without Cr </a:t>
                </a:r>
                <a:r>
                  <a:rPr lang="en-US"/>
                  <a:t>(ng/ml)</a:t>
                </a:r>
              </a:p>
            </c:rich>
          </c:tx>
          <c:layout>
            <c:manualLayout>
              <c:xMode val="edge"/>
              <c:yMode val="edge"/>
              <c:x val="0.23278351924759408"/>
              <c:y val="0.9364583333333332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8406736"/>
        <c:crosses val="autoZero"/>
        <c:crossBetween val="midCat"/>
        <c:majorUnit val="1"/>
      </c:valAx>
      <c:valAx>
        <c:axId val="398406736"/>
        <c:scaling>
          <c:orientation val="minMax"/>
          <c:max val="6"/>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Estradiol (ug/d)</a:t>
                </a:r>
              </a:p>
            </c:rich>
          </c:tx>
          <c:layout>
            <c:manualLayout>
              <c:xMode val="edge"/>
              <c:yMode val="edge"/>
              <c:x val="1.3888888888888888E-2"/>
              <c:y val="0.2265332458442694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84094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09508967629051"/>
          <c:y val="4.2795275590551178E-2"/>
          <c:w val="0.82151602143482061"/>
          <c:h val="0.76600065616797908"/>
        </c:manualLayout>
      </c:layout>
      <c:scatterChart>
        <c:scatterStyle val="lineMarker"/>
        <c:varyColors val="0"/>
        <c:ser>
          <c:idx val="0"/>
          <c:order val="0"/>
          <c:tx>
            <c:v>E2</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Sheet1!$EY$2:$EY$27</c:f>
              <c:numCache>
                <c:formatCode>General</c:formatCode>
                <c:ptCount val="26"/>
                <c:pt idx="0">
                  <c:v>0.81951851066138759</c:v>
                </c:pt>
                <c:pt idx="1">
                  <c:v>0.64200332728202625</c:v>
                </c:pt>
                <c:pt idx="2">
                  <c:v>0.78631337550323632</c:v>
                </c:pt>
                <c:pt idx="3">
                  <c:v>0.50638715065785</c:v>
                </c:pt>
                <c:pt idx="4">
                  <c:v>4.9366694387423422</c:v>
                </c:pt>
                <c:pt idx="5">
                  <c:v>0.19453775098447232</c:v>
                </c:pt>
                <c:pt idx="6">
                  <c:v>4.7230158367022632</c:v>
                </c:pt>
                <c:pt idx="7">
                  <c:v>0.64932194587471814</c:v>
                </c:pt>
                <c:pt idx="8">
                  <c:v>0.50888314771274423</c:v>
                </c:pt>
                <c:pt idx="9">
                  <c:v>0.32214761939810144</c:v>
                </c:pt>
                <c:pt idx="10">
                  <c:v>4.9229912037876797</c:v>
                </c:pt>
                <c:pt idx="11">
                  <c:v>2.7257828131126502</c:v>
                </c:pt>
                <c:pt idx="12">
                  <c:v>0.25351089705177615</c:v>
                </c:pt>
                <c:pt idx="13">
                  <c:v>0.57728849095388624</c:v>
                </c:pt>
                <c:pt idx="14">
                  <c:v>0.56999633178875597</c:v>
                </c:pt>
                <c:pt idx="15">
                  <c:v>0.77598480676447368</c:v>
                </c:pt>
                <c:pt idx="16">
                  <c:v>3.81433858140235</c:v>
                </c:pt>
                <c:pt idx="17">
                  <c:v>0.37703519577533001</c:v>
                </c:pt>
                <c:pt idx="18">
                  <c:v>0.81852715490947003</c:v>
                </c:pt>
                <c:pt idx="19">
                  <c:v>2.9583811633881543</c:v>
                </c:pt>
                <c:pt idx="20">
                  <c:v>2.7870157653495338</c:v>
                </c:pt>
                <c:pt idx="21">
                  <c:v>4.818412638005567</c:v>
                </c:pt>
                <c:pt idx="22">
                  <c:v>2.1512292142020253</c:v>
                </c:pt>
                <c:pt idx="23">
                  <c:v>3.8831785772198701</c:v>
                </c:pt>
                <c:pt idx="24">
                  <c:v>0.17474019496837001</c:v>
                </c:pt>
                <c:pt idx="25">
                  <c:v>2.4390723825930918</c:v>
                </c:pt>
              </c:numCache>
            </c:numRef>
          </c:xVal>
          <c:yVal>
            <c:numRef>
              <c:f>Sheet1!$AG$2:$AG$27</c:f>
              <c:numCache>
                <c:formatCode>0.00</c:formatCode>
                <c:ptCount val="26"/>
                <c:pt idx="0">
                  <c:v>1.9821908278003399</c:v>
                </c:pt>
                <c:pt idx="1">
                  <c:v>1.1435821993491699</c:v>
                </c:pt>
                <c:pt idx="2">
                  <c:v>1.62095343416842</c:v>
                </c:pt>
                <c:pt idx="3">
                  <c:v>0.31291510887438001</c:v>
                </c:pt>
                <c:pt idx="4">
                  <c:v>5.9366580409265204</c:v>
                </c:pt>
                <c:pt idx="5">
                  <c:v>0.25898553119623002</c:v>
                </c:pt>
                <c:pt idx="6">
                  <c:v>3.7832012986659298</c:v>
                </c:pt>
                <c:pt idx="7">
                  <c:v>1.19754974415638</c:v>
                </c:pt>
                <c:pt idx="8">
                  <c:v>0.92798577766924395</c:v>
                </c:pt>
                <c:pt idx="9">
                  <c:v>0.454833165429885</c:v>
                </c:pt>
                <c:pt idx="10">
                  <c:v>4.6506371637722204</c:v>
                </c:pt>
                <c:pt idx="11">
                  <c:v>3.2566386658495299</c:v>
                </c:pt>
                <c:pt idx="12">
                  <c:v>0.33420368757021601</c:v>
                </c:pt>
                <c:pt idx="13">
                  <c:v>0.79973328416852896</c:v>
                </c:pt>
                <c:pt idx="14">
                  <c:v>0.88774473757866901</c:v>
                </c:pt>
                <c:pt idx="15">
                  <c:v>1.44363318112808</c:v>
                </c:pt>
                <c:pt idx="16">
                  <c:v>3.2872886537350001</c:v>
                </c:pt>
                <c:pt idx="17">
                  <c:v>0.69851799975423001</c:v>
                </c:pt>
                <c:pt idx="18">
                  <c:v>1.8470551768482699</c:v>
                </c:pt>
                <c:pt idx="19">
                  <c:v>2.9824944143827898</c:v>
                </c:pt>
                <c:pt idx="20">
                  <c:v>3.16769321531214</c:v>
                </c:pt>
                <c:pt idx="21">
                  <c:v>5.1831338200544801</c:v>
                </c:pt>
                <c:pt idx="22">
                  <c:v>2.7537161934428598</c:v>
                </c:pt>
                <c:pt idx="23">
                  <c:v>4.1853118170689099</c:v>
                </c:pt>
                <c:pt idx="24">
                  <c:v>0.19882343042235801</c:v>
                </c:pt>
                <c:pt idx="25">
                  <c:v>3.1330571396059801</c:v>
                </c:pt>
              </c:numCache>
            </c:numRef>
          </c:yVal>
          <c:smooth val="0"/>
          <c:extLst>
            <c:ext xmlns:c16="http://schemas.microsoft.com/office/drawing/2014/chart" uri="{C3380CC4-5D6E-409C-BE32-E72D297353CC}">
              <c16:uniqueId val="{00000001-2619-0D4B-86DE-823CA72FAEAD}"/>
            </c:ext>
          </c:extLst>
        </c:ser>
        <c:dLbls>
          <c:showLegendKey val="0"/>
          <c:showVal val="0"/>
          <c:showCatName val="0"/>
          <c:showSerName val="0"/>
          <c:showPercent val="0"/>
          <c:showBubbleSize val="0"/>
        </c:dLbls>
        <c:axId val="398405952"/>
        <c:axId val="398408304"/>
      </c:scatterChart>
      <c:valAx>
        <c:axId val="398405952"/>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Estradiol</a:t>
                </a:r>
                <a:r>
                  <a:rPr lang="en-US" baseline="0"/>
                  <a:t> Traditional Cr Correction </a:t>
                </a:r>
              </a:p>
              <a:p>
                <a:pPr>
                  <a:defRPr/>
                </a:pPr>
                <a:r>
                  <a:rPr lang="en-US"/>
                  <a:t>(ng/mg-Cr)</a:t>
                </a:r>
              </a:p>
            </c:rich>
          </c:tx>
          <c:layout>
            <c:manualLayout>
              <c:xMode val="edge"/>
              <c:yMode val="edge"/>
              <c:x val="0.21697643263342081"/>
              <c:y val="0.8878472222222222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8408304"/>
        <c:crosses val="autoZero"/>
        <c:crossBetween val="midCat"/>
        <c:majorUnit val="1"/>
      </c:valAx>
      <c:valAx>
        <c:axId val="398408304"/>
        <c:scaling>
          <c:orientation val="minMax"/>
          <c:max val="6"/>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Estradiol (ug/d)</a:t>
                </a:r>
              </a:p>
            </c:rich>
          </c:tx>
          <c:layout>
            <c:manualLayout>
              <c:xMode val="edge"/>
              <c:yMode val="edge"/>
              <c:x val="1.0416666666666666E-2"/>
              <c:y val="0.233477690288713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84059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62286745406824"/>
          <c:y val="4.2795275590551178E-2"/>
          <c:w val="0.82498824365704282"/>
          <c:h val="0.81339648950131238"/>
        </c:manualLayout>
      </c:layout>
      <c:scatterChart>
        <c:scatterStyle val="lineMarker"/>
        <c:varyColors val="0"/>
        <c:ser>
          <c:idx val="0"/>
          <c:order val="0"/>
          <c:tx>
            <c:v>E2</c:v>
          </c:tx>
          <c:spPr>
            <a:ln w="25400" cap="rnd">
              <a:noFill/>
              <a:round/>
            </a:ln>
            <a:effectLst/>
          </c:spPr>
          <c:marker>
            <c:symbol val="circle"/>
            <c:size val="5"/>
            <c:spPr>
              <a:solidFill>
                <a:schemeClr val="bg2">
                  <a:lumMod val="50000"/>
                </a:schemeClr>
              </a:solidFill>
              <a:ln w="9525">
                <a:solidFill>
                  <a:schemeClr val="tx1"/>
                </a:solidFill>
              </a:ln>
              <a:effectLst/>
            </c:spPr>
          </c:marker>
          <c:trendline>
            <c:spPr>
              <a:ln w="19050" cap="rnd">
                <a:solidFill>
                  <a:schemeClr val="tx1"/>
                </a:solidFill>
                <a:prstDash val="solid"/>
              </a:ln>
              <a:effectLst/>
            </c:spPr>
            <c:trendlineType val="linear"/>
            <c:dispRSqr val="0"/>
            <c:dispEq val="0"/>
          </c:trendline>
          <c:xVal>
            <c:numRef>
              <c:f>Sheet1!$N$2:$N$27</c:f>
              <c:numCache>
                <c:formatCode>0.00</c:formatCode>
                <c:ptCount val="26"/>
                <c:pt idx="0">
                  <c:v>1.9668444255873301</c:v>
                </c:pt>
                <c:pt idx="1">
                  <c:v>1.2198063218358499</c:v>
                </c:pt>
                <c:pt idx="2">
                  <c:v>1.72988942610712</c:v>
                </c:pt>
                <c:pt idx="3">
                  <c:v>1.0127743013157</c:v>
                </c:pt>
                <c:pt idx="4">
                  <c:v>5.9240033264908103</c:v>
                </c:pt>
                <c:pt idx="5">
                  <c:v>0.25289907627981401</c:v>
                </c:pt>
                <c:pt idx="6">
                  <c:v>5.1953174203724899</c:v>
                </c:pt>
                <c:pt idx="7">
                  <c:v>1.4285082809243801</c:v>
                </c:pt>
                <c:pt idx="8">
                  <c:v>0.96687798065421404</c:v>
                </c:pt>
                <c:pt idx="9">
                  <c:v>0.451006667157342</c:v>
                </c:pt>
                <c:pt idx="10">
                  <c:v>4.9229912037876797</c:v>
                </c:pt>
                <c:pt idx="11">
                  <c:v>3.81609593835771</c:v>
                </c:pt>
                <c:pt idx="12">
                  <c:v>0.32956416616730899</c:v>
                </c:pt>
                <c:pt idx="13">
                  <c:v>0.92366158552621802</c:v>
                </c:pt>
                <c:pt idx="14">
                  <c:v>0.85499449768313396</c:v>
                </c:pt>
                <c:pt idx="15">
                  <c:v>1.4743711328525</c:v>
                </c:pt>
                <c:pt idx="16">
                  <c:v>3.81433858140235</c:v>
                </c:pt>
                <c:pt idx="17">
                  <c:v>0.71636687197312698</c:v>
                </c:pt>
                <c:pt idx="18">
                  <c:v>1.6370543098189401</c:v>
                </c:pt>
                <c:pt idx="19">
                  <c:v>3.25421927972697</c:v>
                </c:pt>
                <c:pt idx="20">
                  <c:v>3.3444189184194402</c:v>
                </c:pt>
                <c:pt idx="21">
                  <c:v>5.7820951656066804</c:v>
                </c:pt>
                <c:pt idx="22">
                  <c:v>2.5814750570424301</c:v>
                </c:pt>
                <c:pt idx="23">
                  <c:v>3.8831785772198701</c:v>
                </c:pt>
                <c:pt idx="24">
                  <c:v>0.17474019496837001</c:v>
                </c:pt>
                <c:pt idx="25">
                  <c:v>2.9268868591117099</c:v>
                </c:pt>
              </c:numCache>
            </c:numRef>
          </c:xVal>
          <c:yVal>
            <c:numRef>
              <c:f>Sheet1!$AG$2:$AG$27</c:f>
              <c:numCache>
                <c:formatCode>0.00</c:formatCode>
                <c:ptCount val="26"/>
                <c:pt idx="0">
                  <c:v>1.9821908278003399</c:v>
                </c:pt>
                <c:pt idx="1">
                  <c:v>1.1435821993491699</c:v>
                </c:pt>
                <c:pt idx="2">
                  <c:v>1.62095343416842</c:v>
                </c:pt>
                <c:pt idx="3">
                  <c:v>0.31291510887438001</c:v>
                </c:pt>
                <c:pt idx="4">
                  <c:v>5.9366580409265204</c:v>
                </c:pt>
                <c:pt idx="5">
                  <c:v>0.25898553119623002</c:v>
                </c:pt>
                <c:pt idx="6">
                  <c:v>3.7832012986659298</c:v>
                </c:pt>
                <c:pt idx="7">
                  <c:v>1.19754974415638</c:v>
                </c:pt>
                <c:pt idx="8">
                  <c:v>0.92798577766924395</c:v>
                </c:pt>
                <c:pt idx="9">
                  <c:v>0.454833165429885</c:v>
                </c:pt>
                <c:pt idx="10">
                  <c:v>4.6506371637722204</c:v>
                </c:pt>
                <c:pt idx="11">
                  <c:v>3.2566386658495299</c:v>
                </c:pt>
                <c:pt idx="12">
                  <c:v>0.33420368757021601</c:v>
                </c:pt>
                <c:pt idx="13">
                  <c:v>0.79973328416852896</c:v>
                </c:pt>
                <c:pt idx="14">
                  <c:v>0.88774473757866901</c:v>
                </c:pt>
                <c:pt idx="15">
                  <c:v>1.44363318112808</c:v>
                </c:pt>
                <c:pt idx="16">
                  <c:v>3.2872886537350001</c:v>
                </c:pt>
                <c:pt idx="17">
                  <c:v>0.69851799975423001</c:v>
                </c:pt>
                <c:pt idx="18">
                  <c:v>1.8470551768482699</c:v>
                </c:pt>
                <c:pt idx="19">
                  <c:v>2.9824944143827898</c:v>
                </c:pt>
                <c:pt idx="20">
                  <c:v>3.16769321531214</c:v>
                </c:pt>
                <c:pt idx="21">
                  <c:v>5.1831338200544801</c:v>
                </c:pt>
                <c:pt idx="22">
                  <c:v>2.7537161934428598</c:v>
                </c:pt>
                <c:pt idx="23">
                  <c:v>4.1853118170689099</c:v>
                </c:pt>
                <c:pt idx="24">
                  <c:v>0.19882343042235801</c:v>
                </c:pt>
                <c:pt idx="25">
                  <c:v>3.1330571396059801</c:v>
                </c:pt>
              </c:numCache>
            </c:numRef>
          </c:yVal>
          <c:smooth val="0"/>
          <c:extLst>
            <c:ext xmlns:c16="http://schemas.microsoft.com/office/drawing/2014/chart" uri="{C3380CC4-5D6E-409C-BE32-E72D297353CC}">
              <c16:uniqueId val="{00000001-CD0F-B944-A713-E04D609B3919}"/>
            </c:ext>
          </c:extLst>
        </c:ser>
        <c:dLbls>
          <c:showLegendKey val="0"/>
          <c:showVal val="0"/>
          <c:showCatName val="0"/>
          <c:showSerName val="0"/>
          <c:showPercent val="0"/>
          <c:showBubbleSize val="0"/>
        </c:dLbls>
        <c:axId val="398409088"/>
        <c:axId val="398409872"/>
      </c:scatterChart>
      <c:valAx>
        <c:axId val="398409088"/>
        <c:scaling>
          <c:orientation val="minMax"/>
          <c:max val="6"/>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DUTCH Estradiol Full Cr</a:t>
                </a:r>
                <a:r>
                  <a:rPr lang="en-US" baseline="0"/>
                  <a:t> Correction</a:t>
                </a:r>
                <a:r>
                  <a:rPr lang="en-US"/>
                  <a:t> (ng/mg-Cr)</a:t>
                </a:r>
              </a:p>
            </c:rich>
          </c:tx>
          <c:layout>
            <c:manualLayout>
              <c:xMode val="edge"/>
              <c:yMode val="edge"/>
              <c:x val="0.16507518591426071"/>
              <c:y val="0.9387152777777777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8409872"/>
        <c:crosses val="autoZero"/>
        <c:crossBetween val="midCat"/>
        <c:majorUnit val="1"/>
      </c:valAx>
      <c:valAx>
        <c:axId val="398409872"/>
        <c:scaling>
          <c:orientation val="minMax"/>
          <c:max val="6"/>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24h Estradiol (ug/d)</a:t>
                </a:r>
              </a:p>
            </c:rich>
          </c:tx>
          <c:layout>
            <c:manualLayout>
              <c:xMode val="edge"/>
              <c:yMode val="edge"/>
              <c:x val="6.9444444444444441E-3"/>
              <c:y val="0.2554396325459317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84090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0.18069</cdr:x>
      <cdr:y>0.02723</cdr:y>
    </cdr:from>
    <cdr:to>
      <cdr:x>0.46287</cdr:x>
      <cdr:y>0.15842</cdr:y>
    </cdr:to>
    <cdr:sp macro="" textlink="">
      <cdr:nvSpPr>
        <cdr:cNvPr id="2" name="TextBox 1"/>
        <cdr:cNvSpPr txBox="1"/>
      </cdr:nvSpPr>
      <cdr:spPr>
        <a:xfrm xmlns:a="http://schemas.openxmlformats.org/drawingml/2006/main">
          <a:off x="660903" y="99588"/>
          <a:ext cx="1032095" cy="4798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0.92;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0.1423</cdr:x>
      <cdr:y>0.04018</cdr:y>
    </cdr:from>
    <cdr:to>
      <cdr:x>0.36881</cdr:x>
      <cdr:y>0.16584</cdr:y>
    </cdr:to>
    <cdr:sp macro="" textlink="">
      <cdr:nvSpPr>
        <cdr:cNvPr id="2" name="TextBox 1"/>
        <cdr:cNvSpPr txBox="1"/>
      </cdr:nvSpPr>
      <cdr:spPr>
        <a:xfrm xmlns:a="http://schemas.openxmlformats.org/drawingml/2006/main">
          <a:off x="520463" y="146966"/>
          <a:ext cx="828504" cy="4596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0.94;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B</a:t>
          </a:r>
        </a:p>
      </cdr:txBody>
    </cdr:sp>
  </cdr:relSizeAnchor>
</c:userShapes>
</file>

<file path=word/drawings/drawing3.xml><?xml version="1.0" encoding="utf-8"?>
<c:userShapes xmlns:c="http://schemas.openxmlformats.org/drawingml/2006/chart">
  <cdr:relSizeAnchor xmlns:cdr="http://schemas.openxmlformats.org/drawingml/2006/chartDrawing">
    <cdr:from>
      <cdr:x>0.19401</cdr:x>
      <cdr:y>0.03898</cdr:y>
    </cdr:from>
    <cdr:to>
      <cdr:x>0.44059</cdr:x>
      <cdr:y>0.17327</cdr:y>
    </cdr:to>
    <cdr:sp macro="" textlink="">
      <cdr:nvSpPr>
        <cdr:cNvPr id="2" name="TextBox 1"/>
        <cdr:cNvSpPr txBox="1"/>
      </cdr:nvSpPr>
      <cdr:spPr>
        <a:xfrm xmlns:a="http://schemas.openxmlformats.org/drawingml/2006/main">
          <a:off x="709597" y="142557"/>
          <a:ext cx="901920" cy="4911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0.96;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C</a:t>
          </a:r>
        </a:p>
      </cdr:txBody>
    </cdr:sp>
  </cdr:relSizeAnchor>
</c:userShapes>
</file>

<file path=word/drawings/drawing4.xml><?xml version="1.0" encoding="utf-8"?>
<c:userShapes xmlns:c="http://schemas.openxmlformats.org/drawingml/2006/chart">
  <cdr:relSizeAnchor xmlns:cdr="http://schemas.openxmlformats.org/drawingml/2006/chartDrawing">
    <cdr:from>
      <cdr:x>0.18769</cdr:x>
      <cdr:y>0.03502</cdr:y>
    </cdr:from>
    <cdr:to>
      <cdr:x>0.41086</cdr:x>
      <cdr:y>0.18812</cdr:y>
    </cdr:to>
    <cdr:sp macro="" textlink="">
      <cdr:nvSpPr>
        <cdr:cNvPr id="2" name="TextBox 1"/>
        <cdr:cNvSpPr txBox="1"/>
      </cdr:nvSpPr>
      <cdr:spPr>
        <a:xfrm xmlns:a="http://schemas.openxmlformats.org/drawingml/2006/main">
          <a:off x="686496" y="128071"/>
          <a:ext cx="816266" cy="5599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0.86;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D</a:t>
          </a:r>
        </a:p>
      </cdr:txBody>
    </cdr:sp>
  </cdr:relSizeAnchor>
</c:userShapes>
</file>

<file path=word/drawings/drawing5.xml><?xml version="1.0" encoding="utf-8"?>
<c:userShapes xmlns:c="http://schemas.openxmlformats.org/drawingml/2006/chart">
  <cdr:relSizeAnchor xmlns:cdr="http://schemas.openxmlformats.org/drawingml/2006/chartDrawing">
    <cdr:from>
      <cdr:x>0.17377</cdr:x>
      <cdr:y>0.04142</cdr:y>
    </cdr:from>
    <cdr:to>
      <cdr:x>0.39694</cdr:x>
      <cdr:y>0.17192</cdr:y>
    </cdr:to>
    <cdr:sp macro="" textlink="">
      <cdr:nvSpPr>
        <cdr:cNvPr id="2" name="TextBox 1"/>
        <cdr:cNvSpPr txBox="1"/>
      </cdr:nvSpPr>
      <cdr:spPr>
        <a:xfrm xmlns:a="http://schemas.openxmlformats.org/drawingml/2006/main">
          <a:off x="635595" y="151495"/>
          <a:ext cx="816267" cy="4773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0.87;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E</a:t>
          </a:r>
        </a:p>
      </cdr:txBody>
    </cdr:sp>
  </cdr:relSizeAnchor>
</c:userShapes>
</file>

<file path=word/drawings/drawing6.xml><?xml version="1.0" encoding="utf-8"?>
<c:userShapes xmlns:c="http://schemas.openxmlformats.org/drawingml/2006/chart">
  <cdr:relSizeAnchor xmlns:cdr="http://schemas.openxmlformats.org/drawingml/2006/chartDrawing">
    <cdr:from>
      <cdr:x>0.14902</cdr:x>
      <cdr:y>0.0538</cdr:y>
    </cdr:from>
    <cdr:to>
      <cdr:x>0.37219</cdr:x>
      <cdr:y>0.1843</cdr:y>
    </cdr:to>
    <cdr:sp macro="" textlink="">
      <cdr:nvSpPr>
        <cdr:cNvPr id="2" name="TextBox 1"/>
        <cdr:cNvSpPr txBox="1"/>
      </cdr:nvSpPr>
      <cdr:spPr>
        <a:xfrm xmlns:a="http://schemas.openxmlformats.org/drawingml/2006/main">
          <a:off x="545066" y="196763"/>
          <a:ext cx="816266" cy="4773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0.99;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4390931"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F</a:t>
          </a:r>
        </a:p>
      </cdr:txBody>
    </cdr:sp>
  </cdr:relSizeAnchor>
</c:userShapes>
</file>

<file path=word/drawings/drawing7.xml><?xml version="1.0" encoding="utf-8"?>
<c:userShapes xmlns:c="http://schemas.openxmlformats.org/drawingml/2006/chart">
  <cdr:relSizeAnchor xmlns:cdr="http://schemas.openxmlformats.org/drawingml/2006/chartDrawing">
    <cdr:from>
      <cdr:x>0.22239</cdr:x>
      <cdr:y>0.02571</cdr:y>
    </cdr:from>
    <cdr:to>
      <cdr:x>0.44556</cdr:x>
      <cdr:y>0.15621</cdr:y>
    </cdr:to>
    <cdr:sp macro="" textlink="">
      <cdr:nvSpPr>
        <cdr:cNvPr id="2" name="TextBox 1"/>
        <cdr:cNvSpPr txBox="1"/>
      </cdr:nvSpPr>
      <cdr:spPr>
        <a:xfrm xmlns:a="http://schemas.openxmlformats.org/drawingml/2006/main">
          <a:off x="813404" y="94037"/>
          <a:ext cx="816267" cy="4773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0.98;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G</a:t>
          </a:r>
        </a:p>
      </cdr:txBody>
    </cdr:sp>
  </cdr:relSizeAnchor>
</c:userShapes>
</file>

<file path=word/drawings/drawing8.xml><?xml version="1.0" encoding="utf-8"?>
<c:userShapes xmlns:c="http://schemas.openxmlformats.org/drawingml/2006/chart">
  <cdr:relSizeAnchor xmlns:cdr="http://schemas.openxmlformats.org/drawingml/2006/chartDrawing">
    <cdr:from>
      <cdr:x>0.20433</cdr:x>
      <cdr:y>0.04278</cdr:y>
    </cdr:from>
    <cdr:to>
      <cdr:x>0.4275</cdr:x>
      <cdr:y>0.17328</cdr:y>
    </cdr:to>
    <cdr:sp macro="" textlink="">
      <cdr:nvSpPr>
        <cdr:cNvPr id="2" name="TextBox 1"/>
        <cdr:cNvSpPr txBox="1"/>
      </cdr:nvSpPr>
      <cdr:spPr>
        <a:xfrm xmlns:a="http://schemas.openxmlformats.org/drawingml/2006/main">
          <a:off x="747362" y="156458"/>
          <a:ext cx="816267" cy="4773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0.92;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688063" y="3367889"/>
          <a:ext cx="398352" cy="2897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H</a:t>
          </a:r>
        </a:p>
      </cdr:txBody>
    </cdr:sp>
  </cdr:relSizeAnchor>
</c:userShapes>
</file>

<file path=word/drawings/drawing9.xml><?xml version="1.0" encoding="utf-8"?>
<c:userShapes xmlns:c="http://schemas.openxmlformats.org/drawingml/2006/chart">
  <cdr:relSizeAnchor xmlns:cdr="http://schemas.openxmlformats.org/drawingml/2006/chartDrawing">
    <cdr:from>
      <cdr:x>0.17617</cdr:x>
      <cdr:y>0.02389</cdr:y>
    </cdr:from>
    <cdr:to>
      <cdr:x>0.39934</cdr:x>
      <cdr:y>0.15439</cdr:y>
    </cdr:to>
    <cdr:sp macro="" textlink="">
      <cdr:nvSpPr>
        <cdr:cNvPr id="2" name="TextBox 1"/>
        <cdr:cNvSpPr txBox="1"/>
      </cdr:nvSpPr>
      <cdr:spPr>
        <a:xfrm xmlns:a="http://schemas.openxmlformats.org/drawingml/2006/main">
          <a:off x="644374" y="87385"/>
          <a:ext cx="816267" cy="4773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0.85; p&lt;0.0001</a:t>
          </a:r>
        </a:p>
      </cdr:txBody>
    </cdr:sp>
  </cdr:relSizeAnchor>
  <cdr:relSizeAnchor xmlns:cdr="http://schemas.openxmlformats.org/drawingml/2006/chartDrawing">
    <cdr:from>
      <cdr:x>0</cdr:x>
      <cdr:y>0.92079</cdr:y>
    </cdr:from>
    <cdr:to>
      <cdr:x>0.10891</cdr:x>
      <cdr:y>1</cdr:y>
    </cdr:to>
    <cdr:sp macro="" textlink="">
      <cdr:nvSpPr>
        <cdr:cNvPr id="3" name="Text Box 2"/>
        <cdr:cNvSpPr txBox="1"/>
      </cdr:nvSpPr>
      <cdr:spPr>
        <a:xfrm xmlns:a="http://schemas.openxmlformats.org/drawingml/2006/main">
          <a:off x="0" y="3367888"/>
          <a:ext cx="398352" cy="2897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a:t>I</a:t>
          </a:r>
        </a:p>
      </cdr:txBody>
    </cdr:sp>
  </cdr:relSizeAnchor>
</c:userShapes>
</file>

<file path=word/drawings/drawing10.xml><?xml version="1.0" encoding="utf-8"?>
<c:userShapes xmlns:c="http://schemas.openxmlformats.org/drawingml/2006/chart">
  <cdr:relSizeAnchor xmlns:cdr="http://schemas.openxmlformats.org/drawingml/2006/chartDrawing">
    <cdr:from>
      <cdr:x>0.18621</cdr:x>
      <cdr:y>0.03012</cdr:y>
    </cdr:from>
    <cdr:to>
      <cdr:x>0.5198</cdr:x>
      <cdr:y>0.18069</cdr:y>
    </cdr:to>
    <cdr:sp macro="" textlink="">
      <cdr:nvSpPr>
        <cdr:cNvPr id="2" name="TextBox 1"/>
        <cdr:cNvSpPr txBox="1"/>
      </cdr:nvSpPr>
      <cdr:spPr>
        <a:xfrm xmlns:a="http://schemas.openxmlformats.org/drawingml/2006/main">
          <a:off x="681085" y="110168"/>
          <a:ext cx="1220138" cy="5507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0.98;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4354717"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J</a:t>
          </a:r>
        </a:p>
      </cdr:txBody>
    </cdr:sp>
  </cdr:relSizeAnchor>
</c:userShapes>
</file>

<file path=word/drawings/drawing11.xml><?xml version="1.0" encoding="utf-8"?>
<c:userShapes xmlns:c="http://schemas.openxmlformats.org/drawingml/2006/chart">
  <cdr:relSizeAnchor xmlns:cdr="http://schemas.openxmlformats.org/drawingml/2006/chartDrawing">
    <cdr:from>
      <cdr:x>0.16755</cdr:x>
      <cdr:y>0.02574</cdr:y>
    </cdr:from>
    <cdr:to>
      <cdr:x>0.38564</cdr:x>
      <cdr:y>0.15691</cdr:y>
    </cdr:to>
    <cdr:sp macro="" textlink="">
      <cdr:nvSpPr>
        <cdr:cNvPr id="2" name="TextBox 1"/>
        <cdr:cNvSpPr txBox="1"/>
      </cdr:nvSpPr>
      <cdr:spPr>
        <a:xfrm xmlns:a="http://schemas.openxmlformats.org/drawingml/2006/main">
          <a:off x="612836" y="94145"/>
          <a:ext cx="797686" cy="4797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0.83;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a:t>
          </a:r>
        </a:p>
      </cdr:txBody>
    </cdr:sp>
  </cdr:relSizeAnchor>
</c:userShapes>
</file>

<file path=word/drawings/drawing12.xml><?xml version="1.0" encoding="utf-8"?>
<c:userShapes xmlns:c="http://schemas.openxmlformats.org/drawingml/2006/chart">
  <cdr:relSizeAnchor xmlns:cdr="http://schemas.openxmlformats.org/drawingml/2006/chartDrawing">
    <cdr:from>
      <cdr:x>0.17464</cdr:x>
      <cdr:y>0.03103</cdr:y>
    </cdr:from>
    <cdr:to>
      <cdr:x>0.50088</cdr:x>
      <cdr:y>0.1977</cdr:y>
    </cdr:to>
    <cdr:sp macro="" textlink="">
      <cdr:nvSpPr>
        <cdr:cNvPr id="2" name="TextBox 1"/>
        <cdr:cNvSpPr txBox="1"/>
      </cdr:nvSpPr>
      <cdr:spPr>
        <a:xfrm xmlns:a="http://schemas.openxmlformats.org/drawingml/2006/main">
          <a:off x="638777" y="113494"/>
          <a:ext cx="1193256" cy="6096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0.89; p&lt;0.0001</a:t>
          </a:r>
        </a:p>
      </cdr:txBody>
    </cdr:sp>
  </cdr:relSizeAnchor>
  <cdr:relSizeAnchor xmlns:cdr="http://schemas.openxmlformats.org/drawingml/2006/chartDrawing">
    <cdr:from>
      <cdr:x>0</cdr:x>
      <cdr:y>0.90099</cdr:y>
    </cdr:from>
    <cdr:to>
      <cdr:x>0.10891</cdr:x>
      <cdr:y>1</cdr:y>
    </cdr:to>
    <cdr:sp macro="" textlink="">
      <cdr:nvSpPr>
        <cdr:cNvPr id="3" name="Text Box 1"/>
        <cdr:cNvSpPr txBox="1"/>
      </cdr:nvSpPr>
      <cdr:spPr>
        <a:xfrm xmlns:a="http://schemas.openxmlformats.org/drawingml/2006/main">
          <a:off x="0" y="2471596"/>
          <a:ext cx="298762" cy="27160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B</a:t>
          </a:r>
        </a:p>
      </cdr:txBody>
    </cdr:sp>
  </cdr:relSizeAnchor>
</c:userShapes>
</file>

<file path=word/drawings/drawing13.xml><?xml version="1.0" encoding="utf-8"?>
<c:userShapes xmlns:c="http://schemas.openxmlformats.org/drawingml/2006/chart">
  <cdr:relSizeAnchor xmlns:cdr="http://schemas.openxmlformats.org/drawingml/2006/chartDrawing">
    <cdr:from>
      <cdr:x>0.16797</cdr:x>
      <cdr:y>0.03912</cdr:y>
    </cdr:from>
    <cdr:to>
      <cdr:x>0.3635</cdr:x>
      <cdr:y>0.18617</cdr:y>
    </cdr:to>
    <cdr:sp macro="" textlink="">
      <cdr:nvSpPr>
        <cdr:cNvPr id="2" name="TextBox 1"/>
        <cdr:cNvSpPr txBox="1"/>
      </cdr:nvSpPr>
      <cdr:spPr>
        <a:xfrm xmlns:a="http://schemas.openxmlformats.org/drawingml/2006/main">
          <a:off x="614354" y="143081"/>
          <a:ext cx="715170" cy="53785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0.88; p&lt;0.0001</a:t>
          </a:r>
        </a:p>
      </cdr:txBody>
    </cdr:sp>
  </cdr:relSizeAnchor>
  <cdr:relSizeAnchor xmlns:cdr="http://schemas.openxmlformats.org/drawingml/2006/chartDrawing">
    <cdr:from>
      <cdr:x>0</cdr:x>
      <cdr:y>0.91755</cdr:y>
    </cdr:from>
    <cdr:to>
      <cdr:x>0.10891</cdr:x>
      <cdr:y>1</cdr:y>
    </cdr:to>
    <cdr:sp macro="" textlink="">
      <cdr:nvSpPr>
        <cdr:cNvPr id="3" name="Text Box 1"/>
        <cdr:cNvSpPr txBox="1"/>
      </cdr:nvSpPr>
      <cdr:spPr>
        <a:xfrm xmlns:a="http://schemas.openxmlformats.org/drawingml/2006/main">
          <a:off x="0" y="3356043"/>
          <a:ext cx="398349" cy="3015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C</a:t>
          </a:r>
        </a:p>
      </cdr:txBody>
    </cdr:sp>
  </cdr:relSizeAnchor>
</c:userShapes>
</file>

<file path=word/drawings/drawing14.xml><?xml version="1.0" encoding="utf-8"?>
<c:userShapes xmlns:c="http://schemas.openxmlformats.org/drawingml/2006/chart">
  <cdr:relSizeAnchor xmlns:cdr="http://schemas.openxmlformats.org/drawingml/2006/chartDrawing">
    <cdr:from>
      <cdr:x>0.18131</cdr:x>
      <cdr:y>0.02991</cdr:y>
    </cdr:from>
    <cdr:to>
      <cdr:x>0.49816</cdr:x>
      <cdr:y>0.19371</cdr:y>
    </cdr:to>
    <cdr:sp macro="" textlink="">
      <cdr:nvSpPr>
        <cdr:cNvPr id="2" name="TextBox 1"/>
        <cdr:cNvSpPr txBox="1"/>
      </cdr:nvSpPr>
      <cdr:spPr>
        <a:xfrm xmlns:a="http://schemas.openxmlformats.org/drawingml/2006/main">
          <a:off x="663173" y="109399"/>
          <a:ext cx="1158911" cy="5991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0.77;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D</a:t>
          </a:r>
        </a:p>
      </cdr:txBody>
    </cdr:sp>
  </cdr:relSizeAnchor>
</c:userShapes>
</file>

<file path=word/drawings/drawing15.xml><?xml version="1.0" encoding="utf-8"?>
<c:userShapes xmlns:c="http://schemas.openxmlformats.org/drawingml/2006/chart">
  <cdr:relSizeAnchor xmlns:cdr="http://schemas.openxmlformats.org/drawingml/2006/chartDrawing">
    <cdr:from>
      <cdr:x>0.15692</cdr:x>
      <cdr:y>0.02679</cdr:y>
    </cdr:from>
    <cdr:to>
      <cdr:x>0.44681</cdr:x>
      <cdr:y>0.19415</cdr:y>
    </cdr:to>
    <cdr:sp macro="" textlink="">
      <cdr:nvSpPr>
        <cdr:cNvPr id="2" name="TextBox 1"/>
        <cdr:cNvSpPr txBox="1"/>
      </cdr:nvSpPr>
      <cdr:spPr>
        <a:xfrm xmlns:a="http://schemas.openxmlformats.org/drawingml/2006/main">
          <a:off x="573958" y="97990"/>
          <a:ext cx="1060287" cy="6121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0.97;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a:t>
          </a:r>
        </a:p>
      </cdr:txBody>
    </cdr:sp>
  </cdr:relSizeAnchor>
</c:userShapes>
</file>

<file path=word/drawings/drawing16.xml><?xml version="1.0" encoding="utf-8"?>
<c:userShapes xmlns:c="http://schemas.openxmlformats.org/drawingml/2006/chart">
  <cdr:relSizeAnchor xmlns:cdr="http://schemas.openxmlformats.org/drawingml/2006/chartDrawing">
    <cdr:from>
      <cdr:x>0.15837</cdr:x>
      <cdr:y>0.03171</cdr:y>
    </cdr:from>
    <cdr:to>
      <cdr:x>0.45213</cdr:x>
      <cdr:y>0.21011</cdr:y>
    </cdr:to>
    <cdr:sp macro="" textlink="">
      <cdr:nvSpPr>
        <cdr:cNvPr id="2" name="TextBox 1"/>
        <cdr:cNvSpPr txBox="1"/>
      </cdr:nvSpPr>
      <cdr:spPr>
        <a:xfrm xmlns:a="http://schemas.openxmlformats.org/drawingml/2006/main">
          <a:off x="579268" y="115981"/>
          <a:ext cx="1074434" cy="6525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0.93; p&lt;0.0001</a:t>
          </a:r>
        </a:p>
      </cdr:txBody>
    </cdr:sp>
  </cdr:relSizeAnchor>
  <cdr:relSizeAnchor xmlns:cdr="http://schemas.openxmlformats.org/drawingml/2006/chartDrawing">
    <cdr:from>
      <cdr:x>0</cdr:x>
      <cdr:y>0.91489</cdr:y>
    </cdr:from>
    <cdr:to>
      <cdr:x>0.10891</cdr:x>
      <cdr:y>1</cdr:y>
    </cdr:to>
    <cdr:sp macro="" textlink="">
      <cdr:nvSpPr>
        <cdr:cNvPr id="3" name="Text Box 1"/>
        <cdr:cNvSpPr txBox="1"/>
      </cdr:nvSpPr>
      <cdr:spPr>
        <a:xfrm xmlns:a="http://schemas.openxmlformats.org/drawingml/2006/main">
          <a:off x="0" y="3346315"/>
          <a:ext cx="398349" cy="31128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B</a:t>
          </a:r>
        </a:p>
      </cdr:txBody>
    </cdr:sp>
  </cdr:relSizeAnchor>
</c:userShapes>
</file>

<file path=word/drawings/drawing17.xml><?xml version="1.0" encoding="utf-8"?>
<c:userShapes xmlns:c="http://schemas.openxmlformats.org/drawingml/2006/chart">
  <cdr:relSizeAnchor xmlns:cdr="http://schemas.openxmlformats.org/drawingml/2006/chartDrawing">
    <cdr:from>
      <cdr:x>0.15814</cdr:x>
      <cdr:y>0.05911</cdr:y>
    </cdr:from>
    <cdr:to>
      <cdr:x>0.43965</cdr:x>
      <cdr:y>0.20459</cdr:y>
    </cdr:to>
    <cdr:sp macro="" textlink="">
      <cdr:nvSpPr>
        <cdr:cNvPr id="2" name="TextBox 1"/>
        <cdr:cNvSpPr txBox="1"/>
      </cdr:nvSpPr>
      <cdr:spPr>
        <a:xfrm xmlns:a="http://schemas.openxmlformats.org/drawingml/2006/main">
          <a:off x="578421" y="216187"/>
          <a:ext cx="1029636" cy="5321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0.98;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C</a:t>
          </a:r>
        </a:p>
      </cdr:txBody>
    </cdr:sp>
  </cdr:relSizeAnchor>
</c:userShapes>
</file>

<file path=word/drawings/drawing18.xml><?xml version="1.0" encoding="utf-8"?>
<c:userShapes xmlns:c="http://schemas.openxmlformats.org/drawingml/2006/chart">
  <cdr:relSizeAnchor xmlns:cdr="http://schemas.openxmlformats.org/drawingml/2006/chartDrawing">
    <cdr:from>
      <cdr:x>0.15528</cdr:x>
      <cdr:y>0.0363</cdr:y>
    </cdr:from>
    <cdr:to>
      <cdr:x>0.48138</cdr:x>
      <cdr:y>0.17553</cdr:y>
    </cdr:to>
    <cdr:sp macro="" textlink="">
      <cdr:nvSpPr>
        <cdr:cNvPr id="2" name="TextBox 1"/>
        <cdr:cNvSpPr txBox="1"/>
      </cdr:nvSpPr>
      <cdr:spPr>
        <a:xfrm xmlns:a="http://schemas.openxmlformats.org/drawingml/2006/main">
          <a:off x="567949" y="132769"/>
          <a:ext cx="1192757" cy="5092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0.97;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D</a:t>
          </a:r>
        </a:p>
      </cdr:txBody>
    </cdr:sp>
  </cdr:relSizeAnchor>
</c:userShapes>
</file>

<file path=word/drawings/drawing19.xml><?xml version="1.0" encoding="utf-8"?>
<c:userShapes xmlns:c="http://schemas.openxmlformats.org/drawingml/2006/chart">
  <cdr:relSizeAnchor xmlns:cdr="http://schemas.openxmlformats.org/drawingml/2006/chartDrawing">
    <cdr:from>
      <cdr:x>0.15344</cdr:x>
      <cdr:y>0.04089</cdr:y>
    </cdr:from>
    <cdr:to>
      <cdr:x>0.46768</cdr:x>
      <cdr:y>0.19912</cdr:y>
    </cdr:to>
    <cdr:sp macro="" textlink="">
      <cdr:nvSpPr>
        <cdr:cNvPr id="2" name="TextBox 1"/>
        <cdr:cNvSpPr txBox="1"/>
      </cdr:nvSpPr>
      <cdr:spPr>
        <a:xfrm xmlns:a="http://schemas.openxmlformats.org/drawingml/2006/main">
          <a:off x="561210" y="149557"/>
          <a:ext cx="1149360" cy="5787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0.96;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91440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E</a:t>
          </a:r>
        </a:p>
      </cdr:txBody>
    </cdr:sp>
  </cdr:relSizeAnchor>
</c:userShapes>
</file>

<file path=word/drawings/drawing20.xml><?xml version="1.0" encoding="utf-8"?>
<c:userShapes xmlns:c="http://schemas.openxmlformats.org/drawingml/2006/chart">
  <cdr:relSizeAnchor xmlns:cdr="http://schemas.openxmlformats.org/drawingml/2006/chartDrawing">
    <cdr:from>
      <cdr:x>0.15691</cdr:x>
      <cdr:y>0.03457</cdr:y>
    </cdr:from>
    <cdr:to>
      <cdr:x>0.48936</cdr:x>
      <cdr:y>0.18617</cdr:y>
    </cdr:to>
    <cdr:sp macro="" textlink="">
      <cdr:nvSpPr>
        <cdr:cNvPr id="2" name="TextBox 1"/>
        <cdr:cNvSpPr txBox="1"/>
      </cdr:nvSpPr>
      <cdr:spPr>
        <a:xfrm xmlns:a="http://schemas.openxmlformats.org/drawingml/2006/main">
          <a:off x="573932" y="126458"/>
          <a:ext cx="1215957" cy="5544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 </a:t>
          </a:r>
          <a:r>
            <a:rPr lang="en-US" sz="1100"/>
            <a:t> = 0.98;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F</a:t>
          </a:r>
        </a:p>
      </cdr:txBody>
    </cdr:sp>
  </cdr:relSizeAnchor>
</c:userShapes>
</file>

<file path=word/drawings/drawing21.xml><?xml version="1.0" encoding="utf-8"?>
<c:userShapes xmlns:c="http://schemas.openxmlformats.org/drawingml/2006/chart">
  <cdr:relSizeAnchor xmlns:cdr="http://schemas.openxmlformats.org/drawingml/2006/chartDrawing">
    <cdr:from>
      <cdr:x>0.16615</cdr:x>
      <cdr:y>0.03171</cdr:y>
    </cdr:from>
    <cdr:to>
      <cdr:x>0.49734</cdr:x>
      <cdr:y>0.18883</cdr:y>
    </cdr:to>
    <cdr:sp macro="" textlink="">
      <cdr:nvSpPr>
        <cdr:cNvPr id="2" name="TextBox 1"/>
        <cdr:cNvSpPr txBox="1"/>
      </cdr:nvSpPr>
      <cdr:spPr>
        <a:xfrm xmlns:a="http://schemas.openxmlformats.org/drawingml/2006/main">
          <a:off x="607705" y="115981"/>
          <a:ext cx="1211368" cy="5746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0.96;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91440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G</a:t>
          </a:r>
        </a:p>
      </cdr:txBody>
    </cdr:sp>
  </cdr:relSizeAnchor>
</c:userShapes>
</file>

<file path=word/drawings/drawing22.xml><?xml version="1.0" encoding="utf-8"?>
<c:userShapes xmlns:c="http://schemas.openxmlformats.org/drawingml/2006/chart">
  <cdr:relSizeAnchor xmlns:cdr="http://schemas.openxmlformats.org/drawingml/2006/chartDrawing">
    <cdr:from>
      <cdr:x>0.15998</cdr:x>
      <cdr:y>0.10904</cdr:y>
    </cdr:from>
    <cdr:to>
      <cdr:x>0.4775</cdr:x>
      <cdr:y>0.24734</cdr:y>
    </cdr:to>
    <cdr:sp macro="" textlink="">
      <cdr:nvSpPr>
        <cdr:cNvPr id="2" name="TextBox 1"/>
        <cdr:cNvSpPr txBox="1"/>
      </cdr:nvSpPr>
      <cdr:spPr>
        <a:xfrm xmlns:a="http://schemas.openxmlformats.org/drawingml/2006/main">
          <a:off x="585155" y="398833"/>
          <a:ext cx="1161334" cy="5058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 </a:t>
          </a:r>
          <a:r>
            <a:rPr lang="en-US" sz="1100"/>
            <a:t>= 0.91;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91440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H</a:t>
          </a:r>
        </a:p>
      </cdr:txBody>
    </cdr:sp>
  </cdr:relSizeAnchor>
</c:userShapes>
</file>

<file path=word/drawings/drawing23.xml><?xml version="1.0" encoding="utf-8"?>
<c:userShapes xmlns:c="http://schemas.openxmlformats.org/drawingml/2006/chart">
  <cdr:relSizeAnchor xmlns:cdr="http://schemas.openxmlformats.org/drawingml/2006/chartDrawing">
    <cdr:from>
      <cdr:x>0.16256</cdr:x>
      <cdr:y>0.10637</cdr:y>
    </cdr:from>
    <cdr:to>
      <cdr:x>0.42021</cdr:x>
      <cdr:y>0.27128</cdr:y>
    </cdr:to>
    <cdr:sp macro="" textlink="">
      <cdr:nvSpPr>
        <cdr:cNvPr id="2" name="TextBox 1"/>
        <cdr:cNvSpPr txBox="1"/>
      </cdr:nvSpPr>
      <cdr:spPr>
        <a:xfrm xmlns:a="http://schemas.openxmlformats.org/drawingml/2006/main">
          <a:off x="594569" y="389067"/>
          <a:ext cx="942401" cy="6031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 </a:t>
          </a:r>
          <a:r>
            <a:rPr lang="en-US" sz="1100"/>
            <a:t> = 0.90;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I</a:t>
          </a:r>
        </a:p>
      </cdr:txBody>
    </cdr:sp>
  </cdr:relSizeAnchor>
</c:userShapes>
</file>

<file path=word/drawings/drawing24.xml><?xml version="1.0" encoding="utf-8"?>
<c:userShapes xmlns:c="http://schemas.openxmlformats.org/drawingml/2006/chart">
  <cdr:relSizeAnchor xmlns:cdr="http://schemas.openxmlformats.org/drawingml/2006/chartDrawing">
    <cdr:from>
      <cdr:x>0.1295</cdr:x>
      <cdr:y>0.03856</cdr:y>
    </cdr:from>
    <cdr:to>
      <cdr:x>0.37234</cdr:x>
      <cdr:y>0.20218</cdr:y>
    </cdr:to>
    <cdr:sp macro="" textlink="">
      <cdr:nvSpPr>
        <cdr:cNvPr id="2" name="TextBox 1"/>
        <cdr:cNvSpPr txBox="1"/>
      </cdr:nvSpPr>
      <cdr:spPr>
        <a:xfrm xmlns:a="http://schemas.openxmlformats.org/drawingml/2006/main">
          <a:off x="473661" y="141032"/>
          <a:ext cx="888211" cy="5984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0.94;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a:t>
          </a:r>
        </a:p>
      </cdr:txBody>
    </cdr:sp>
  </cdr:relSizeAnchor>
</c:userShapes>
</file>

<file path=word/drawings/drawing25.xml><?xml version="1.0" encoding="utf-8"?>
<c:userShapes xmlns:c="http://schemas.openxmlformats.org/drawingml/2006/chart">
  <cdr:relSizeAnchor xmlns:cdr="http://schemas.openxmlformats.org/drawingml/2006/chartDrawing">
    <cdr:from>
      <cdr:x>0.13727</cdr:x>
      <cdr:y>0.03856</cdr:y>
    </cdr:from>
    <cdr:to>
      <cdr:x>0.35986</cdr:x>
      <cdr:y>0.19089</cdr:y>
    </cdr:to>
    <cdr:sp macro="" textlink="">
      <cdr:nvSpPr>
        <cdr:cNvPr id="2" name="TextBox 1"/>
        <cdr:cNvSpPr txBox="1"/>
      </cdr:nvSpPr>
      <cdr:spPr>
        <a:xfrm xmlns:a="http://schemas.openxmlformats.org/drawingml/2006/main">
          <a:off x="502097" y="141033"/>
          <a:ext cx="814130" cy="5571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0.98; p&lt;0.0001</a:t>
          </a:r>
        </a:p>
      </cdr:txBody>
    </cdr:sp>
  </cdr:relSizeAnchor>
  <cdr:relSizeAnchor xmlns:cdr="http://schemas.openxmlformats.org/drawingml/2006/chartDrawing">
    <cdr:from>
      <cdr:x>0</cdr:x>
      <cdr:y>0.92456</cdr:y>
    </cdr:from>
    <cdr:to>
      <cdr:x>0.10891</cdr:x>
      <cdr:y>1</cdr:y>
    </cdr:to>
    <cdr:sp macro="" textlink="">
      <cdr:nvSpPr>
        <cdr:cNvPr id="3" name="Text Box 1"/>
        <cdr:cNvSpPr txBox="1"/>
      </cdr:nvSpPr>
      <cdr:spPr>
        <a:xfrm xmlns:a="http://schemas.openxmlformats.org/drawingml/2006/main">
          <a:off x="0" y="355076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B</a:t>
          </a:r>
        </a:p>
      </cdr:txBody>
    </cdr:sp>
  </cdr:relSizeAnchor>
</c:userShapes>
</file>

<file path=word/drawings/drawing26.xml><?xml version="1.0" encoding="utf-8"?>
<c:userShapes xmlns:c="http://schemas.openxmlformats.org/drawingml/2006/chart">
  <cdr:relSizeAnchor xmlns:cdr="http://schemas.openxmlformats.org/drawingml/2006/chartDrawing">
    <cdr:from>
      <cdr:x>0.1295</cdr:x>
      <cdr:y>0.03856</cdr:y>
    </cdr:from>
    <cdr:to>
      <cdr:x>0.36518</cdr:x>
      <cdr:y>0.18411</cdr:y>
    </cdr:to>
    <cdr:sp macro="" textlink="">
      <cdr:nvSpPr>
        <cdr:cNvPr id="2" name="TextBox 1"/>
        <cdr:cNvSpPr txBox="1"/>
      </cdr:nvSpPr>
      <cdr:spPr>
        <a:xfrm xmlns:a="http://schemas.openxmlformats.org/drawingml/2006/main">
          <a:off x="473662" y="141032"/>
          <a:ext cx="862020" cy="53237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Symbol" pitchFamily="2" charset="2"/>
            </a:rPr>
            <a:t>r</a:t>
          </a:r>
          <a:r>
            <a:rPr lang="en-US" sz="1100"/>
            <a:t> = 0.98; p&lt;0.0001</a:t>
          </a:r>
        </a:p>
      </cdr:txBody>
    </cdr:sp>
  </cdr:relSizeAnchor>
  <cdr:relSizeAnchor xmlns:cdr="http://schemas.openxmlformats.org/drawingml/2006/chartDrawing">
    <cdr:from>
      <cdr:x>0</cdr:x>
      <cdr:y>0.92079</cdr:y>
    </cdr:from>
    <cdr:to>
      <cdr:x>0.10891</cdr:x>
      <cdr:y>1</cdr:y>
    </cdr:to>
    <cdr:sp macro="" textlink="">
      <cdr:nvSpPr>
        <cdr:cNvPr id="3" name="Text Box 1"/>
        <cdr:cNvSpPr txBox="1"/>
      </cdr:nvSpPr>
      <cdr:spPr>
        <a:xfrm xmlns:a="http://schemas.openxmlformats.org/drawingml/2006/main">
          <a:off x="0" y="3367882"/>
          <a:ext cx="398349" cy="2897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C</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C1BB8672-1480-B444-8B55-74D793910A25}"/>
      </w:docPartPr>
      <w:docPartBody>
        <w:p w:rsidR="00000000" w:rsidRDefault="00572C9D">
          <w:r w:rsidRPr="005A57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475"/>
    <w:rsid w:val="000C0EB9"/>
    <w:rsid w:val="00393AA2"/>
    <w:rsid w:val="00572C9D"/>
    <w:rsid w:val="00621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2C9D"/>
    <w:rPr>
      <w:color w:val="808080"/>
    </w:rPr>
  </w:style>
  <w:style w:type="paragraph" w:customStyle="1" w:styleId="DF2F67013EE97B4CA1E6A43380F3ED3A">
    <w:name w:val="DF2F67013EE97B4CA1E6A43380F3ED3A"/>
    <w:rsid w:val="00621475"/>
  </w:style>
  <w:style w:type="paragraph" w:customStyle="1" w:styleId="020E0050D983D7418E923A337C40F200">
    <w:name w:val="020E0050D983D7418E923A337C40F200"/>
    <w:rsid w:val="00621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A8F0B8-6BD0-7C42-9D97-A641ECDE6F31}">
  <we:reference id="wa104382081" version="1.21.0.0" store="en-001" storeType="OMEX"/>
  <we:alternateReferences>
    <we:reference id="wa104382081" version="1.21.0.0" store="en-001" storeType="OMEX"/>
  </we:alternateReferences>
  <we:properties>
    <we:property name="MENDELEY_CITATIONS" value="[{&quot;citationID&quot;:&quot;MENDELEY_CITATION_112b7557-9a43-4502-ab04-d06b7760e361&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3926b388-1c71-3cf1-83b8-793740bfd9ab&quot;,&quot;itemData&quot;:{&quot;type&quot;:&quot;article-journal&quot;,&quot;id&quot;:&quot;3926b388-1c71-3cf1-83b8-793740bfd9ab&quot;,&quot;title&quot;:&quot;The concentrations of urinary oestrone-3-glucuronide, LH and pregnanediol-3α-glucuronide as indices of ovarian function&quot;,&quot;author&quot;:[{&quot;family&quot;:&quot;Collins&quot;,&quot;given&quot;:&quot;W. P.&quot;,&quot;parse-names&quot;:false,&quot;dropping-particle&quot;:&quot;&quot;,&quot;non-dropping-particle&quot;:&quot;&quot;},{&quot;family&quot;:&quot;Collins&quot;,&quot;given&quot;:&quot;P. O.&quot;,&quot;parse-names&quot;:false,&quot;dropping-particle&quot;:&quot;&quot;,&quot;non-dropping-particle&quot;:&quot;&quot;},{&quot;family&quot;:&quot;Kilpatrick&quot;,&quot;given&quot;:&quot;M. J.&quot;,&quot;parse-names&quot;:false,&quot;dropping-particle&quot;:&quot;&quot;,&quot;non-dropping-particle&quot;:&quot;&quot;},{&quot;family&quot;:&quot;Manning&quot;,&quot;given&quot;:&quot;P. A.&quot;,&quot;parse-names&quot;:false,&quot;dropping-particle&quot;:&quot;&quot;,&quot;non-dropping-particle&quot;:&quot;&quot;},{&quot;family&quot;:&quot;Pike&quot;,&quot;given&quot;:&quot;J. M.&quot;,&quot;parse-names&quot;:false,&quot;dropping-particle&quot;:&quot;&quot;,&quot;non-dropping-particle&quot;:&quot;&quot;},{&quot;family&quot;:&quot;Tyler&quot;,&quot;given&quot;:&quot;J. P.&quot;,&quot;parse-names&quot;:false,&quot;dropping-particle&quot;:&quot;&quot;,&quot;non-dropping-particle&quot;:&quot;&quot;}],&quot;container-title&quot;:&quot;Acta Endocrinologica&quot;,&quot;accessed&quot;:{&quot;date-parts&quot;:[[2020,10,12]]},&quot;DOI&quot;:&quot;10.1530/acta.0.0900336&quot;,&quot;ISSN&quot;:&quot;00015598&quot;,&quot;PMID&quot;:&quot;419920&quot;,&quot;URL&quot;:&quot;https://pubmed.ncbi.nlm.nih.gov/419920/&quot;,&quot;issued&quot;:{&quot;date-parts&quot;:[[1979]]},&quot;page&quot;:&quot;336-348&quot;,&quot;abstract&quot;:&quot;Methods based upon the principles of raioimmunoassay have been developed and evaluated for the measurement of oestrone-3-glucuronide, LH and pregnanediol-3α-glucuronide in samples of unextracted urine. The procedures have been applied to daily urine (early morning fraction and combined 24 hour collections) from 6 women throughout one complete menstrual cycle and to serial samples from an additional 14 women who only collected early morning specimens. The results showed that there were characteristic, well-defined changes in the concentration of all 3 metabolites in both samples of urine and from all subjects. In addition, there was a reasonable correlation between the concentration of all 3 compounds in samples of early morning urine and the corresponding rates of excretion per 24 hours. These findings suggest that the procedures may be of value for monitoring ovarian function over long periods of time, without the problems of stress and inconvenience to the patient. Furthermore, the ratio of values for oestrone-3-glucuronide to pregnanediol-3α-glucuronide may be used to indicate the start and finish of the fertile period.&quot;,&quot;publisher&quot;:&quot;Acta Endocrinol (Copenh)&quot;,&quot;issue&quot;:&quot;2&quot;,&quot;volume&quot;:&quot;90&quot;},&quot;isTemporary&quot;:false},{&quot;id&quot;:&quot;f3b9a976-25f4-3279-bc9a-5652290ced6a&quot;,&quot;itemData&quot;:{&quot;type&quot;:&quot;article-journal&quot;,&quot;id&quot;:&quot;f3b9a976-25f4-3279-bc9a-5652290ced6a&quot;,&quot;title&quot;:&quot;Usefulness of early morning urine estrone-3-glucuronide assay in the monitoring ovarian secretory function in precocious puberty&quot;,&quot;author&quot;:[{&quot;family&quot;:&quot;Bassi&quot;,&quot;given&quot;:&quot;Francesca&quot;,&quot;parse-names&quot;:false,&quot;dropping-particle&quot;:&quot;&quot;,&quot;non-dropping-particle&quot;:&quot;&quot;},{&quot;family&quot;:&quot;Bartolini&quot;,&quot;given&quot;:&quot;O.&quot;,&quot;parse-names&quot;:false,&quot;dropping-particle&quot;:&quot;&quot;,&quot;non-dropping-particle&quot;:&quot;&quot;},{&quot;family&quot;:&quot;Neri&quot;,&quot;given&quot;:&quot;A. S.&quot;,&quot;parse-names&quot;:false,&quot;dropping-particle&quot;:&quot;&quot;,&quot;non-dropping-particle&quot;:&quot;&quot;},{&quot;family&quot;:&quot;Gheri&quot;,&quot;given&quot;:&quot;R. G.&quot;,&quot;parse-names&quot;:false,&quot;dropping-particle&quot;:&quot;&quot;,&quot;non-dropping-particle&quot;:&quot;&quot;},{&quot;family&quot;:&quot;Magini&quot;,&quot;given&quot;:&quot;A.&quot;,&quot;parse-names&quot;:false,&quot;dropping-particle&quot;:&quot;&quot;,&quot;non-dropping-particle&quot;:&quot;&quot;},{&quot;family&quot;:&quot;Bucciantini&quot;,&quot;given&quot;:&quot;S.&quot;,&quot;parse-names&quot;:false,&quot;dropping-particle&quot;:&quot;&quot;,&quot;non-dropping-particle&quot;:&quot;&quot;},{&quot;family&quot;:&quot;Bruni&quot;,&quot;given&quot;:&quot;V.&quot;,&quot;parse-names&quot;:false,&quot;dropping-particle&quot;:&quot;&quot;,&quot;non-dropping-particle&quot;:&quot;&quot;}],&quot;container-title&quot;:&quot;Journal of Endocrinological Investigation&quot;,&quot;accessed&quot;:{&quot;date-parts&quot;:[[2020,10,12]]},&quot;DOI&quot;:&quot;10.1007/BF03349708&quot;,&quot;ISSN&quot;:&quot;17208386&quot;,&quot;PMID&quot;:&quot;7629394&quot;,&quot;issued&quot;:{&quot;date-parts&quot;:[[1995]]},&quot;page&quot;:&quot;98-103&quot;,&quot;abstract&quot;:&quot;To evaluate the usefulness of the urinary estrone-3-glucuronide (EI-3-G) in the monitoring of the ovarian function in girls, we studied 11 girls with idiopathic central precocious puberty (ICPP) treated with LHRH analogs (LHRHa) for 2–5 years. Plasma LH, FSH, 17 -ß-Estradiol (E2) levels, early morning urine (EMU) E1-3-G concentrations, were assessed before and 3, 6,12 months after the onset of treatment. As expected, mean basal plasma LH, FSH and E2 concentrations, as well as mean basal EMU E1-3-G levels were significantly (p&lt;0.01) higher in patients studied than in normal, age matched, prepubertal controls. Three out of the 11 sexually advanced girls showed undetectable (&lt;15 pg/ml) basal plasma E2 values. On the contrary, in each patient studied, individual basal EI-3-G levels were higher than in normal age-matched prepubertal girls. LHRHa treatment significantly suppressed both basal and peak stimulated plasma gonadotropins, plasma E2 and EMU E1-3-G. However, while serum E2 levels were below the assay detection limit, not allowing to assess the degree of gonadal suppression, E1-3-G urinary concentrations were detectable in each subject treated, in the range of the normal prepubertal values. EMU E1-3-G determination seems to be a very sensitive and reliable approach to the monitoring of the effectiveness of LHRHa treatment in sexually advanced girls, allowing to detect very low estrogen concentrations and to achieve the desired ovarian suppression. © 1995, Italian Society of Endocrinology (SIE). All rights reserved.&quot;,&quot;issue&quot;:&quot;2&quot;,&quot;volume&quot;:&quot;18&quot;},&quot;isTemporary&quot;:false},{&quot;id&quot;:&quot;a8c1cf55-07c9-35e4-9c04-bff53d5c154f&quot;,&quot;itemData&quot;:{&quot;type&quot;:&quot;article-journal&quot;,&quot;id&quot;:&quot;a8c1cf55-07c9-35e4-9c04-bff53d5c154f&quot;,&quot;title&quot;:&quot;Hormone replacement with estradiol: Conventional oral doses result in excessive exposure to estrone&quot;,&quot;author&quot;:[{&quot;family&quot;:&quot;Friel&quot;,&quot;given&quot;:&quot;Patrick N.&quot;,&quot;parse-names&quot;:false,&quot;dropping-particle&quot;:&quot;&quot;,&quot;non-dropping-particle&quot;:&quot;&quot;},{&quot;family&quot;:&quot;Hinchcliffe&quot;,&quot;given&quot;:&quot;Christa&quot;,&quot;parse-names&quot;:false,&quot;dropping-particle&quot;:&quot;&quot;,&quot;non-dropping-particle&quot;:&quot;&quot;},{&quot;family&quot;:&quot;Wright&quot;,&quot;given&quot;:&quot;Jonathan&quot;,&quot;parse-names&quot;:false,&quot;dropping-particle&quot;:&quot;v.&quot;,&quot;non-dropping-particle&quot;:&quot;&quot;}],&quot;container-title&quot;:&quot;Alternative Medicine Review&quot;,&quot;accessed&quot;:{&quot;date-parts&quot;:[[2020,10,12]]},&quot;ISSN&quot;:&quot;10895159&quot;,&quot;PMID&quot;:&quot;15771561&quot;,&quot;URL&quot;:&quot;https://pubmed.ncbi.nlm.nih.gov/15771561/&quot;,&quot;issued&quot;:{&quot;date-parts&quot;:[[2005,3]]},&quot;page&quot;:&quot;36-41&quot;,&quot;abstract&quot;:&quot;BACKGROUND: There is a lack of consensus about the safety of estrogen replacement therapy, especially with regard to its impact on a woman's risk for breast cancer. Elevated urinary or serum estrone and estradiol concentrations in postmenopausal women are associated with a moderately elevated risk of breast cancer. METHODS: Twenty-four-hour urinary steroid hormone profiles, including the measurement of estrone, estradiol, and estriol, were conducted for 35 postmenopausal women receiving oral estradiol at doses from 0.025-2.0 mg/day. RESULTS: Urinary excretion of estradiol exceeded premenopausal reference range values in women taking estradiol at doses greater than 0.5 mg/day. Urinary estrone excretion exceeded premenopausal reference range values in women taking estradiol doses of 0.25 mg/day or higher. Literature data indicate serum estrone concentrations also markedly exceed premenopausal reference ranges when estradiol is administered orally at a dose of 1 mg/day. CONCLUSIONS: The previously recommended oral dose of estradiol (1-2 mg/day) results in urinary excretion of estrone at values 5-10 times the upper limit of the reference range for premenopausal women. Retrospective studies associating oral estradiol with increased risk of breast cancer may reflect overdose conditions. Based on current knowledge, a prudent dose ceiling for oral estradiol replacement therapy of 0.25 mg/day is proposed.&quot;,&quot;publisher&quot;:&quot;Altern Med Rev&quot;,&quot;issue&quot;:&quot;1&quot;,&quot;volume&quot;:&quot;1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properties&quot;:{&quot;noteIndex&quot;:0},&quot;isEdited&quot;:false,&quot;manualOverride&quot;:{&quot;isManuallyOverriden&quot;:false,&quot;citeprocText&quot;:&quot;&lt;sup&gt;1–5&lt;/sup&gt;&quot;,&quot;manualOverrideText&quot;:&quot;&quot;},&quot;citationTag&quot;:&quot;MENDELEY_CITATION_{\&quot;citationID\&quot;:\&quot;MENDELEY_CITATION_112b7557-9a43-4502-ab04-d06b7760e361\&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3926b388-1c71-3cf1-83b8-793740bfd9ab\&quot;,\&quot;itemData\&quot;:{\&quot;type\&quot;:\&quot;article-journal\&quot;,\&quot;id\&quot;:\&quot;3926b388-1c71-3cf1-83b8-793740bfd9ab\&quot;,\&quot;title\&quot;:\&quot;The concentrations of urinary oestrone-3-glucuronide, LH and pregnanediol-3α-glucuronide as indices of ovarian function\&quot;,\&quot;author\&quot;:[{\&quot;family\&quot;:\&quot;Collins\&quot;,\&quot;given\&quot;:\&quot;W. P.\&quot;,\&quot;parse-names\&quot;:false,\&quot;dropping-particle\&quot;:\&quot;\&quot;,\&quot;non-dropping-particle\&quot;:\&quot;\&quot;},{\&quot;family\&quot;:\&quot;Collins\&quot;,\&quot;given\&quot;:\&quot;P. O.\&quot;,\&quot;parse-names\&quot;:false,\&quot;dropping-particle\&quot;:\&quot;\&quot;,\&quot;non-dropping-particle\&quot;:\&quot;\&quot;},{\&quot;family\&quot;:\&quot;Kilpatrick\&quot;,\&quot;given\&quot;:\&quot;M. J.\&quot;,\&quot;parse-names\&quot;:false,\&quot;dropping-particle\&quot;:\&quot;\&quot;,\&quot;non-dropping-particle\&quot;:\&quot;\&quot;},{\&quot;family\&quot;:\&quot;Manning\&quot;,\&quot;given\&quot;:\&quot;P. A.\&quot;,\&quot;parse-names\&quot;:false,\&quot;dropping-particle\&quot;:\&quot;\&quot;,\&quot;non-dropping-particle\&quot;:\&quot;\&quot;},{\&quot;family\&quot;:\&quot;Pike\&quot;,\&quot;given\&quot;:\&quot;J. M.\&quot;,\&quot;parse-names\&quot;:false,\&quot;dropping-particle\&quot;:\&quot;\&quot;,\&quot;non-dropping-particle\&quot;:\&quot;\&quot;},{\&quot;family\&quot;:\&quot;Tyler\&quot;,\&quot;given\&quot;:\&quot;J. P.\&quot;,\&quot;parse-names\&quot;:false,\&quot;dropping-particle\&quot;:\&quot;\&quot;,\&quot;non-dropping-particle\&quot;:\&quot;\&quot;}],\&quot;container-title\&quot;:\&quot;Acta Endocrinologica\&quot;,\&quot;accessed\&quot;:{\&quot;date-parts\&quot;:[[2020,10,12]]},\&quot;DOI\&quot;:\&quot;10.1530/acta.0.0900336\&quot;,\&quot;ISSN\&quot;:\&quot;00015598\&quot;,\&quot;PMID\&quot;:\&quot;419920\&quot;,\&quot;URL\&quot;:\&quot;https://pubmed.ncbi.nlm.nih.gov/419920/\&quot;,\&quot;issued\&quot;:{\&quot;date-parts\&quot;:[[1979]]},\&quot;page\&quot;:\&quot;336-348\&quot;,\&quot;abstract\&quot;:\&quot;Methods based upon the principles of raioimmunoassay have been developed and evaluated for the measurement of oestrone-3-glucuronide, LH and pregnanediol-3α-glucuronide in samples of unextracted urine. The procedures have been applied to daily urine (early morning fraction and combined 24 hour collections) from 6 women throughout one complete menstrual cycle and to serial samples from an additional 14 women who only collected early morning specimens. The results showed that there were characteristic, well-defined changes in the concentration of all 3 metabolites in both samples of urine and from all subjects. In addition, there was a reasonable correlation between the concentration of all 3 compounds in samples of early morning urine and the corresponding rates of excretion per 24 hours. These findings suggest that the procedures may be of value for monitoring ovarian function over long periods of time, without the problems of stress and inconvenience to the patient. Furthermore, the ratio of values for oestrone-3-glucuronide to pregnanediol-3α-glucuronide may be used to indicate the start and finish of the fertile period.\&quot;,\&quot;publisher\&quot;:\&quot;Acta Endocrinol (Copenh)\&quot;,\&quot;issue\&quot;:\&quot;2\&quot;,\&quot;volume\&quot;:\&quot;90\&quot;},\&quot;isTemporary\&quot;:false},{\&quot;id\&quot;:\&quot;f3b9a976-25f4-3279-bc9a-5652290ced6a\&quot;,\&quot;itemData\&quot;:{\&quot;type\&quot;:\&quot;article-journal\&quot;,\&quot;id\&quot;:\&quot;f3b9a976-25f4-3279-bc9a-5652290ced6a\&quot;,\&quot;title\&quot;:\&quot;Usefulness of early morning urine estrone-3-glucuronide assay in the monitoring ovarian secretory function in precocious puberty\&quot;,\&quot;author\&quot;:[{\&quot;family\&quot;:\&quot;Bassi\&quot;,\&quot;given\&quot;:\&quot;Francesca\&quot;,\&quot;parse-names\&quot;:false,\&quot;dropping-particle\&quot;:\&quot;\&quot;,\&quot;non-dropping-particle\&quot;:\&quot;\&quot;},{\&quot;family\&quot;:\&quot;Bartolini\&quot;,\&quot;given\&quot;:\&quot;O.\&quot;,\&quot;parse-names\&quot;:false,\&quot;dropping-particle\&quot;:\&quot;\&quot;,\&quot;non-dropping-particle\&quot;:\&quot;\&quot;},{\&quot;family\&quot;:\&quot;Neri\&quot;,\&quot;given\&quot;:\&quot;A. S.\&quot;,\&quot;parse-names\&quot;:false,\&quot;dropping-particle\&quot;:\&quot;\&quot;,\&quot;non-dropping-particle\&quot;:\&quot;\&quot;},{\&quot;family\&quot;:\&quot;Gheri\&quot;,\&quot;given\&quot;:\&quot;R. G.\&quot;,\&quot;parse-names\&quot;:false,\&quot;dropping-particle\&quot;:\&quot;\&quot;,\&quot;non-dropping-particle\&quot;:\&quot;\&quot;},{\&quot;family\&quot;:\&quot;Magini\&quot;,\&quot;given\&quot;:\&quot;A.\&quot;,\&quot;parse-names\&quot;:false,\&quot;dropping-particle\&quot;:\&quot;\&quot;,\&quot;non-dropping-particle\&quot;:\&quot;\&quot;},{\&quot;family\&quot;:\&quot;Bucciantini\&quot;,\&quot;given\&quot;:\&quot;S.\&quot;,\&quot;parse-names\&quot;:false,\&quot;dropping-particle\&quot;:\&quot;\&quot;,\&quot;non-dropping-particle\&quot;:\&quot;\&quot;},{\&quot;family\&quot;:\&quot;Bruni\&quot;,\&quot;given\&quot;:\&quot;V.\&quot;,\&quot;parse-names\&quot;:false,\&quot;dropping-particle\&quot;:\&quot;\&quot;,\&quot;non-dropping-particle\&quot;:\&quot;\&quot;}],\&quot;container-title\&quot;:\&quot;Journal of Endocrinological Investigation\&quot;,\&quot;accessed\&quot;:{\&quot;date-parts\&quot;:[[2020,10,12]]},\&quot;DOI\&quot;:\&quot;10.1007/BF03349708\&quot;,\&quot;ISSN\&quot;:\&quot;17208386\&quot;,\&quot;PMID\&quot;:\&quot;7629394\&quot;,\&quot;issued\&quot;:{\&quot;date-parts\&quot;:[[1995]]},\&quot;page\&quot;:\&quot;98-103\&quot;,\&quot;abstract\&quot;:\&quot;To evaluate the usefulness of the urinary estrone-3-glucuronide (EI-3-G) in the monitoring of the ovarian function in girls, we studied 11 girls with idiopathic central precocious puberty (ICPP) treated with LHRH analogs (LHRHa) for 2–5 years. Plasma LH, FSH, 17 -ß-Estradiol (E2) levels, early morning urine (EMU) E1-3-G concentrations, were assessed before and 3, 6,12 months after the onset of treatment. As expected, mean basal plasma LH, FSH and E2 concentrations, as well as mean basal EMU E1-3-G levels were significantly (p&lt;0.01) higher in patients studied than in normal, age matched, prepubertal controls. Three out of the 11 sexually advanced girls showed undetectable (&lt;15 pg/ml) basal plasma E2 values. On the contrary, in each patient studied, individual basal EI-3-G levels were higher than in normal age-matched prepubertal girls. LHRHa treatment significantly suppressed both basal and peak stimulated plasma gonadotropins, plasma E2 and EMU E1-3-G. However, while serum E2 levels were below the assay detection limit, not allowing to assess the degree of gonadal suppression, E1-3-G urinary concentrations were detectable in each subject treated, in the range of the normal prepubertal values. EMU E1-3-G determination seems to be a very sensitive and reliable approach to the monitoring of the effectiveness of LHRHa treatment in sexually advanced girls, allowing to detect very low estrogen concentrations and to achieve the desired ovarian suppression. © 1995, Italian Society of Endocrinology (SIE). All rights reserved.\&quot;,\&quot;issue\&quot;:\&quot;2\&quot;,\&quot;volume\&quot;:\&quot;18\&quot;},\&quot;isTemporary\&quot;:false},{\&quot;id\&quot;:\&quot;a8c1cf55-07c9-35e4-9c04-bff53d5c154f\&quot;,\&quot;itemData\&quot;:{\&quot;type\&quot;:\&quot;article-journal\&quot;,\&quot;id\&quot;:\&quot;a8c1cf55-07c9-35e4-9c04-bff53d5c154f\&quot;,\&quot;title\&quot;:\&quot;Hormone replacement with estradiol: Conventional oral doses result in excessive exposure to estrone\&quot;,\&quot;author\&quot;:[{\&quot;family\&quot;:\&quot;Friel\&quot;,\&quot;given\&quot;:\&quot;Patrick N.\&quot;,\&quot;parse-names\&quot;:false,\&quot;dropping-particle\&quot;:\&quot;\&quot;,\&quot;non-dropping-particle\&quot;:\&quot;\&quot;},{\&quot;family\&quot;:\&quot;Hinchcliffe\&quot;,\&quot;given\&quot;:\&quot;Christa\&quot;,\&quot;parse-names\&quot;:false,\&quot;dropping-particle\&quot;:\&quot;\&quot;,\&quot;non-dropping-particle\&quot;:\&quot;\&quot;},{\&quot;family\&quot;:\&quot;Wright\&quot;,\&quot;given\&quot;:\&quot;Jonathan\&quot;,\&quot;parse-names\&quot;:false,\&quot;dropping-particle\&quot;:\&quot;v.\&quot;,\&quot;non-dropping-particle\&quot;:\&quot;\&quot;}],\&quot;container-title\&quot;:\&quot;Alternative Medicine Review\&quot;,\&quot;accessed\&quot;:{\&quot;date-parts\&quot;:[[2020,10,12]]},\&quot;ISSN\&quot;:\&quot;10895159\&quot;,\&quot;PMID\&quot;:\&quot;15771561\&quot;,\&quot;URL\&quot;:\&quot;https://pubmed.ncbi.nlm.nih.gov/15771561/\&quot;,\&quot;issued\&quot;:{\&quot;date-parts\&quot;:[[2005,3]]},\&quot;page\&quot;:\&quot;36-41\&quot;,\&quot;abstract\&quot;:\&quot;BACKGROUND: There is a lack of consensus about the safety of estrogen replacement therapy, especially with regard to its impact on a woman's risk for breast cancer. Elevated urinary or serum estrone and estradiol concentrations in postmenopausal women are associated with a moderately elevated risk of breast cancer. METHODS: Twenty-four-hour urinary steroid hormone profiles, including the measurement of estrone, estradiol, and estriol, were conducted for 35 postmenopausal women receiving oral estradiol at doses from 0.025-2.0 mg/day. RESULTS: Urinary excretion of estradiol exceeded premenopausal reference range values in women taking estradiol at doses greater than 0.5 mg/day. Urinary estrone excretion exceeded premenopausal reference range values in women taking estradiol doses of 0.25 mg/day or higher. Literature data indicate serum estrone concentrations also markedly exceed premenopausal reference ranges when estradiol is administered orally at a dose of 1 mg/day. CONCLUSIONS: The previously recommended oral dose of estradiol (1-2 mg/day) results in urinary excretion of estrone at values 5-10 times the upper limit of the reference range for premenopausal women. Retrospective studies associating oral estradiol with increased risk of breast cancer may reflect overdose conditions. Based on current knowledge, a prudent dose ceiling for oral estradiol replacement therapy of 0.25 mg/day is proposed.\&quot;,\&quot;publisher\&quot;:\&quot;Altern Med Rev\&quot;,\&quot;issue\&quot;:\&quot;1\&quot;,\&quot;volume\&quot;:\&quot;1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properties\&quot;:{\&quot;noteIndex\&quot;:0},\&quot;isEdited\&quot;:false,\&quot;manualOverride\&quot;:{\&quot;isManuallyOverriden\&quot;:false,\&quot;citeprocText\&quot;:\&quot;&lt;sup&gt;1–5&lt;/sup&gt;\&quot;,\&quot;manualOverrideText\&quot;:\&quot;\&quot;}}&quot;},{&quot;citationID&quot;:&quot;MENDELEY_CITATION_ed903ae3-7537-4390-87ca-d8868675cea6&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a7ad70a8-8749-3656-8068-9cdb82b64d77&quot;,&quot;itemData&quot;:{&quot;type&quot;:&quot;paper-conference&quot;,&quot;id&quot;:&quot;a7ad70a8-8749-3656-8068-9cdb82b64d77&quot;,&quot;title&quot;:&quot;Hormonal effects of soy in premenopausal women and men&quot;,&quot;author&quot;:[{&quot;family&quot;:&quot;Kurzer&quot;,&quot;given&quot;:&quot;Mindy S.&quot;,&quot;parse-names&quot;:false,&quot;dropping-particle&quot;:&quot;&quot;,&quot;non-dropping-particle&quot;:&quot;&quot;}],&quot;container-title&quot;:&quot;Journal of Nutrition&quot;,&quot;accessed&quot;:{&quot;date-parts&quot;:[[2020,10,12]]},&quot;DOI&quot;:&quot;10.1093/jn/132.3.570s&quot;,&quot;ISSN&quot;:&quot;00223166&quot;,&quot;PMID&quot;:&quot;11880595&quot;,&quot;URL&quot;:&quot;https://pubmed.ncbi.nlm.nih.gov/11880595/&quot;,&quot;issued&quot;:{&quot;date-parts&quot;:[[2002]]},&quot;abstract&quot;:&quot;Over the past few years, there has been increasing interest in the possible hormonal effects of soy and soy isoflavone consumption in both women and men. Soy consumption has been suggested to exert potentially cancer-preventive effects in premenopausal women, such as increased menstrual cycle length and sex hormone-binding globulin levels and decreased estrogen levels. There has been some concern that consumption of phytoestrogens might exert adverse effects on men's fertility, such as lowered testosterone levels and semen quality. The studies in women have provided modest support for beneficial effects. One cross-sectional study showed serum estrogens to be inversely associated with soy intake. Seven soy intervention studies controlled for phase of menstrual cycle. These studies provided 32-200 mg/d of isoflavones and generally showed decreased midcycle plasma gonadotropins and trends toward increased menstrual cycle length and decreased blood concentrations of estradiol, progesterone and sex hormone-binding globulin. A few studies also showed decreased urinary estrogens and increased ratios of urinary 2-(OH) to 16α-(OH) and 2-(OH) to 4-(OH) estrogens. Soy and isoflavone consumption does not seem to affect the endometrium in premenopausal women, although there have been weak estrogenic effects reported in the breast. Thus, studies in women have mostly been consistent with beneficial effects, although the magnitude of the effects is quite small and of uncertain significance. Only three intervention studies reported hormonal effects of soy isoflavones in men. These recent studies in men consuming soyfoods or supplements containing 40-70 mg/d of soy isoflavones showed few effects on plasma hormones or semen quality. These data do not support concerns about effects on reproductive hormones and semen quality.&quot;,&quot;publisher&quot;:&quot;American Institute of Nutrition&quot;,&quot;issue&quot;:&quot;3&quot;,&quot;volume&quot;:&quot;132&quot;},&quot;isTemporary&quot;:false}],&quot;properties&quot;:{&quot;noteIndex&quot;:0},&quot;isEdited&quot;:false,&quot;manualOverride&quot;:{&quot;isManuallyOverriden&quot;:false,&quot;citeprocText&quot;:&quot;&lt;sup&gt;1,5–8&lt;/sup&gt;&quot;,&quot;manualOverrideText&quot;:&quot;&quot;},&quot;citationTag&quot;:&quot;MENDELEY_CITATION_{\&quot;citationID\&quot;:\&quot;MENDELEY_CITATION_ed903ae3-7537-4390-87ca-d8868675cea6\&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a7ad70a8-8749-3656-8068-9cdb82b64d77\&quot;,\&quot;itemData\&quot;:{\&quot;type\&quot;:\&quot;paper-conference\&quot;,\&quot;id\&quot;:\&quot;a7ad70a8-8749-3656-8068-9cdb82b64d77\&quot;,\&quot;title\&quot;:\&quot;Hormonal effects of soy in premenopausal women and men\&quot;,\&quot;author\&quot;:[{\&quot;family\&quot;:\&quot;Kurzer\&quot;,\&quot;given\&quot;:\&quot;Mindy S.\&quot;,\&quot;parse-names\&quot;:false,\&quot;dropping-particle\&quot;:\&quot;\&quot;,\&quot;non-dropping-particle\&quot;:\&quot;\&quot;}],\&quot;container-title\&quot;:\&quot;Journal of Nutrition\&quot;,\&quot;accessed\&quot;:{\&quot;date-parts\&quot;:[[2020,10,12]]},\&quot;DOI\&quot;:\&quot;10.1093/jn/132.3.570s\&quot;,\&quot;ISSN\&quot;:\&quot;00223166\&quot;,\&quot;PMID\&quot;:\&quot;11880595\&quot;,\&quot;URL\&quot;:\&quot;https://pubmed.ncbi.nlm.nih.gov/11880595/\&quot;,\&quot;issued\&quot;:{\&quot;date-parts\&quot;:[[2002]]},\&quot;abstract\&quot;:\&quot;Over the past few years, there has been increasing interest in the possible hormonal effects of soy and soy isoflavone consumption in both women and men. Soy consumption has been suggested to exert potentially cancer-preventive effects in premenopausal women, such as increased menstrual cycle length and sex hormone-binding globulin levels and decreased estrogen levels. There has been some concern that consumption of phytoestrogens might exert adverse effects on men's fertility, such as lowered testosterone levels and semen quality. The studies in women have provided modest support for beneficial effects. One cross-sectional study showed serum estrogens to be inversely associated with soy intake. Seven soy intervention studies controlled for phase of menstrual cycle. These studies provided 32-200 mg/d of isoflavones and generally showed decreased midcycle plasma gonadotropins and trends toward increased menstrual cycle length and decreased blood concentrations of estradiol, progesterone and sex hormone-binding globulin. A few studies also showed decreased urinary estrogens and increased ratios of urinary 2-(OH) to 16α-(OH) and 2-(OH) to 4-(OH) estrogens. Soy and isoflavone consumption does not seem to affect the endometrium in premenopausal women, although there have been weak estrogenic effects reported in the breast. Thus, studies in women have mostly been consistent with beneficial effects, although the magnitude of the effects is quite small and of uncertain significance. Only three intervention studies reported hormonal effects of soy isoflavones in men. These recent studies in men consuming soyfoods or supplements containing 40-70 mg/d of soy isoflavones showed few effects on plasma hormones or semen quality. These data do not support concerns about effects on reproductive hormones and semen quality.\&quot;,\&quot;publisher\&quot;:\&quot;American Institute of Nutrition\&quot;,\&quot;issue\&quot;:\&quot;3\&quot;,\&quot;volume\&quot;:\&quot;132\&quot;},\&quot;isTemporary\&quot;:false}],\&quot;properties\&quot;:{\&quot;noteIndex\&quot;:0},\&quot;isEdited\&quot;:false,\&quot;manualOverride\&quot;:{\&quot;isManuallyOverriden\&quot;:false,\&quot;citeprocText\&quot;:\&quot;&lt;sup&gt;1,5–8&lt;/sup&gt;\&quot;,\&quot;manualOverrideText\&quot;:\&quot;\&quot;}}&quot;},{&quot;citationID&quot;:&quot;MENDELEY_CITATION_0e97e605-e63f-48fa-9a0b-af988018da3e&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1,5,9&lt;/sup&gt;&quot;,&quot;manualOverrideText&quot;:&quot;&quot;},&quot;citationTag&quot;:&quot;MENDELEY_CITATION_{\&quot;citationID\&quot;:\&quot;MENDELEY_CITATION_0e97e605-e63f-48fa-9a0b-af988018da3e\&quot;,\&quot;citationItems\&quot;:[{\&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c85a1f3c-4247-3012-b135-7a1293a5fef9\&quot;,\&quot;itemData\&quot;:{\&quot;type\&quot;:\&quot;article-journal\&quot;,\&quot;id\&quot;:\&quot;c85a1f3c-4247-3012-b135-7a1293a5fef9\&quot;,\&quot;title\&quot;:\&quot;Urinary excretion of sex steroid hormone metabolites after consumption of cow milk: A randomized crossover intervention trial\&quot;,\&quot;author\&quot;:[{\&quot;family\&quot;:\&quot;Michels\&quot;,\&quot;given\&quot;:\&quot;Karin B.\&quot;,\&quot;parse-names\&quot;:false,\&quot;dropping-particle\&quot;:\&quot;\&quot;,\&quot;non-dropping-particle\&quot;:\&quot;\&quot;},{\&quot;family\&quot;:\&quot;Binder\&quot;,\&quot;given\&quot;:\&quot;Nadine\&quot;,\&quot;parse-names\&quot;:false,\&quot;dropping-particle\&quot;:\&quot;\&quot;,\&quot;non-dropping-particle\&quot;:\&quot;\&quot;},{\&quot;family\&quot;:\&quot;Courant\&quot;,\&quot;given\&quot;:\&quot;Frédérique\&quot;,\&quot;parse-names\&quot;:false,\&quot;dropping-particle\&quot;:\&quot;\&quot;,\&quot;non-dropping-particle\&quot;:\&quot;\&quot;},{\&quot;family\&quot;:\&quot;Franke\&quot;,\&quot;given\&quot;:\&quot;Adrian A.\&quot;,\&quot;parse-names\&quot;:false,\&quot;dropping-particle\&quot;:\&quot;\&quot;,\&quot;non-dropping-particle\&quot;:\&quot;\&quot;},{\&quot;family\&quot;:\&quot;Osterhues\&quot;,\&quot;given\&quot;:\&quot;Anja\&quot;,\&quot;parse-names\&quot;:false,\&quot;dropping-particle\&quot;:\&quot;\&quot;,\&quot;non-dropping-particle\&quot;:\&quot;\&quot;}],\&quot;container-title\&quot;:\&quot;American Journal of Clinical Nutrition\&quot;,\&quot;accessed\&quot;:{\&quot;date-parts\&quot;:[[2020,10,12]]},\&quot;DOI\&quot;:\&quot;10.1093/ajcn/nqy279\&quot;,\&quot;ISSN\&quot;:\&quot;19383207\&quot;,\&quot;PMID\&quot;:\&quot;30698629\&quot;,\&quot;URL\&quot;:\&quot;https://pubmed.ncbi.nlm.nih.gov/30698629/\&quot;,\&quot;issued\&quot;:{\&quot;date-parts\&quot;:[[2019,2,1]]},\&quot;page\&quot;:\&quot;402-410\&quot;,\&quot;abstract\&quot;:\&quot;Background Current cow milk production practices introduce considerable levels of pregnancy hormones into the milk. Humans are exposed to these hormones when cow milk is consumed, and this may explain the observed association between cow milk consumption and several hormone-sensitive cancers. Objectives The aim of the study was to evaluate whether cow milk consumption is associated with an increase in urinary excretion of sex steroid hormones and their metabolites in humans. Methods We conducted a randomized crossover intervention feeding experiment. A total of 109 postmenopausal women consumed 1 L of semiskimmed milk (1.5% fat) per day for 4 d and 1 L of whole milk (3.5% fat) per day for 4 d, intersected by 4-d wash-out periods. Sex steroid hormone levels were measured in 24-h urine samples collected at the end of each intervention and wash-out period. Results Estrogens, androgens, and progesterone were detected in the examined milk samples used for our intervention. Although a very high proportion of the estrogens were conjugated, only small proportions of the androgens and progesterone were conjugated. Milk consumption resulted in a significant increase in urinary estrone (E1) excretion, whereas estradiol (E2), estriol (E3), and 16ketoE2 excretion only increased after semiskimmed milk consumption. Urinary pregnanediol glucuronide excretion was not significantly affected. Conclusion Cow milk consumption increases urinary excretion of E1 in humans. Ingestion of semiskimmed milk appears also to raise E2, E3, and 16ketoE2 excretion, but future studies need to confirm these associations. This trial was registered at https://www.drks.de as DRKS00003377.\&quot;,\&quot;publisher\&quot;:\&quot;Oxford University Press\&quot;,\&quot;issue\&quot;:\&quot;2\&quot;,\&quot;volume\&quot;:\&quot;109\&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1,5,9&lt;/sup&gt;\&quot;,\&quot;manualOverrideText\&quot;:\&quot;\&quot;}}&quot;},{&quot;citationID&quot;:&quot;MENDELEY_CITATION_ebda305d-8129-4164-8337-447595da97f2&quot;,&quot;citationItems&quot;:[{&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148e64cb-1abb-324b-8962-f0c598dd3551&quot;,&quot;itemData&quot;:{&quot;type&quot;:&quot;article-journal&quot;,&quot;id&quot;:&quot;148e64cb-1abb-324b-8962-f0c598dd3551&quot;,&quot;title&quot;:&quot;The effects of aerobic exercise on estrogen metabolism in healthy premenopausal women&quot;,&quot;author&quot;:[{&quot;family&quot;:&quot;Smith&quot;,&quot;given&quot;:&quot;Alma J.&quot;,&quot;parse-names&quot;:false,&quot;dropping-particle&quot;:&quot;&quot;,&quot;non-dropping-particle&quot;:&quot;&quot;},{&quot;family&quot;:&quot;Phipps&quot;,&quot;given&quot;:&quot;William R.&quot;,&quot;parse-names&quot;:false,&quot;dropping-particle&quot;:&quot;&quot;,&quot;non-dropping-particle&quot;:&quot;&quot;},{&quot;family&quot;:&quot;Thomas&quot;,&quot;given&quot;:&quot;William&quot;,&quot;parse-names&quot;:false,&quot;dropping-particle&quot;:&quot;&quot;,&quot;non-dropping-particle&quot;:&quot;&quot;},{&quot;family&quot;:&quot;Schmitz&quot;,&quot;given&quot;:&quot;Kathryn H.&quot;,&quot;parse-names&quot;:false,&quot;dropping-particle&quot;:&quot;&quot;,&quot;non-dropping-particle&quot;:&quot;&quot;},{&quot;family&quot;:&quot;Kurzer&quot;,&quot;given&quot;:&quot;Mindy S.&quot;,&quot;parse-names&quot;:false,&quot;dropping-particle&quot;:&quot;&quot;,&quot;non-dropping-particle&quot;:&quot;&quot;}],&quot;container-title&quot;:&quot;Cancer Epidemiology Biomarkers and Prevention&quot;,&quot;accessed&quot;:{&quot;date-parts&quot;:[[2020,10,12]]},&quot;DOI&quot;:&quot;10.1158/1055-9965.EPI-12-1325&quot;,&quot;ISSN&quot;:&quot;10559965&quot;,&quot;PMID&quot;:&quot;23652373&quot;,&quot;URL&quot;:&quot;https://pubmed.ncbi.nlm.nih.gov/23652373/&quot;,&quot;issued&quot;:{&quot;date-parts&quot;:[[2013,5]]},&quot;page&quot;:&quot;756-764&quot;,&quot;abstract&quot;:&quot;Background: It is well accepted that exercise can decrease breast cancer risk. Limited clinical evidence suggests that this risk could be mediated through changes in estrogen metabolism in premenopausal women. Our objective was to investigate the effects of exercise on premenopausal estrogen metabolism pertinent to breast cancer risk. Methods: Sedentary, healthy, young eumenorrheic women were randomized into an intervention of 30 minutes of moderate-to-vigorous aerobic exercise five times a week for approximately 16 weeks (n = 212), or into a usual-lifestyle sedentary control group (n = 179). Urinary levels of estrogens [estrone [E1], estradiol, and estriol] and nine estrogen metabolites were measured at baseline and at study end by liquid chromatography/ tandem mass spectrometry. The ratios of 2-hydroxyestrone to 16a-hydroxyestrone (2-OHE1/16a-OHE1) and 2- OHE 1 to 4-hydroxyestrone (2- OHE1/4-OHE1) were also calculated. Results: The exercise intervention resulted in significant increases in aerobic fitness and lean body mass and a significant decrease in percent body fat. For exerciserswhocompleted the study (n=165),2-OHE 1/16a-OHE1 increased significantly (P = 0.043), whereas E1 decreased significantly (P = 0.030) in control participants (n = 153). The change from baseline in 2-OHE1/16alpha;-OHE1 was significantly different between groups (P = 0.045), even after adjustment for baseline values. Conclusions: The exercise intervention resulted in a significant increase in the 2-OHE1/16alpha;-OHE1 ratio but no differences in other estrogen metabolites or ratios. Impact: Our results suggest that changes in premenopausal estrogen metabolism may be a mechanism by which increased physical activity lowers breast cancer risk. Cancer Epidemiol Biomarkers Prev; 22(5); 756-64. © 2013 AACR.&quot;,&quot;publisher&quot;:&quot;Cancer Epidemiol Biomarkers Prev&quot;,&quot;issue&quot;:&quot;5&quot;,&quot;volume&quot;:&quot;22&quot;},&quot;isTemporary&quot;:false},{&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6,7,10,11&lt;/sup&gt;&quot;,&quot;manualOverrideText&quot;:&quot;&quot;},&quot;citationTag&quot;:&quot;MENDELEY_CITATION_{\&quot;citationID\&quot;:\&quot;MENDELEY_CITATION_ebda305d-8129-4164-8337-447595da97f2\&quot;,\&quot;citationItems\&quot;:[{\&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148e64cb-1abb-324b-8962-f0c598dd3551\&quot;,\&quot;itemData\&quot;:{\&quot;type\&quot;:\&quot;article-journal\&quot;,\&quot;id\&quot;:\&quot;148e64cb-1abb-324b-8962-f0c598dd3551\&quot;,\&quot;title\&quot;:\&quot;The effects of aerobic exercise on estrogen metabolism in healthy premenopausal women\&quot;,\&quot;author\&quot;:[{\&quot;family\&quot;:\&quot;Smith\&quot;,\&quot;given\&quot;:\&quot;Alma J.\&quot;,\&quot;parse-names\&quot;:false,\&quot;dropping-particle\&quot;:\&quot;\&quot;,\&quot;non-dropping-particle\&quot;:\&quot;\&quot;},{\&quot;family\&quot;:\&quot;Phipps\&quot;,\&quot;given\&quot;:\&quot;William R.\&quot;,\&quot;parse-names\&quot;:false,\&quot;dropping-particle\&quot;:\&quot;\&quot;,\&quot;non-dropping-particle\&quot;:\&quot;\&quot;},{\&quot;family\&quot;:\&quot;Thomas\&quot;,\&quot;given\&quot;:\&quot;William\&quot;,\&quot;parse-names\&quot;:false,\&quot;dropping-particle\&quot;:\&quot;\&quot;,\&quot;non-dropping-particle\&quot;:\&quot;\&quot;},{\&quot;family\&quot;:\&quot;Schmitz\&quot;,\&quot;given\&quot;:\&quot;Kathryn H.\&quot;,\&quot;parse-names\&quot;:false,\&quot;dropping-particle\&quot;:\&quot;\&quot;,\&quot;non-dropping-particle\&quot;:\&quot;\&quot;},{\&quot;family\&quot;:\&quot;Kurzer\&quot;,\&quot;given\&quot;:\&quot;Mindy S.\&quot;,\&quot;parse-names\&quot;:false,\&quot;dropping-particle\&quot;:\&quot;\&quot;,\&quot;non-dropping-particle\&quot;:\&quot;\&quot;}],\&quot;container-title\&quot;:\&quot;Cancer Epidemiology Biomarkers and Prevention\&quot;,\&quot;accessed\&quot;:{\&quot;date-parts\&quot;:[[2020,10,12]]},\&quot;DOI\&quot;:\&quot;10.1158/1055-9965.EPI-12-1325\&quot;,\&quot;ISSN\&quot;:\&quot;10559965\&quot;,\&quot;PMID\&quot;:\&quot;23652373\&quot;,\&quot;URL\&quot;:\&quot;https://pubmed.ncbi.nlm.nih.gov/23652373/\&quot;,\&quot;issued\&quot;:{\&quot;date-parts\&quot;:[[2013,5]]},\&quot;page\&quot;:\&quot;756-764\&quot;,\&quot;abstract\&quot;:\&quot;Background: It is well accepted that exercise can decrease breast cancer risk. Limited clinical evidence suggests that this risk could be mediated through changes in estrogen metabolism in premenopausal women. Our objective was to investigate the effects of exercise on premenopausal estrogen metabolism pertinent to breast cancer risk. Methods: Sedentary, healthy, young eumenorrheic women were randomized into an intervention of 30 minutes of moderate-to-vigorous aerobic exercise five times a week for approximately 16 weeks (n = 212), or into a usual-lifestyle sedentary control group (n = 179). Urinary levels of estrogens [estrone [E1], estradiol, and estriol] and nine estrogen metabolites were measured at baseline and at study end by liquid chromatography/ tandem mass spectrometry. The ratios of 2-hydroxyestrone to 16a-hydroxyestrone (2-OHE1/16a-OHE1) and 2- OHE 1 to 4-hydroxyestrone (2- OHE1/4-OHE1) were also calculated. Results: The exercise intervention resulted in significant increases in aerobic fitness and lean body mass and a significant decrease in percent body fat. For exerciserswhocompleted the study (n=165),2-OHE 1/16a-OHE1 increased significantly (P = 0.043), whereas E1 decreased significantly (P = 0.030) in control participants (n = 153). The change from baseline in 2-OHE1/16alpha;-OHE1 was significantly different between groups (P = 0.045), even after adjustment for baseline values. Conclusions: The exercise intervention resulted in a significant increase in the 2-OHE1/16alpha;-OHE1 ratio but no differences in other estrogen metabolites or ratios. Impact: Our results suggest that changes in premenopausal estrogen metabolism may be a mechanism by which increased physical activity lowers breast cancer risk. Cancer Epidemiol Biomarkers Prev; 22(5); 756-64. © 2013 AACR.\&quot;,\&quot;publisher\&quot;:\&quot;Cancer Epidemiol Biomarkers Prev\&quot;,\&quot;issue\&quot;:\&quot;5\&quot;,\&quot;volume\&quot;:\&quot;22\&quot;},\&quot;isTemporary\&quot;:false},{\&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6,7,10,11&lt;/sup&gt;\&quot;,\&quot;manualOverrideText\&quot;:\&quot;\&quot;}}&quot;},{&quot;citationID&quot;:&quot;MENDELEY_CITATION_622ec6f5-bf11-4089-b7a0-404321fb9c50&quot;,&quot;citationItems&quot;:[{&quot;id&quot;:&quot;d80a76be-bc07-36a2-9c79-82f18f1d2b7d&quot;,&quot;itemData&quot;:{&quot;type&quot;:&quot;article-journal&quot;,&quot;id&quot;:&quot;d80a76be-bc07-36a2-9c79-82f18f1d2b7d&quot;,&quot;title&quot;:&quot;Detection and measurement of urinary 2-hydroxyestradiol 17-sulfate, a potential placental antioxidant during pregnancy&quot;,&quot;author&quot;:[{&quot;family&quot;:&quot;Takanashi&quot;,&quot;given&quot;:&quot;Kaori&quot;,&quot;parse-names&quot;:false,&quot;dropping-particle&quot;:&quot;&quot;,&quot;non-dropping-particle&quot;:&quot;&quot;},{&quot;family&quot;:&quot;Honma&quot;,&quot;given&quot;:&quot;Takashi&quot;,&quot;parse-names&quot;:false,&quot;dropping-particle&quot;:&quot;&quot;,&quot;non-dropping-particle&quot;:&quot;&quot;},{&quot;family&quot;:&quot;Kashiwagi&quot;,&quot;given&quot;:&quot;Tomohiro&quot;,&quot;parse-names&quot;:false,&quot;dropping-particle&quot;:&quot;&quot;,&quot;non-dropping-particle&quot;:&quot;&quot;},{&quot;family&quot;:&quot;Honjo&quot;,&quot;given&quot;:&quot;Hideo&quot;,&quot;parse-names&quot;:false,&quot;dropping-particle&quot;:&quot;&quot;,&quot;non-dropping-particle&quot;:&quot;&quot;},{&quot;family&quot;:&quot;Yoshizawa&quot;,&quot;given&quot;:&quot;Itsuo&quot;,&quot;parse-names&quot;:false,&quot;dropping-particle&quot;:&quot;&quot;,&quot;non-dropping-particle&quot;:&quot;&quot;}],&quot;container-title&quot;:&quot;Clinical Chemistry&quot;,&quot;accessed&quot;:{&quot;date-parts&quot;:[[2020,10,12]]},&quot;DOI&quot;:&quot;10.1093/clinchem/46.3.373&quot;,&quot;ISSN&quot;:&quot;00099147&quot;,&quot;PMID&quot;:&quot;10702524&quot;,&quot;URL&quot;:&quot;https://pubmed.ncbi.nlm.nih.gov/10702524/&quot;,&quot;issued&quot;:{&quot;date-parts&quot;:[[2000]]},&quot;page&quot;:&quot;373-378&quot;,&quot;abstract&quot;:&quot;Background: Preeclampsia is associated with a quantitative imbalance between lipid peroxide and an antioxidant coproduced in the placenta. To investigate our hypothesis that 2-hydroxyestradiol 17-sulfate (2-OH-ES) is the placental antioxidant during pregnancy, we developed an assay for 2-OH-ES in urine and studied samples from women with and without preeclampsia. Methods: The detection and measurement of 2-OH-ES in the urine of pregnant women were performed by RIA using highly specific antiserum to 2-OH-ES. To confirm the reliability of the RIA method, the same samples were analyzed by HPLC using an electrochemical detector. Results: Urinary 2-OH-ES values obtained by RIA showed a close relationship to those obtained by HPLC (y = 1.1x - 0.01; r = 0.96). The urinary 2-OH-ES concentrations during the first, second, and third trimesters were 2.0 ± 0.6 (mean ± SE, n = 13), 5.3 ± 1.3 (n = 21), and 15.3 ± 2.0 μg/mg creatinine (n = 54), respectively, and &lt;0.15 μg/mg creatinine (n = 10) at 2-24 h after delivery. The concentrations in preeclamptic women during the third trimester were significantly lower, 3.9 ± 1.9 μg/mg creatinine (mean ± SE, n = 12). Conclusions: RIA can be used to measure urinary 2-OH-ES during pregnancy. The increase in urinary 2-OH-ES during gestation, its decrease after delivery, and the lower values in preeclampsia are consistent with a role of 2-OH-ES as a placental antioxidant. (C) 2000 American Association for Clinical Chemistry.&quot;,&quot;publisher&quot;:&quot;American Association for Clinical Chemistry Inc.&quot;,&quot;issue&quot;:&quot;3&quot;,&quot;volume&quot;:&quot;46&quot;},&quot;isTemporary&quot;:false}],&quot;properties&quot;:{&quot;noteIndex&quot;:0},&quot;isEdited&quot;:false,&quot;manualOverride&quot;:{&quot;isManuallyOverriden&quot;:false,&quot;citeprocText&quot;:&quot;&lt;sup&gt;12&lt;/sup&gt;&quot;,&quot;manualOverrideText&quot;:&quot;&quot;},&quot;citationTag&quot;:&quot;MENDELEY_CITATION_{\&quot;citationID\&quot;:\&quot;MENDELEY_CITATION_622ec6f5-bf11-4089-b7a0-404321fb9c50\&quot;,\&quot;citationItems\&quot;:[{\&quot;id\&quot;:\&quot;d80a76be-bc07-36a2-9c79-82f18f1d2b7d\&quot;,\&quot;itemData\&quot;:{\&quot;type\&quot;:\&quot;article-journal\&quot;,\&quot;id\&quot;:\&quot;d80a76be-bc07-36a2-9c79-82f18f1d2b7d\&quot;,\&quot;title\&quot;:\&quot;Detection and measurement of urinary 2-hydroxyestradiol 17-sulfate, a potential placental antioxidant during pregnancy\&quot;,\&quot;author\&quot;:[{\&quot;family\&quot;:\&quot;Takanashi\&quot;,\&quot;given\&quot;:\&quot;Kaori\&quot;,\&quot;parse-names\&quot;:false,\&quot;dropping-particle\&quot;:\&quot;\&quot;,\&quot;non-dropping-particle\&quot;:\&quot;\&quot;},{\&quot;family\&quot;:\&quot;Honma\&quot;,\&quot;given\&quot;:\&quot;Takashi\&quot;,\&quot;parse-names\&quot;:false,\&quot;dropping-particle\&quot;:\&quot;\&quot;,\&quot;non-dropping-particle\&quot;:\&quot;\&quot;},{\&quot;family\&quot;:\&quot;Kashiwagi\&quot;,\&quot;given\&quot;:\&quot;Tomohiro\&quot;,\&quot;parse-names\&quot;:false,\&quot;dropping-particle\&quot;:\&quot;\&quot;,\&quot;non-dropping-particle\&quot;:\&quot;\&quot;},{\&quot;family\&quot;:\&quot;Honjo\&quot;,\&quot;given\&quot;:\&quot;Hideo\&quot;,\&quot;parse-names\&quot;:false,\&quot;dropping-particle\&quot;:\&quot;\&quot;,\&quot;non-dropping-particle\&quot;:\&quot;\&quot;},{\&quot;family\&quot;:\&quot;Yoshizawa\&quot;,\&quot;given\&quot;:\&quot;Itsuo\&quot;,\&quot;parse-names\&quot;:false,\&quot;dropping-particle\&quot;:\&quot;\&quot;,\&quot;non-dropping-particle\&quot;:\&quot;\&quot;}],\&quot;container-title\&quot;:\&quot;Clinical Chemistry\&quot;,\&quot;accessed\&quot;:{\&quot;date-parts\&quot;:[[2020,10,12]]},\&quot;DOI\&quot;:\&quot;10.1093/clinchem/46.3.373\&quot;,\&quot;ISSN\&quot;:\&quot;00099147\&quot;,\&quot;PMID\&quot;:\&quot;10702524\&quot;,\&quot;URL\&quot;:\&quot;https://pubmed.ncbi.nlm.nih.gov/10702524/\&quot;,\&quot;issued\&quot;:{\&quot;date-parts\&quot;:[[2000]]},\&quot;page\&quot;:\&quot;373-378\&quot;,\&quot;abstract\&quot;:\&quot;Background: Preeclampsia is associated with a quantitative imbalance between lipid peroxide and an antioxidant coproduced in the placenta. To investigate our hypothesis that 2-hydroxyestradiol 17-sulfate (2-OH-ES) is the placental antioxidant during pregnancy, we developed an assay for 2-OH-ES in urine and studied samples from women with and without preeclampsia. Methods: The detection and measurement of 2-OH-ES in the urine of pregnant women were performed by RIA using highly specific antiserum to 2-OH-ES. To confirm the reliability of the RIA method, the same samples were analyzed by HPLC using an electrochemical detector. Results: Urinary 2-OH-ES values obtained by RIA showed a close relationship to those obtained by HPLC (y = 1.1x - 0.01; r = 0.96). The urinary 2-OH-ES concentrations during the first, second, and third trimesters were 2.0 ± 0.6 (mean ± SE, n = 13), 5.3 ± 1.3 (n = 21), and 15.3 ± 2.0 μg/mg creatinine (n = 54), respectively, and &lt;0.15 μg/mg creatinine (n = 10) at 2-24 h after delivery. The concentrations in preeclamptic women during the third trimester were significantly lower, 3.9 ± 1.9 μg/mg creatinine (mean ± SE, n = 12). Conclusions: RIA can be used to measure urinary 2-OH-ES during pregnancy. The increase in urinary 2-OH-ES during gestation, its decrease after delivery, and the lower values in preeclampsia are consistent with a role of 2-OH-ES as a placental antioxidant. (C) 2000 American Association for Clinical Chemistry.\&quot;,\&quot;publisher\&quot;:\&quot;American Association for Clinical Chemistry Inc.\&quot;,\&quot;issue\&quot;:\&quot;3\&quot;,\&quot;volume\&quot;:\&quot;46\&quot;},\&quot;isTemporary\&quot;:false}],\&quot;properties\&quot;:{\&quot;noteIndex\&quot;:0},\&quot;isEdited\&quot;:false,\&quot;manualOverride\&quot;:{\&quot;isManuallyOverriden\&quot;:false,\&quot;citeprocText\&quot;:\&quot;&lt;sup&gt;12&lt;/sup&gt;\&quot;,\&quot;manualOverrideText\&quot;:\&quot;\&quot;}}&quot;},{&quot;citationID&quot;:&quot;MENDELEY_CITATION_96a9944c-fba0-487e-9de2-66c92730d814&quot;,&quot;citationItems&quot;:[{&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11&lt;/sup&gt;&quot;,&quot;manualOverrideText&quot;:&quot;&quot;},&quot;citationTag&quot;:&quot;MENDELEY_CITATION_{\&quot;citationID\&quot;:\&quot;MENDELEY_CITATION_96a9944c-fba0-487e-9de2-66c92730d814\&quot;,\&quot;citationItems\&quot;:[{\&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11&lt;/sup&gt;\&quot;,\&quot;manualOverrideText\&quot;:\&quot;\&quot;}}&quot;},{&quot;citationID&quot;:&quot;MENDELEY_CITATION_d545e535-68d3-4caf-8215-062a018009fd&quot;,&quot;citationItems&quot;:[{&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148e64cb-1abb-324b-8962-f0c598dd3551&quot;,&quot;itemData&quot;:{&quot;type&quot;:&quot;article-journal&quot;,&quot;id&quot;:&quot;148e64cb-1abb-324b-8962-f0c598dd3551&quot;,&quot;title&quot;:&quot;The effects of aerobic exercise on estrogen metabolism in healthy premenopausal women&quot;,&quot;author&quot;:[{&quot;family&quot;:&quot;Smith&quot;,&quot;given&quot;:&quot;Alma J.&quot;,&quot;parse-names&quot;:false,&quot;dropping-particle&quot;:&quot;&quot;,&quot;non-dropping-particle&quot;:&quot;&quot;},{&quot;family&quot;:&quot;Phipps&quot;,&quot;given&quot;:&quot;William R.&quot;,&quot;parse-names&quot;:false,&quot;dropping-particle&quot;:&quot;&quot;,&quot;non-dropping-particle&quot;:&quot;&quot;},{&quot;family&quot;:&quot;Thomas&quot;,&quot;given&quot;:&quot;William&quot;,&quot;parse-names&quot;:false,&quot;dropping-particle&quot;:&quot;&quot;,&quot;non-dropping-particle&quot;:&quot;&quot;},{&quot;family&quot;:&quot;Schmitz&quot;,&quot;given&quot;:&quot;Kathryn H.&quot;,&quot;parse-names&quot;:false,&quot;dropping-particle&quot;:&quot;&quot;,&quot;non-dropping-particle&quot;:&quot;&quot;},{&quot;family&quot;:&quot;Kurzer&quot;,&quot;given&quot;:&quot;Mindy S.&quot;,&quot;parse-names&quot;:false,&quot;dropping-particle&quot;:&quot;&quot;,&quot;non-dropping-particle&quot;:&quot;&quot;}],&quot;container-title&quot;:&quot;Cancer Epidemiology Biomarkers and Prevention&quot;,&quot;accessed&quot;:{&quot;date-parts&quot;:[[2020,10,12]]},&quot;DOI&quot;:&quot;10.1158/1055-9965.EPI-12-1325&quot;,&quot;ISSN&quot;:&quot;10559965&quot;,&quot;PMID&quot;:&quot;23652373&quot;,&quot;URL&quot;:&quot;https://pubmed.ncbi.nlm.nih.gov/23652373/&quot;,&quot;issued&quot;:{&quot;date-parts&quot;:[[2013,5]]},&quot;page&quot;:&quot;756-764&quot;,&quot;abstract&quot;:&quot;Background: It is well accepted that exercise can decrease breast cancer risk. Limited clinical evidence suggests that this risk could be mediated through changes in estrogen metabolism in premenopausal women. Our objective was to investigate the effects of exercise on premenopausal estrogen metabolism pertinent to breast cancer risk. Methods: Sedentary, healthy, young eumenorrheic women were randomized into an intervention of 30 minutes of moderate-to-vigorous aerobic exercise five times a week for approximately 16 weeks (n = 212), or into a usual-lifestyle sedentary control group (n = 179). Urinary levels of estrogens [estrone [E1], estradiol, and estriol] and nine estrogen metabolites were measured at baseline and at study end by liquid chromatography/ tandem mass spectrometry. The ratios of 2-hydroxyestrone to 16a-hydroxyestrone (2-OHE1/16a-OHE1) and 2- OHE 1 to 4-hydroxyestrone (2- OHE1/4-OHE1) were also calculated. Results: The exercise intervention resulted in significant increases in aerobic fitness and lean body mass and a significant decrease in percent body fat. For exerciserswhocompleted the study (n=165),2-OHE 1/16a-OHE1 increased significantly (P = 0.043), whereas E1 decreased significantly (P = 0.030) in control participants (n = 153). The change from baseline in 2-OHE1/16alpha;-OHE1 was significantly different between groups (P = 0.045), even after adjustment for baseline values. Conclusions: The exercise intervention resulted in a significant increase in the 2-OHE1/16alpha;-OHE1 ratio but no differences in other estrogen metabolites or ratios. Impact: Our results suggest that changes in premenopausal estrogen metabolism may be a mechanism by which increased physical activity lowers breast cancer risk. Cancer Epidemiol Biomarkers Prev; 22(5); 756-64. © 2013 AACR.&quot;,&quot;publisher&quot;:&quot;Cancer Epidemiol Biomarkers Prev&quot;,&quot;issue&quot;:&quot;5&quot;,&quot;volume&quot;:&quot;22&quot;},&quot;isTemporary&quot;:false},{&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6,7,10,11&lt;/sup&gt;&quot;,&quot;manualOverrideText&quot;:&quot;&quot;},&quot;citationTag&quot;:&quot;MENDELEY_CITATION_{\&quot;citationID\&quot;:\&quot;MENDELEY_CITATION_d545e535-68d3-4caf-8215-062a018009fd\&quot;,\&quot;citationItems\&quot;:[{\&quot;id\&quot;:\&quot;50147a05-372c-3701-ac4f-0c98b17c05a9\&quot;,\&quot;itemData\&quot;:{\&quot;type\&quot;:\&quot;article-journal\&quot;,\&quot;id\&quot;:\&quot;50147a05-372c-3701-ac4f-0c98b17c05a9\&quot;,\&quot;title\&quot;:\&quot;Endogenous estradiol metabolism during treatment with oral contraceptives\&quot;,\&quot;author\&quot;:[{\&quot;family\&quot;:\&quot;Mueck\&quot;,\&quot;given\&quot;:\&quot;A. O.\&quot;,\&quot;parse-names\&quot;:false,\&quot;dropping-particle\&quot;:\&quot;\&quot;,\&quot;non-dropping-particle\&quot;:\&quot;\&quot;},{\&quot;family\&quot;:\&quot;Seeger\&quot;,\&quot;given\&quot;:\&quot;H.\&quot;,\&quot;parse-names\&quot;:false,\&quot;dropping-particle\&quot;:\&quot;\&quot;,\&quot;non-dropping-particle\&quot;:\&quot;\&quot;},{\&quot;family\&quot;:\&quot;Wallwiener\&quot;,\&quot;given\&quot;:\&quot;D.\&quot;,\&quot;parse-names\&quot;:false,\&quot;dropping-particle\&quot;:\&quot;\&quot;,\&quot;non-dropping-particle\&quot;:\&quot;\&quot;}],\&quot;container-title\&quot;:\&quot;International Journal of Clinical Pharmacology and Therapeutics\&quot;,\&quot;accessed\&quot;:{\&quot;date-parts\&quot;:[[2020,10,12]]},\&quot;DOI\&quot;:\&quot;10.5414/CPP42160\&quot;,\&quot;ISSN\&quot;:\&quot;09461965\&quot;,\&quot;PMID\&quot;:\&quot;15049436\&quot;,\&quot;issued\&quot;:{\&quot;date-parts\&quot;:[[2004]]},\&quot;page\&quot;:\&quot;160-164\&quot;,\&quot;abstract\&quot;:\&quot;Objective: Recent clinical studies indicate that an increase in D-ring estradiol metabolites over A-ring metabolites may be a risk factor for breast cancer. The present work was aimed to investigate the effect of oral contraceptives (OC) on the endogenous estradiol metabolism in premenopausal women. Methods: Two studies were conducted, firstly comparing 2 different progestins, i.e. norethisterone and dienogest, each in combination with a constant ethinyl estradiol dosage (study A) and secondly comparing a single progestin, i.e. levonorgestrel in 2 ethinyl estradiol/progestin dosage combinations (study B). The main A- and D-ring metabolites, i.e. 2-OHE1 and 16-OHE1, were measured by enzyme immunoassay in 8-h night-urine collected before and after 3 cycles of OC administration. Results: In study A, i.e. ethinyl estradiol plus dienogest or norethisterone acetate, the ratios of 16-OHE1 to 2-OHE1 before administration were 0.62 and 0.68, and after 3 months 0.31 and 0.54, respectively. The ratio after ethinyl estradiol and dienogest was significantly lower after treatment. In study B, i.e. ethinyl estradiol plus levonorgestrel (0.03 mg/0.15 mg and 0.02 mg/0.1 mg), the ratios before treatment were 0.71 and 0.75 for the higher and the lower dosages, respectively, which changed not significantly to 0.73 and 0.71 after 3 cycles. Conclusion: OCs containing norethisterone acetate, dienogest or levonorgestrel did not have a negative effect on estradiol metabolism, i.e. they did not elicit a higher D-ring metabolism, which is considered to increase breast cancer risk. © 2004 Dustri-Verlag Dr. K. Feistle.\&quot;,\&quot;publisher\&quot;:\&quot;Dustri-Verlag Dr. Karl Feistle\&quot;,\&quot;issue\&quot;:\&quot;3\&quot;,\&quot;volume\&quot;:\&quot;42\&quot;},\&quot;isTemporary\&quot;:false},{\&quot;id\&quot;:\&quot;f2571ac1-e9fc-3d77-86c8-11aa45aa9c2c\&quot;,\&quot;itemData\&quot;:{\&quot;type\&quot;:\&quot;article-journal\&quot;,\&quot;id\&quot;:\&quot;f2571ac1-e9fc-3d77-86c8-11aa45aa9c2c\&quot;,\&quot;title\&quot;:\&quot;Impact of hormone replacement therapy on endogenous estradiol metabolism in postmenopausal women\&quot;,\&quot;author\&quot;:[{\&quot;family\&quot;:\&quot;Mueck\&quot;,\&quot;given\&quot;:\&quot;Alfred O.\&quot;,\&quot;parse-names\&quot;:false,\&quot;dropping-particle\&quot;:\&quot;\&quot;,\&quot;non-dropping-particle\&quot;:\&quot;\&quot;},{\&quot;family\&quot;:\&quot;Seeger\&quot;,\&quot;given\&quot;:\&quot;Harald\&quot;,\&quot;parse-names\&quot;:false,\&quot;dropping-particle\&quot;:\&quot;\&quot;,\&quot;non-dropping-particle\&quot;:\&quot;\&quot;},{\&quot;family\&quot;:\&quot;Wallwiener\&quot;,\&quot;given\&quot;:\&quot;Diethelm\&quot;,\&quot;parse-names\&quot;:false,\&quot;dropping-particle\&quot;:\&quot;\&quot;,\&quot;non-dropping-particle\&quot;:\&quot;\&quot;}],\&quot;container-title\&quot;:\&quot;Maturitas\&quot;,\&quot;accessed\&quot;:{\&quot;date-parts\&quot;:[[2020,10,12]]},\&quot;DOI\&quot;:\&quot;10.1016/S0378-5122(02)00160-3\&quot;,\&quot;ISSN\&quot;:\&quot;03785122\&quot;,\&quot;PMID\&quot;:\&quot;12385856\&quot;,\&quot;URL\&quot;:\&quot;https://pubmed.ncbi.nlm.nih.gov/12385856/\&quot;,\&quot;issued\&quot;:{\&quot;date-parts\&quot;:[[2002,10,25]]},\&quot;page\&quot;:\&quot;87-93\&quot;,\&quot;abstract\&quot;:\&quot;Objectives: Changes in estradiol metabolism may play a role in the pathophysiology of different diseases, of special interest being an increase in D-ring over A-ring metabolites for the risk of breast cancer. In the present work we investigated the effect of exogenous estradiol therapy on endogenous estradiol metabolism in postmenopausal women. Methods: Three different studies were carried out in 126 women: in study A the women were treated for 4 weeks either with oral or with transdermal 17β-estradiol, in study B for 4 weeks with oral or transdermal 17β-estradiol sequentially combined with oral or transdermal norethisterone acetate, and in study C for 12 weeks either with oral 17β-estradiol or with an oral continuous combination of 17β-estradiol with the new progestin dienogest. As main representatives of the A- and D-ring metabolism, 2-hydroxyestrone (2-OHE1) and 16α-hydroxyestrone (16-OHE1), respectively, were measured in 8 h night urine using enzyme immunoassay technique. Results: Oral estradiol treatment resulted in a significant higher excretion of estradiol metabolites compared to transdermal treatment. Neither oral nor transdermal estradiol induced a significant change in the ratio of 16-OHE1 to 2-OHE1. The addition of oral or transdermal norethisterone acetate to estradiol did not alter on average the endogenous estradiol metabolism, although in individual patients a significant increase in 16-OHE1 metabolism was observed only with oral norethisterone. The continuous oral addition of dienogest did not lead to any significant change in estradiol metabolism. Conclusions: These results indicate that oral estradiol replacement therapy enhances the quantity of circulating estradiol metabolites. This may have a more negative impact on estrogenic target cells as compared to transdermal application. Progestin addition to estradiol replacement therapy seems to have no major impact on endogenous estradiol metabolism. Further studies, however, are necessary to evaluate the progestin effect in possible pre-disposed patients. © 2002 Published by Elsevier Science Ireland Ltd.\&quot;,\&quot;publisher\&quot;:\&quot;Elsevier Ireland Ltd\&quot;,\&quot;issue\&quot;:\&quot;2\&quot;,\&quot;volume\&quot;:\&quot;43\&quot;},\&quot;isTemporary\&quot;:false},{\&quot;id\&quot;:\&quot;148e64cb-1abb-324b-8962-f0c598dd3551\&quot;,\&quot;itemData\&quot;:{\&quot;type\&quot;:\&quot;article-journal\&quot;,\&quot;id\&quot;:\&quot;148e64cb-1abb-324b-8962-f0c598dd3551\&quot;,\&quot;title\&quot;:\&quot;The effects of aerobic exercise on estrogen metabolism in healthy premenopausal women\&quot;,\&quot;author\&quot;:[{\&quot;family\&quot;:\&quot;Smith\&quot;,\&quot;given\&quot;:\&quot;Alma J.\&quot;,\&quot;parse-names\&quot;:false,\&quot;dropping-particle\&quot;:\&quot;\&quot;,\&quot;non-dropping-particle\&quot;:\&quot;\&quot;},{\&quot;family\&quot;:\&quot;Phipps\&quot;,\&quot;given\&quot;:\&quot;William R.\&quot;,\&quot;parse-names\&quot;:false,\&quot;dropping-particle\&quot;:\&quot;\&quot;,\&quot;non-dropping-particle\&quot;:\&quot;\&quot;},{\&quot;family\&quot;:\&quot;Thomas\&quot;,\&quot;given\&quot;:\&quot;William\&quot;,\&quot;parse-names\&quot;:false,\&quot;dropping-particle\&quot;:\&quot;\&quot;,\&quot;non-dropping-particle\&quot;:\&quot;\&quot;},{\&quot;family\&quot;:\&quot;Schmitz\&quot;,\&quot;given\&quot;:\&quot;Kathryn H.\&quot;,\&quot;parse-names\&quot;:false,\&quot;dropping-particle\&quot;:\&quot;\&quot;,\&quot;non-dropping-particle\&quot;:\&quot;\&quot;},{\&quot;family\&quot;:\&quot;Kurzer\&quot;,\&quot;given\&quot;:\&quot;Mindy S.\&quot;,\&quot;parse-names\&quot;:false,\&quot;dropping-particle\&quot;:\&quot;\&quot;,\&quot;non-dropping-particle\&quot;:\&quot;\&quot;}],\&quot;container-title\&quot;:\&quot;Cancer Epidemiology Biomarkers and Prevention\&quot;,\&quot;accessed\&quot;:{\&quot;date-parts\&quot;:[[2020,10,12]]},\&quot;DOI\&quot;:\&quot;10.1158/1055-9965.EPI-12-1325\&quot;,\&quot;ISSN\&quot;:\&quot;10559965\&quot;,\&quot;PMID\&quot;:\&quot;23652373\&quot;,\&quot;URL\&quot;:\&quot;https://pubmed.ncbi.nlm.nih.gov/23652373/\&quot;,\&quot;issued\&quot;:{\&quot;date-parts\&quot;:[[2013,5]]},\&quot;page\&quot;:\&quot;756-764\&quot;,\&quot;abstract\&quot;:\&quot;Background: It is well accepted that exercise can decrease breast cancer risk. Limited clinical evidence suggests that this risk could be mediated through changes in estrogen metabolism in premenopausal women. Our objective was to investigate the effects of exercise on premenopausal estrogen metabolism pertinent to breast cancer risk. Methods: Sedentary, healthy, young eumenorrheic women were randomized into an intervention of 30 minutes of moderate-to-vigorous aerobic exercise five times a week for approximately 16 weeks (n = 212), or into a usual-lifestyle sedentary control group (n = 179). Urinary levels of estrogens [estrone [E1], estradiol, and estriol] and nine estrogen metabolites were measured at baseline and at study end by liquid chromatography/ tandem mass spectrometry. The ratios of 2-hydroxyestrone to 16a-hydroxyestrone (2-OHE1/16a-OHE1) and 2- OHE 1 to 4-hydroxyestrone (2- OHE1/4-OHE1) were also calculated. Results: The exercise intervention resulted in significant increases in aerobic fitness and lean body mass and a significant decrease in percent body fat. For exerciserswhocompleted the study (n=165),2-OHE 1/16a-OHE1 increased significantly (P = 0.043), whereas E1 decreased significantly (P = 0.030) in control participants (n = 153). The change from baseline in 2-OHE1/16alpha;-OHE1 was significantly different between groups (P = 0.045), even after adjustment for baseline values. Conclusions: The exercise intervention resulted in a significant increase in the 2-OHE1/16alpha;-OHE1 ratio but no differences in other estrogen metabolites or ratios. Impact: Our results suggest that changes in premenopausal estrogen metabolism may be a mechanism by which increased physical activity lowers breast cancer risk. Cancer Epidemiol Biomarkers Prev; 22(5); 756-64. © 2013 AACR.\&quot;,\&quot;publisher\&quot;:\&quot;Cancer Epidemiol Biomarkers Prev\&quot;,\&quot;issue\&quot;:\&quot;5\&quot;,\&quot;volume\&quot;:\&quot;22\&quot;},\&quot;isTemporary\&quot;:false},{\&quot;id\&quot;:\&quot;d6fb5493-84cf-38b3-a571-b47cc82e07da\&quot;,\&quot;itemData\&quot;:{\&quot;type\&quot;:\&quot;article-journal\&quot;,\&quot;id\&quot;:\&quot;d6fb5493-84cf-38b3-a571-b47cc82e07da\&quot;,\&quot;title\&quot;:\&quot;A randomized, placebo-controlled trial of diindolylmethane for breast cancer biomarker modulation in patients taking tamoxifen\&quot;,\&quot;author\&quot;:[{\&quot;family\&quot;:\&quot;Thomson\&quot;,\&quot;given\&quot;:\&quot;Cynthia A.\&quot;,\&quot;parse-names\&quot;:false,\&quot;dropping-particle\&quot;:\&quot;\&quot;,\&quot;non-dropping-particle\&quot;:\&quot;\&quot;},{\&quot;family\&quot;:\&quot;Chow\&quot;,\&quot;given\&quot;:\&quot;H. H.Sherry\&quot;,\&quot;parse-names\&quot;:false,\&quot;dropping-particle\&quot;:\&quot;\&quot;,\&quot;non-dropping-particle\&quot;:\&quot;\&quot;},{\&quot;family\&quot;:\&quot;Wertheim\&quot;,\&quot;given\&quot;:\&quot;Betsy C.\&quot;,\&quot;parse-names\&quot;:false,\&quot;dropping-particle\&quot;:\&quot;\&quot;,\&quot;non-dropping-particle\&quot;:\&quot;\&quot;},{\&quot;family\&quot;:\&quot;Roe\&quot;,\&quot;given\&quot;:\&quot;Denise J.\&quot;,\&quot;parse-names\&quot;:false,\&quot;dropping-particle\&quot;:\&quot;\&quot;,\&quot;non-dropping-particle\&quot;:\&quot;\&quot;},{\&quot;family\&quot;:\&quot;Stopeck\&quot;,\&quot;given\&quot;:\&quot;Alison\&quot;,\&quot;parse-names\&quot;:false,\&quot;dropping-particle\&quot;:\&quot;\&quot;,\&quot;non-dropping-particle\&quot;:\&quot;\&quot;},{\&quot;family\&quot;:\&quot;Maskarinec\&quot;,\&quot;given\&quot;:\&quot;Gertraud\&quot;,\&quot;parse-names\&quot;:false,\&quot;dropping-particle\&quot;:\&quot;\&quot;,\&quot;non-dropping-particle\&quot;:\&quot;\&quot;},{\&quot;family\&quot;:\&quot;Altbach\&quot;,\&quot;given\&quot;:\&quot;Maria\&quot;,\&quot;parse-names\&quot;:false,\&quot;dropping-particle\&quot;:\&quot;\&quot;,\&quot;non-dropping-particle\&quot;:\&quot;\&quot;},{\&quot;family\&quot;:\&quot;Chalasani\&quot;,\&quot;given\&quot;:\&quot;Pavani\&quot;,\&quot;parse-names\&quot;:false,\&quot;dropping-particle\&quot;:\&quot;\&quot;,\&quot;non-dropping-particle\&quot;:\&quot;\&quot;},{\&quot;family\&quot;:\&quot;Huang\&quot;,\&quot;given\&quot;:\&quot;Chuan\&quot;,\&quot;parse-names\&quot;:false,\&quot;dropping-particle\&quot;:\&quot;\&quot;,\&quot;non-dropping-particle\&quot;:\&quot;\&quot;},{\&quot;family\&quot;:\&quot;Strom\&quot;,\&quot;given\&quot;:\&quot;Meghan B.\&quot;,\&quot;parse-names\&quot;:false,\&quot;dropping-particle\&quot;:\&quot;\&quot;,\&quot;non-dropping-particle\&quot;:\&quot;\&quot;},{\&quot;family\&quot;:\&quot;Galons\&quot;,\&quot;given\&quot;:\&quot;Jean Philippe\&quot;,\&quot;parse-names\&quot;:false,\&quot;dropping-particle\&quot;:\&quot;\&quot;,\&quot;non-dropping-particle\&quot;:\&quot;\&quot;},{\&quot;family\&quot;:\&quot;Thompson\&quot;,\&quot;given\&quot;:\&quot;Patricia A.\&quot;,\&quot;parse-names\&quot;:false,\&quot;dropping-particle\&quot;:\&quot;\&quot;,\&quot;non-dropping-particle\&quot;:\&quot;\&quot;}],\&quot;container-title\&quot;:\&quot;Breast Cancer Research and Treatment\&quot;,\&quot;accessed\&quot;:{\&quot;date-parts\&quot;:[[2020,10,12]]},\&quot;DOI\&quot;:\&quot;10.1007/s10549-017-4292-7\&quot;,\&quot;ISSN\&quot;:\&quot;15737217\&quot;,\&quot;PMID\&quot;:\&quot;28560655\&quot;,\&quot;URL\&quot;:\&quot;https://pubmed.ncbi.nlm.nih.gov/28560655/\&quot;,\&quot;issued\&quot;:{\&quot;date-parts\&quot;:[[2017,8,1]]},\&quot;page\&quot;:\&quot;97-107\&quot;,\&quot;abstract\&quot;:\&quot;Purpose: Diindolylmethane (DIM), a bioactive metabolite of indole-3-carbinol found in cruciferous vegetables, has proposed cancer chemoprevention activity in the breast. There is limited evidence of clinically relevant activity of DIM or long-term safety data of its regular use. A randomized, double-blind, placebo-controlled trial was conducted to determine the activity and safety of combined use of BioResponse DIM® (BR-DIM) with tamoxifen. Methods: Women prescribed tamoxifen (n = 130) were randomly assigned oral BR-DIM at 150 mg twice daily or placebo, for 12 months. The primary study endpoint was change in urinary 2/16α-hydroxyestrone (2/16α-OHE1) ratio. Changes in 4-hydroxyestrone (4-OHE1), serum estrogens, sex hormone-binding globulin (SHBG), breast density, and tamoxifen metabolites were assessed. Results: Ninety-eight women (51 placebo, 47 DIM) completed intervention; compliance with treatment was &gt;91%. BR-DIM increased the 2/16α-OHE1 ratio (+3.2 [0.8, 8.4]) compared to placebo (−0.7 [−1.7, 0.8], P &lt; 0.001). Serum SHBG increased with BR-DIM compared to placebo (+25 ± 22 and +1.1 ± 19 nmol/L, respectively). No change in breast density measured by mammography or by MRI was observed. Plasma tamoxifen metabolites (endoxifen, 4-OH tamoxifen, and N-desmethyl-tamoxifen) were reduced in women receiving BR-DIM versus placebo (P &lt; 0.001). Minimal adverse events were reported and did not differ by treatment arm. Conclusion: In patients taking tamoxifen for breast cancer, daily BR-DIM promoted favorable changes in estrogen metabolism and circulating levels of SHBG. Further research is warranted to determine whether BR-DIM associated decreases in tamoxifen metabolites, including effects on endoxifen levels, attenuates the clinical benefit of tamoxifen. Trial Registration: ClinicalTrials.gov NCT01391689.\&quot;,\&quot;publisher\&quot;:\&quot;Springer New York LLC\&quot;,\&quot;issue\&quot;:\&quot;1\&quot;,\&quot;volume\&quot;:\&quot;165\&quot;},\&quot;isTemporary\&quot;:false}],\&quot;properties\&quot;:{\&quot;noteIndex\&quot;:0},\&quot;isEdited\&quot;:false,\&quot;manualOverride\&quot;:{\&quot;isManuallyOverriden\&quot;:false,\&quot;citeprocText\&quot;:\&quot;&lt;sup&gt;6,7,10,11&lt;/sup&gt;\&quot;,\&quot;manualOverrideText\&quot;:\&quot;\&quot;}}&quot;},{&quot;citationID&quot;:&quot;MENDELEY_CITATION_d89b33f3-2f35-43ea-abef-2d65a705437a&quot;,&quot;citationItems&quot;:[{&quot;id&quot;:&quot;89961140-c029-38c6-bb4f-f75e9a6a8969&quot;,&quot;itemData&quot;:{&quot;type&quot;:&quot;article-journal&quot;,&quot;id&quot;:&quot;89961140-c029-38c6-bb4f-f75e9a6a8969&quot;,&quot;title&quot;:&quot;A phase II multicenter, randomized, double-blind, safety trial assessing the pharmacokinetics, pharmacodynamics, and efficacy of oral 2-methoxyestradiol capsules in hormone-refractory prostate cancer&quot;,&quot;author&quot;:[{&quot;family&quot;:&quot;Sweeney&quot;,&quot;given&quot;:&quot;Christopher&quot;,&quot;parse-names&quot;:false,&quot;dropping-particle&quot;:&quot;&quot;,&quot;non-dropping-particle&quot;:&quot;&quot;},{&quot;family&quot;:&quot;Liu&quot;,&quot;given&quot;:&quot;Glenn&quot;,&quot;parse-names&quot;:false,&quot;dropping-particle&quot;:&quot;&quot;,&quot;non-dropping-particle&quot;:&quot;&quot;},{&quot;family&quot;:&quot;Yiannoutsos&quot;,&quot;given&quot;:&quot;Constantin&quot;,&quot;parse-names&quot;:false,&quot;dropping-particle&quot;:&quot;&quot;,&quot;non-dropping-particle&quot;:&quot;&quot;},{&quot;family&quot;:&quot;Kolesar&quot;,&quot;given&quot;:&quot;Jill&quot;,&quot;parse-names&quot;:false,&quot;dropping-particle&quot;:&quot;&quot;,&quot;non-dropping-particle&quot;:&quot;&quot;},{&quot;family&quot;:&quot;Horvath&quot;,&quot;given&quot;:&quot;Dorothea&quot;,&quot;parse-names&quot;:false,&quot;dropping-particle&quot;:&quot;&quot;,&quot;non-dropping-particle&quot;:&quot;&quot;},{&quot;family&quot;:&quot;Staab&quot;,&quot;given&quot;:&quot;Mary Jane&quot;,&quot;parse-names&quot;:false,&quot;dropping-particle&quot;:&quot;&quot;,&quot;non-dropping-particle&quot;:&quot;&quot;},{&quot;family&quot;:&quot;Fife&quot;,&quot;given&quot;:&quot;Karen&quot;,&quot;parse-names&quot;:false,&quot;dropping-particle&quot;:&quot;&quot;,&quot;non-dropping-particle&quot;:&quot;&quot;},{&quot;family&quot;:&quot;Armstrong&quot;,&quot;given&quot;:&quot;Victoria&quot;,&quot;parse-names&quot;:false,&quot;dropping-particle&quot;:&quot;&quot;,&quot;non-dropping-particle&quot;:&quot;&quot;},{&quot;family&quot;:&quot;Treston&quot;,&quot;given&quot;:&quot;Anthony&quot;,&quot;parse-names&quot;:false,&quot;dropping-particle&quot;:&quot;&quot;,&quot;non-dropping-particle&quot;:&quot;&quot;},{&quot;family&quot;:&quot;Sidor&quot;,&quot;given&quot;:&quot;Carolyn&quot;,&quot;parse-names&quot;:false,&quot;dropping-particle&quot;:&quot;&quot;,&quot;non-dropping-particle&quot;:&quot;&quot;},{&quot;family&quot;:&quot;Wilding&quot;,&quot;given&quot;:&quot;George&quot;,&quot;parse-names&quot;:false,&quot;dropping-particle&quot;:&quot;&quot;,&quot;non-dropping-particle&quot;:&quot;&quot;}],&quot;container-title&quot;:&quot;Clinical Cancer Research&quot;,&quot;accessed&quot;:{&quot;date-parts&quot;:[[2020,10,12]]},&quot;DOI&quot;:&quot;10.1158/1078-0432.CCR-05-0440&quot;,&quot;ISSN&quot;:&quot;10780432&quot;,&quot;PMID&quot;:&quot;16166441&quot;,&quot;URL&quot;:&quot;https://pubmed.ncbi.nlm.nih.gov/16166441/&quot;,&quot;issued&quot;:{&quot;date-parts&quot;:[[2005,9,15]]},&quot;page&quot;:&quot;6625-6633&quot;,&quot;abstract&quot;:&quot;Purpose: To determine whether the preclinical antitumor and antiangiogenic activity of 2-methoxyestradiol can be translated to the clinic. Experimental Design: Men with hormone-refractory prostate cancer were enrolled into this phase II randomized, double-blind trial of two doses of oral 2-methoxyestradiol capsules (400 and 1,200 mg/d) given in 4-week cycles. Pharmacokinetic sampling was done on day 1 of cycles 1 and 2 and trough samples were obtained weekly. Results: Thirty-three men were accrued between February and September 2001. The notable toxicity related to therapy was one grade 2 and two grade 3 episodes of liver transaminase elevation, which resolved with continued treatment in two patients. There were two cases of deep venous thromboses. The drug had nonlinear pharmacokinetic, rapid conversion to 2-methoxyestrone and ∼85% conjugation. Trough plasma levels of unconjugated 2-methoxyestradiol and 2-methoxyestrone were ∼4 and 40 ng/mL, respectively. Prostate-specific antigen declines between 21% and 40% were seen in seven patients in the 1,200 mg group and in one patient in the 400 mg group. The higher-dose group showed significantly decreased prostate-specific antigen velocity (P = 0.037) and compared with the 400 mg dose had a longer median time to prostate-specific antigen progression (109 versus 67 days; P = 0.094) and time on study (126 versus 61 days; P = 0.024). There was a 2.5- and 4-fold increase in sex hormone-binding globulin for the 400 and 1,200 mg dose levels, respectively, at days 28 and 56. Conclusion: 2-Methoxyestradiol is well tolerated and, despite suboptimal plasma levels and limited oral bioavailability with this capsule formulation, still showed some anticancer activity at 1,200 mg/d. © 2005 American Association for Cancer Research.&quot;,&quot;publisher&quot;:&quot;Clin Cancer Res&quot;,&quot;issue&quot;:&quot;18&quot;,&quot;volume&quot;:&quot;11&quot;},&quot;isTemporary&quot;:false},{&quot;id&quot;:&quot;374f5cac-c13c-3bef-8f27-dbcae3a2bf3e&quot;,&quot;itemData&quot;:{&quot;type&quot;:&quot;article-journal&quot;,&quot;id&quot;:&quot;374f5cac-c13c-3bef-8f27-dbcae3a2bf3e&quot;,&quot;title&quot;:&quot;Inhibition of in vitro angiogenesis by 2-methoxy- and 2-ethyl-estrogen sulfamates&quot;,&quot;author&quot;:[{&quot;family&quot;:&quot;Newman&quot;,&quot;given&quot;:&quot;Simon P.&quot;,&quot;parse-names&quot;:false,&quot;dropping-particle&quot;:&quot;&quot;,&quot;non-dropping-particle&quot;:&quot;&quot;},{&quot;family&quot;:&quot;Leese&quot;,&quot;given&quot;:&quot;Mathew P.&quot;,&quot;parse-names&quot;:false,&quot;dropping-particle&quot;:&quot;&quot;,&quot;non-dropping-particle&quot;:&quot;&quot;},{&quot;family&quot;:&quot;Purohit&quot;,&quot;given&quot;:&quot;Atul&quot;,&quot;parse-names&quot;:false,&quot;dropping-particle&quot;:&quot;&quot;,&quot;non-dropping-particle&quot;:&quot;&quot;},{&quot;family&quot;:&quot;James&quot;,&quot;given&quot;:&quot;David R.C.&quot;,&quot;parse-names&quot;:false,&quot;dropping-particle&quot;:&quot;&quot;,&quot;non-dropping-particle&quot;:&quot;&quot;},{&quot;family&quot;:&quot;Rennie&quot;,&quot;given&quot;:&quot;Catherine E.&quot;,&quot;parse-names&quot;:false,&quot;dropping-particle&quot;:&quot;&quot;,&quot;non-dropping-particle&quot;:&quot;&quot;},{&quot;family&quot;:&quot;Potter&quot;,&quot;given&quot;:&quot;Barry V.L.&quot;,&quot;parse-names&quot;:false,&quot;dropping-particle&quot;:&quot;&quot;,&quot;non-dropping-particle&quot;:&quot;&quot;},{&quot;family&quot;:&quot;Reed&quot;,&quot;given&quot;:&quot;Michael J.&quot;,&quot;parse-names&quot;:false,&quot;dropping-particle&quot;:&quot;&quot;,&quot;non-dropping-particle&quot;:&quot;&quot;}],&quot;container-title&quot;:&quot;International Journal of Cancer&quot;,&quot;accessed&quot;:{&quot;date-parts&quot;:[[2020,10,12]]},&quot;DOI&quot;:&quot;10.1002/ijc.20045&quot;,&quot;ISSN&quot;:&quot;00207136&quot;,&quot;PMID&quot;:&quot;14991574&quot;,&quot;URL&quot;:&quot;https://pubmed.ncbi.nlm.nih.gov/14991574/&quot;,&quot;issued&quot;:{&quot;date-parts&quot;:[[2004,4,20]]},&quot;page&quot;:&quot;533-540&quot;,&quot;abstract&quot;:&quot;Sulfamoylation of 2-methoxyestrone (2-MeOEI) was shown previously to enhance its potency as an anti-proliferative agent against breast cancer cells. We have examined the ability of a series of 2-methoxyestradiol (2-MeOE2) and 2-ethylestradiol (2-EtE2) sulfamates to inhibit angiogenesis in vitro. 2-MeOE2 bis-sulfamate and 2-EtE2 sulfamate were potent inhibitors of human umbilical vein endothelial cell (HUVEC) proliferation with IC50 values of 0.05 μM and 0.01 μM, respectively. A novel co-culture system, in which endothelial cells were cultured in a matrix of human dermal fibroblasts, was also used to assess the anti-angiogenic potential of these drugs. In this system endothelial cells proliferate and migrate through the culture matrix to form tubule structures. Whereas 2-MeOE2 (1.0 μM) caused a small reduction in tubule formation, both 2-MeOE2 bis-sulfamate (0.1 μM) and 2-EtE2 sulfamate (0.1 μM) almost completely abolished tubule formation. 2-MeOE2 bis-sulfamate and 2-EtE2 sulfamate both induced BCL-2 phosphorylation, p53 protein expression and apoptosis in HUVECs. Microarray analysis of a limited number of genes known to be involved in the angiogenic process did not show any gross changes in cells treated with the 2-substituted estrogens. The sulfamoylated derivatives of 2-MeOE2 and 2-EtE2 are potent inhibitors of in vitro angiogenesis and both compounds should have therapeutic potential. © 2004 Wiley-Liss, Inc.&quot;,&quot;publisher&quot;:&quot;Int J Cancer&quot;,&quot;issue&quot;:&quot;4&quot;,&quot;volume&quot;:&quot;109&quot;},&quot;isTemporary&quot;:false}],&quot;properties&quot;:{&quot;noteIndex&quot;:0},&quot;isEdited&quot;:false,&quot;manualOverride&quot;:{&quot;isManuallyOverriden&quot;:false,&quot;citeprocText&quot;:&quot;&lt;sup&gt;13,14&lt;/sup&gt;&quot;,&quot;manualOverrideText&quot;:&quot;&quot;},&quot;citationTag&quot;:&quot;MENDELEY_CITATION_{\&quot;citationID\&quot;:\&quot;MENDELEY_CITATION_d89b33f3-2f35-43ea-abef-2d65a705437a\&quot;,\&quot;citationItems\&quot;:[{\&quot;id\&quot;:\&quot;89961140-c029-38c6-bb4f-f75e9a6a8969\&quot;,\&quot;itemData\&quot;:{\&quot;type\&quot;:\&quot;article-journal\&quot;,\&quot;id\&quot;:\&quot;89961140-c029-38c6-bb4f-f75e9a6a8969\&quot;,\&quot;title\&quot;:\&quot;A phase II multicenter, randomized, double-blind, safety trial assessing the pharmacokinetics, pharmacodynamics, and efficacy of oral 2-methoxyestradiol capsules in hormone-refractory prostate cancer\&quot;,\&quot;author\&quot;:[{\&quot;family\&quot;:\&quot;Sweeney\&quot;,\&quot;given\&quot;:\&quot;Christopher\&quot;,\&quot;parse-names\&quot;:false,\&quot;dropping-particle\&quot;:\&quot;\&quot;,\&quot;non-dropping-particle\&quot;:\&quot;\&quot;},{\&quot;family\&quot;:\&quot;Liu\&quot;,\&quot;given\&quot;:\&quot;Glenn\&quot;,\&quot;parse-names\&quot;:false,\&quot;dropping-particle\&quot;:\&quot;\&quot;,\&quot;non-dropping-particle\&quot;:\&quot;\&quot;},{\&quot;family\&quot;:\&quot;Yiannoutsos\&quot;,\&quot;given\&quot;:\&quot;Constantin\&quot;,\&quot;parse-names\&quot;:false,\&quot;dropping-particle\&quot;:\&quot;\&quot;,\&quot;non-dropping-particle\&quot;:\&quot;\&quot;},{\&quot;family\&quot;:\&quot;Kolesar\&quot;,\&quot;given\&quot;:\&quot;Jill\&quot;,\&quot;parse-names\&quot;:false,\&quot;dropping-particle\&quot;:\&quot;\&quot;,\&quot;non-dropping-particle\&quot;:\&quot;\&quot;},{\&quot;family\&quot;:\&quot;Horvath\&quot;,\&quot;given\&quot;:\&quot;Dorothea\&quot;,\&quot;parse-names\&quot;:false,\&quot;dropping-particle\&quot;:\&quot;\&quot;,\&quot;non-dropping-particle\&quot;:\&quot;\&quot;},{\&quot;family\&quot;:\&quot;Staab\&quot;,\&quot;given\&quot;:\&quot;Mary Jane\&quot;,\&quot;parse-names\&quot;:false,\&quot;dropping-particle\&quot;:\&quot;\&quot;,\&quot;non-dropping-particle\&quot;:\&quot;\&quot;},{\&quot;family\&quot;:\&quot;Fife\&quot;,\&quot;given\&quot;:\&quot;Karen\&quot;,\&quot;parse-names\&quot;:false,\&quot;dropping-particle\&quot;:\&quot;\&quot;,\&quot;non-dropping-particle\&quot;:\&quot;\&quot;},{\&quot;family\&quot;:\&quot;Armstrong\&quot;,\&quot;given\&quot;:\&quot;Victoria\&quot;,\&quot;parse-names\&quot;:false,\&quot;dropping-particle\&quot;:\&quot;\&quot;,\&quot;non-dropping-particle\&quot;:\&quot;\&quot;},{\&quot;family\&quot;:\&quot;Treston\&quot;,\&quot;given\&quot;:\&quot;Anthony\&quot;,\&quot;parse-names\&quot;:false,\&quot;dropping-particle\&quot;:\&quot;\&quot;,\&quot;non-dropping-particle\&quot;:\&quot;\&quot;},{\&quot;family\&quot;:\&quot;Sidor\&quot;,\&quot;given\&quot;:\&quot;Carolyn\&quot;,\&quot;parse-names\&quot;:false,\&quot;dropping-particle\&quot;:\&quot;\&quot;,\&quot;non-dropping-particle\&quot;:\&quot;\&quot;},{\&quot;family\&quot;:\&quot;Wilding\&quot;,\&quot;given\&quot;:\&quot;George\&quot;,\&quot;parse-names\&quot;:false,\&quot;dropping-particle\&quot;:\&quot;\&quot;,\&quot;non-dropping-particle\&quot;:\&quot;\&quot;}],\&quot;container-title\&quot;:\&quot;Clinical Cancer Research\&quot;,\&quot;accessed\&quot;:{\&quot;date-parts\&quot;:[[2020,10,12]]},\&quot;DOI\&quot;:\&quot;10.1158/1078-0432.CCR-05-0440\&quot;,\&quot;ISSN\&quot;:\&quot;10780432\&quot;,\&quot;PMID\&quot;:\&quot;16166441\&quot;,\&quot;URL\&quot;:\&quot;https://pubmed.ncbi.nlm.nih.gov/16166441/\&quot;,\&quot;issued\&quot;:{\&quot;date-parts\&quot;:[[2005,9,15]]},\&quot;page\&quot;:\&quot;6625-6633\&quot;,\&quot;abstract\&quot;:\&quot;Purpose: To determine whether the preclinical antitumor and antiangiogenic activity of 2-methoxyestradiol can be translated to the clinic. Experimental Design: Men with hormone-refractory prostate cancer were enrolled into this phase II randomized, double-blind trial of two doses of oral 2-methoxyestradiol capsules (400 and 1,200 mg/d) given in 4-week cycles. Pharmacokinetic sampling was done on day 1 of cycles 1 and 2 and trough samples were obtained weekly. Results: Thirty-three men were accrued between February and September 2001. The notable toxicity related to therapy was one grade 2 and two grade 3 episodes of liver transaminase elevation, which resolved with continued treatment in two patients. There were two cases of deep venous thromboses. The drug had nonlinear pharmacokinetic, rapid conversion to 2-methoxyestrone and ∼85% conjugation. Trough plasma levels of unconjugated 2-methoxyestradiol and 2-methoxyestrone were ∼4 and 40 ng/mL, respectively. Prostate-specific antigen declines between 21% and 40% were seen in seven patients in the 1,200 mg group and in one patient in the 400 mg group. The higher-dose group showed significantly decreased prostate-specific antigen velocity (P = 0.037) and compared with the 400 mg dose had a longer median time to prostate-specific antigen progression (109 versus 67 days; P = 0.094) and time on study (126 versus 61 days; P = 0.024). There was a 2.5- and 4-fold increase in sex hormone-binding globulin for the 400 and 1,200 mg dose levels, respectively, at days 28 and 56. Conclusion: 2-Methoxyestradiol is well tolerated and, despite suboptimal plasma levels and limited oral bioavailability with this capsule formulation, still showed some anticancer activity at 1,200 mg/d. © 2005 American Association for Cancer Research.\&quot;,\&quot;publisher\&quot;:\&quot;Clin Cancer Res\&quot;,\&quot;issue\&quot;:\&quot;18\&quot;,\&quot;volume\&quot;:\&quot;11\&quot;},\&quot;isTemporary\&quot;:false},{\&quot;id\&quot;:\&quot;374f5cac-c13c-3bef-8f27-dbcae3a2bf3e\&quot;,\&quot;itemData\&quot;:{\&quot;type\&quot;:\&quot;article-journal\&quot;,\&quot;id\&quot;:\&quot;374f5cac-c13c-3bef-8f27-dbcae3a2bf3e\&quot;,\&quot;title\&quot;:\&quot;Inhibition of in vitro angiogenesis by 2-methoxy- and 2-ethyl-estrogen sulfamates\&quot;,\&quot;author\&quot;:[{\&quot;family\&quot;:\&quot;Newman\&quot;,\&quot;given\&quot;:\&quot;Simon P.\&quot;,\&quot;parse-names\&quot;:false,\&quot;dropping-particle\&quot;:\&quot;\&quot;,\&quot;non-dropping-particle\&quot;:\&quot;\&quot;},{\&quot;family\&quot;:\&quot;Leese\&quot;,\&quot;given\&quot;:\&quot;Mathew P.\&quot;,\&quot;parse-names\&quot;:false,\&quot;dropping-particle\&quot;:\&quot;\&quot;,\&quot;non-dropping-particle\&quot;:\&quot;\&quot;},{\&quot;family\&quot;:\&quot;Purohit\&quot;,\&quot;given\&quot;:\&quot;Atul\&quot;,\&quot;parse-names\&quot;:false,\&quot;dropping-particle\&quot;:\&quot;\&quot;,\&quot;non-dropping-particle\&quot;:\&quot;\&quot;},{\&quot;family\&quot;:\&quot;James\&quot;,\&quot;given\&quot;:\&quot;David R.C.\&quot;,\&quot;parse-names\&quot;:false,\&quot;dropping-particle\&quot;:\&quot;\&quot;,\&quot;non-dropping-particle\&quot;:\&quot;\&quot;},{\&quot;family\&quot;:\&quot;Rennie\&quot;,\&quot;given\&quot;:\&quot;Catherine E.\&quot;,\&quot;parse-names\&quot;:false,\&quot;dropping-particle\&quot;:\&quot;\&quot;,\&quot;non-dropping-particle\&quot;:\&quot;\&quot;},{\&quot;family\&quot;:\&quot;Potter\&quot;,\&quot;given\&quot;:\&quot;Barry V.L.\&quot;,\&quot;parse-names\&quot;:false,\&quot;dropping-particle\&quot;:\&quot;\&quot;,\&quot;non-dropping-particle\&quot;:\&quot;\&quot;},{\&quot;family\&quot;:\&quot;Reed\&quot;,\&quot;given\&quot;:\&quot;Michael J.\&quot;,\&quot;parse-names\&quot;:false,\&quot;dropping-particle\&quot;:\&quot;\&quot;,\&quot;non-dropping-particle\&quot;:\&quot;\&quot;}],\&quot;container-title\&quot;:\&quot;International Journal of Cancer\&quot;,\&quot;accessed\&quot;:{\&quot;date-parts\&quot;:[[2020,10,12]]},\&quot;DOI\&quot;:\&quot;10.1002/ijc.20045\&quot;,\&quot;ISSN\&quot;:\&quot;00207136\&quot;,\&quot;PMID\&quot;:\&quot;14991574\&quot;,\&quot;URL\&quot;:\&quot;https://pubmed.ncbi.nlm.nih.gov/14991574/\&quot;,\&quot;issued\&quot;:{\&quot;date-parts\&quot;:[[2004,4,20]]},\&quot;page\&quot;:\&quot;533-540\&quot;,\&quot;abstract\&quot;:\&quot;Sulfamoylation of 2-methoxyestrone (2-MeOEI) was shown previously to enhance its potency as an anti-proliferative agent against breast cancer cells. We have examined the ability of a series of 2-methoxyestradiol (2-MeOE2) and 2-ethylestradiol (2-EtE2) sulfamates to inhibit angiogenesis in vitro. 2-MeOE2 bis-sulfamate and 2-EtE2 sulfamate were potent inhibitors of human umbilical vein endothelial cell (HUVEC) proliferation with IC50 values of 0.05 μM and 0.01 μM, respectively. A novel co-culture system, in which endothelial cells were cultured in a matrix of human dermal fibroblasts, was also used to assess the anti-angiogenic potential of these drugs. In this system endothelial cells proliferate and migrate through the culture matrix to form tubule structures. Whereas 2-MeOE2 (1.0 μM) caused a small reduction in tubule formation, both 2-MeOE2 bis-sulfamate (0.1 μM) and 2-EtE2 sulfamate (0.1 μM) almost completely abolished tubule formation. 2-MeOE2 bis-sulfamate and 2-EtE2 sulfamate both induced BCL-2 phosphorylation, p53 protein expression and apoptosis in HUVECs. Microarray analysis of a limited number of genes known to be involved in the angiogenic process did not show any gross changes in cells treated with the 2-substituted estrogens. The sulfamoylated derivatives of 2-MeOE2 and 2-EtE2 are potent inhibitors of in vitro angiogenesis and both compounds should have therapeutic potential. © 2004 Wiley-Liss, Inc.\&quot;,\&quot;publisher\&quot;:\&quot;Int J Cancer\&quot;,\&quot;issue\&quot;:\&quot;4\&quot;,\&quot;volume\&quot;:\&quot;109\&quot;},\&quot;isTemporary\&quot;:false}],\&quot;properties\&quot;:{\&quot;noteIndex\&quot;:0},\&quot;isEdited\&quot;:false,\&quot;manualOverride\&quot;:{\&quot;isManuallyOverriden\&quot;:false,\&quot;citeprocText\&quot;:\&quot;&lt;sup&gt;13,14&lt;/sup&gt;\&quot;,\&quot;manualOverrideText\&quot;:\&quot;\&quot;}}&quot;},{&quot;citationID&quot;:&quot;MENDELEY_CITATION_cb18883b-dd71-494d-a831-1c663821d178&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3f28a68d-b553-30b0-b0c7-c0997fcd631a&quot;,&quot;itemData&quot;:{&quot;type&quot;:&quot;article-journal&quot;,&quot;id&quot;:&quot;3f28a68d-b553-30b0-b0c7-c0997fcd631a&quot;,&quot;title&quot;:&quot;Measurement of androgens in women&quot;,&quot;author&quot;:[{&quot;family&quot;:&quot;Stanczyk&quot;,&quot;given&quot;:&quot;Frank Z.&quot;,&quot;parse-names&quot;:false,&quot;dropping-particle&quot;:&quot;&quot;,&quot;non-dropping-particle&quot;:&quot;&quot;}],&quot;container-title&quot;:&quot;Seminars in Reproductive Medicine&quot;,&quot;accessed&quot;:{&quot;date-parts&quot;:[[2020,9,13]]},&quot;DOI&quot;:&quot;10.1055/s-2006-939566&quot;,&quot;ISSN&quot;:&quot;15268004&quot;,&quot;PMID&quot;:&quot;16633981&quot;,&quot;URL&quot;:&quot;https://pubmed.ncbi.nlm.nih.gov/16633981/&quot;,&quot;issued&quot;:{&quot;date-parts&quot;:[[2006,4]]},&quot;page&quot;:&quot;78-85&quot;,&quot;abstract&quot;:&quot;Much of our knowledge about the physiologic role of androgens in women is based on measurements, primarily in serum, using radioimmunoassay (RIA) methodology that involves purification of the analyte by organic solvent extraction and column chromatography. Although the extraction/chromatographic RIA is highly reliable when properly validated, it is time consuming and costly. For this reason, direct RIA methods were developed. Subsequently, the radioactive marker was replaced by other labels that have been used in direct chemiluminescent, fluorescent, and enzyme immunoassays on autoanalyzers. Although direct immunoassays are simple and rapid, they are seldom thoroughly validated, and generally lack the sensitivity and specificity for reliable measurements of testosterone levels found in postmenopausal serum. In recent years there has been increased use of mass spectrometry assay methods to quantify steroid hormones. These methods are touted to become the gold standard for all steroid hormone measurements. Because urine contains predominantly glucuronidated androgens, multistep procedures are required for the measurement, which is not practical for diagnostic testing. Androgens also can be measured in saliva, but major methodologic problems are associated with the measurements. In addition, there is a misconception that salivary testosterone levels reflect free testosterone levels in serum. Copyright © 2006 by Thieme Medical Publishers, Inc.&quot;,&quot;publisher&quot;:&quot;Semin Reprod Med&quot;,&quot;issue&quot;:&quot;2&quot;,&quot;volume&quot;:&quot;24&quot;},&quot;isTemporary&quot;:false},{&quot;id&quot;:&quot;f9492d66-dfc3-300a-a4bc-b8776d712716&quot;,&quot;itemData&quot;:{&quot;type&quot;:&quot;article&quot;,&quot;id&quot;:&quot;f9492d66-dfc3-300a-a4bc-b8776d712716&quot;,&quot;title&quot;:&quot;Male hormones and men's quality of life&quot;,&quot;author&quot;:[{&quot;family&quot;:&quot;Khera&quot;,&quot;given&quot;:&quot;Mohit&quot;,&quot;parse-names&quot;:false,&quot;dropping-particle&quot;:&quot;&quot;,&quot;non-dropping-particle&quot;:&quot;&quot;}],&quot;container-title&quot;:&quot;Current Opinion in Urology&quot;,&quot;accessed&quot;:{&quot;date-parts&quot;:[[2020,10,12]]},&quot;DOI&quot;:&quot;10.1097/MOU.0000000000000256&quot;,&quot;ISSN&quot;:&quot;14736586&quot;,&quot;PMID&quot;:&quot;26765046&quot;,&quot;URL&quot;:&quot;https://pubmed.ncbi.nlm.nih.gov/26765046/&quot;,&quot;issued&quot;:{&quot;date-parts&quot;:[[2016,1,13]]},&quot;page&quot;:&quot;152-157&quot;,&quot;abstract&quot;:&quot;Purpose of review Male hormones can significantly impact a man's quality of life. Recently, there has been controversy with the use of testosterone and its impact on a man's quality of life. These controversies include testosterone's effect on cardiovascular disease, benign prostatic hyperplasia, prostate cancer, and fertility. The purpose of this manuscript is to further evaluate mainly testosterone's effect in these controversial areas as well as testosterone's overall effect on a man's quality of life. Recent findings Recent findings suggest that testosterone does not increase a man's risk of developing benign prostatic hyperplasia or prostate cancer. Men with low testosterone levels are more likely to suffer a cardiovascular event and develop insulin resistance. Exogenous testosterone is a natural contraceptive and men desiring to preserve their fertility should use mechanisms to raise their own natural endogenous testosterone production. Summary Although testosterone deficiency can significantly impair a man's quality of life, testosterone therapy has been shown to significantly improve many of these qualities, such as depression, bone mineral density, energy, libido, erectile function, muscle mass, insulin resistance, and lower urinary tract symptoms. Testosterone therapy can be administered safely to symptomatic hypogonadal men.&quot;,&quot;publisher&quot;:&quot;Lippincott Williams and Wilkins&quot;,&quot;issue&quot;:&quot;2&quot;,&quot;volume&quot;:&quot;26&quot;},&quot;isTemporary&quot;:false},{&quot;id&quot;:&quot;0121b602-040f-38e4-8368-d2170dc47543&quot;,&quot;itemData&quot;:{&quot;type&quot;:&quot;article-journal&quot;,&quot;id&quot;:&quot;0121b602-040f-38e4-8368-d2170dc47543&quot;,&quot;title&quot;:&quot;Testosterone/epitestosterone ratio in urine: a possible diagnostic tool in the disclosure of exogenous testosterone administration&quot;,&quot;author&quot;:[{&quot;family&quot;:&quot;KAPELRUD&quot;,&quot;given&quot;:&quot;H.&quot;,&quot;parse-names&quot;:false,&quot;dropping-particle&quot;:&quot;&quot;,&quot;non-dropping-particle&quot;:&quot;&quot;},{&quot;family&quot;:&quot;JOHANNESEN&quot;,&quot;given&quot;:&quot;&quot;,&quot;parse-names&quot;:false,&quot;dropping-particle&quot;:&quot;&quot;,&quot;non-dropping-particle&quot;:&quot;&quot;},{&quot;family&quot;:&quot;OFTEBRO&quot;,&quot;given&quot;:&quot;H.&quot;,&quot;parse-names&quot;:false,&quot;dropping-particle&quot;:&quot;&quot;,&quot;non-dropping-particle&quot;:&quot;&quot;}],&quot;container-title&quot;:&quot;Journal of Internal Medicine&quot;,&quot;accessed&quot;:{&quot;date-parts&quot;:[[2020,10,12]]},&quot;DOI&quot;:&quot;10.1111/j.1365-2796.1992.tb00614.x&quot;,&quot;ISSN&quot;:&quot;13652796&quot;,&quot;PMID&quot;:&quot;1453132&quot;,&quot;URL&quot;:&quot;https://pubmed.ncbi.nlm.nih.gov/1453132/&quot;,&quot;issued&quot;:{&quot;date-parts&quot;:[[1992]]},&quot;page&quot;:&quot;453-455&quot;,&quot;abstract&quot;:&quot;A 37‐year‐old woman presented with a history of secondary amenorrhoea and hirsutism for 4 years. She had elevated serum levels of testosterone and dihydrotestosterone, and decreased serum levels of sex hormone binding globulin and oestradiol. Almost daily use of a testosterone‐containing ointment in the vulvar region for 6 years was disclosed as the cause of the hyperandrogenism. Serum testosterone, testosterone excretion rate in urine and testosterone/epitestosterone ratio in urine were determined at fixed intervals 24 h before and 48 h after application of the testosterone‐containing ointment. There was a rapid increase in serum testosterone, with a peak level after 4–6 h. The testosterone excretion rate and the testosterone/epitestosterone ratio in urine peaked after 2–4 h. After 48 h the serum testosterone level was still about twice the basal value. The testosterone/epitestosterone level was over the ‘doping limit’ of 6 for 28 h. We conclude that determination of the testosterone/epitestosterone ratio in urine would have disclosed exogenous testosterone administration in this patient. We recommend this test for patients in whom exogenous testosterone administration is suspected. 1992 Blackwell Publishing Ltd&quot;,&quot;publisher&quot;:&quot;J Intern Med&quot;,&quot;issue&quot;:&quot;5&quot;,&quot;volume&quot;:&quot;232&quot;},&quot;isTemporary&quot;:false}],&quot;properties&quot;:{&quot;noteIndex&quot;:0},&quot;isEdited&quot;:false,&quot;manualOverride&quot;:{&quot;isManuallyOverriden&quot;:false,&quot;citeprocText&quot;:&quot;&lt;sup&gt;1,15–18&lt;/sup&gt;&quot;,&quot;manualOverrideText&quot;:&quot;&quot;},&quot;citationTag&quot;:&quot;MENDELEY_CITATION_{\&quot;citationID\&quot;:\&quot;MENDELEY_CITATION_cb18883b-dd71-494d-a831-1c663821d178\&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feef8e8f-b26c-3a65-b9a6-1321624e7035\&quot;,\&quot;itemData\&quot;:{\&quot;type\&quot;:\&quot;article-journal\&quot;,\&quot;id\&quot;:\&quot;feef8e8f-b26c-3a65-b9a6-1321624e7035\&quot;,\&quot;title\&quot;:\&quot;Amenorrhea: A systematic approach to diagnosis and management\&quot;,\&quot;author\&quot;:[{\&quot;family\&quot;:\&quot;Klein\&quot;,\&quot;given\&quot;:\&quot;David A.\&quot;,\&quot;parse-names\&quot;:false,\&quot;dropping-particle\&quot;:\&quot;\&quot;,\&quot;non-dropping-particle\&quot;:\&quot;\&quot;},{\&quot;family\&quot;:\&quot;Paradise\&quot;,\&quot;given\&quot;:\&quot;Scott L.\&quot;,\&quot;parse-names\&quot;:false,\&quot;dropping-particle\&quot;:\&quot;\&quot;,\&quot;non-dropping-particle\&quot;:\&quot;\&quot;},{\&quot;family\&quot;:\&quot;Reeder\&quot;,\&quot;given\&quot;:\&quot;Rachel M.\&quot;,\&quot;parse-names\&quot;:false,\&quot;dropping-particle\&quot;:\&quot;\&quot;,\&quot;non-dropping-particle\&quot;:\&quot;\&quot;}],\&quot;container-title\&quot;:\&quot;American Family Physician\&quot;,\&quot;accessed\&quot;:{\&quot;date-parts\&quot;:[[2020,10,12]]},\&quot;ISSN\&quot;:\&quot;15320650\&quot;,\&quot;PMID\&quot;:\&quot;31259490\&quot;,\&quot;URL\&quot;:\&quot;https://pubmed.ncbi.nlm.nih.gov/31259490/\&quot;,\&quot;issued\&quot;:{\&quot;date-parts\&quot;:[[2019,7,1]]},\&quot;page\&quot;:\&quot;39-48\&quot;,\&quot;abstract\&quot;:\&quot;Menstrual patterns can be an indicator of overall health and self-perception of well-being. Primary amenorrhea, defined as the lifelong absence of menses, requires evaluation if menarche has not occurred by 15 years of age or three years post-thelarche. Secondary amenorrhea is characterized by cessation of previously regular menses for three months or previously irregular menses for six months and warrants evaluation. Clinicians may consider etiologies of amenorrhea categorically as outflow tract abnormalities, primary ovarian insufficiency, hypothalamic or pituitary disorders, other endocrine gland disorders, sequelae of chronic disease, physiologic, or induced. The history should include menstrual onset and patterns, eating and exercise habits, presence of psychosocial stressors, body weight changes, medication use, galactorrhea, and chronic illness. Additional questions may target neurologic, vasomotor, hyperandrogenic, or thyroid-related symptoms. The physical examination should identify anthropometric and pubertal development trends. All patients should be offered a pregnancy test and assessment of serum follicle-stimulating hormone, luteinizing hormone, prolactin, and thyroid-stimulating hormone levels. Additional testing, including karyotyping, serum androgen evaluation, and pelvic or brain imaging, should be individualized. Patients with primary ovarian insufficiency can maintain unpredictable ovary function and may require hormone replacement therapy, contraception, or infertility services. Functional hypothalamic amenorrhea may indicate disordered eating and low bone density. Treatment should address the underlying cause. Patients with polycystic ovary syndrome should undergo screening and intervention to attenuate metabolic disease and endometrial cancer risk. Amenorrhea can be associated with clinically challenging pathology and may require lifelong treatment. Patients will benefit from ample time with the clinician, sensitivity, and emotional support.\&quot;,\&quot;publisher\&quot;:\&quot;American Academy of Family Physicians\&quot;,\&quot;issue\&quot;:\&quot;1\&quot;,\&quot;volume\&quot;:\&quot;100\&quot;},\&quot;isTemporary\&quot;:false},{\&quot;id\&quot;:\&quot;3f28a68d-b553-30b0-b0c7-c0997fcd631a\&quot;,\&quot;itemData\&quot;:{\&quot;type\&quot;:\&quot;article-journal\&quot;,\&quot;id\&quot;:\&quot;3f28a68d-b553-30b0-b0c7-c0997fcd631a\&quot;,\&quot;title\&quot;:\&quot;Measurement of androgens in women\&quot;,\&quot;author\&quot;:[{\&quot;family\&quot;:\&quot;Stanczyk\&quot;,\&quot;given\&quot;:\&quot;Frank Z.\&quot;,\&quot;parse-names\&quot;:false,\&quot;dropping-particle\&quot;:\&quot;\&quot;,\&quot;non-dropping-particle\&quot;:\&quot;\&quot;}],\&quot;container-title\&quot;:\&quot;Seminars in Reproductive Medicine\&quot;,\&quot;accessed\&quot;:{\&quot;date-parts\&quot;:[[2020,9,13]]},\&quot;DOI\&quot;:\&quot;10.1055/s-2006-939566\&quot;,\&quot;ISSN\&quot;:\&quot;15268004\&quot;,\&quot;PMID\&quot;:\&quot;16633981\&quot;,\&quot;URL\&quot;:\&quot;https://pubmed.ncbi.nlm.nih.gov/16633981/\&quot;,\&quot;issued\&quot;:{\&quot;date-parts\&quot;:[[2006,4]]},\&quot;page\&quot;:\&quot;78-85\&quot;,\&quot;abstract\&quot;:\&quot;Much of our knowledge about the physiologic role of androgens in women is based on measurements, primarily in serum, using radioimmunoassay (RIA) methodology that involves purification of the analyte by organic solvent extraction and column chromatography. Although the extraction/chromatographic RIA is highly reliable when properly validated, it is time consuming and costly. For this reason, direct RIA methods were developed. Subsequently, the radioactive marker was replaced by other labels that have been used in direct chemiluminescent, fluorescent, and enzyme immunoassays on autoanalyzers. Although direct immunoassays are simple and rapid, they are seldom thoroughly validated, and generally lack the sensitivity and specificity for reliable measurements of testosterone levels found in postmenopausal serum. In recent years there has been increased use of mass spectrometry assay methods to quantify steroid hormones. These methods are touted to become the gold standard for all steroid hormone measurements. Because urine contains predominantly glucuronidated androgens, multistep procedures are required for the measurement, which is not practical for diagnostic testing. Androgens also can be measured in saliva, but major methodologic problems are associated with the measurements. In addition, there is a misconception that salivary testosterone levels reflect free testosterone levels in serum. Copyright © 2006 by Thieme Medical Publishers, Inc.\&quot;,\&quot;publisher\&quot;:\&quot;Semin Reprod Med\&quot;,\&quot;issue\&quot;:\&quot;2\&quot;,\&quot;volume\&quot;:\&quot;24\&quot;},\&quot;isTemporary\&quot;:false},{\&quot;id\&quot;:\&quot;f9492d66-dfc3-300a-a4bc-b8776d712716\&quot;,\&quot;itemData\&quot;:{\&quot;type\&quot;:\&quot;article\&quot;,\&quot;id\&quot;:\&quot;f9492d66-dfc3-300a-a4bc-b8776d712716\&quot;,\&quot;title\&quot;:\&quot;Male hormones and men's quality of life\&quot;,\&quot;author\&quot;:[{\&quot;family\&quot;:\&quot;Khera\&quot;,\&quot;given\&quot;:\&quot;Mohit\&quot;,\&quot;parse-names\&quot;:false,\&quot;dropping-particle\&quot;:\&quot;\&quot;,\&quot;non-dropping-particle\&quot;:\&quot;\&quot;}],\&quot;container-title\&quot;:\&quot;Current Opinion in Urology\&quot;,\&quot;accessed\&quot;:{\&quot;date-parts\&quot;:[[2020,10,12]]},\&quot;DOI\&quot;:\&quot;10.1097/MOU.0000000000000256\&quot;,\&quot;ISSN\&quot;:\&quot;14736586\&quot;,\&quot;PMID\&quot;:\&quot;26765046\&quot;,\&quot;URL\&quot;:\&quot;https://pubmed.ncbi.nlm.nih.gov/26765046/\&quot;,\&quot;issued\&quot;:{\&quot;date-parts\&quot;:[[2016,1,13]]},\&quot;page\&quot;:\&quot;152-157\&quot;,\&quot;abstract\&quot;:\&quot;Purpose of review Male hormones can significantly impact a man's quality of life. Recently, there has been controversy with the use of testosterone and its impact on a man's quality of life. These controversies include testosterone's effect on cardiovascular disease, benign prostatic hyperplasia, prostate cancer, and fertility. The purpose of this manuscript is to further evaluate mainly testosterone's effect in these controversial areas as well as testosterone's overall effect on a man's quality of life. Recent findings Recent findings suggest that testosterone does not increase a man's risk of developing benign prostatic hyperplasia or prostate cancer. Men with low testosterone levels are more likely to suffer a cardiovascular event and develop insulin resistance. Exogenous testosterone is a natural contraceptive and men desiring to preserve their fertility should use mechanisms to raise their own natural endogenous testosterone production. Summary Although testosterone deficiency can significantly impair a man's quality of life, testosterone therapy has been shown to significantly improve many of these qualities, such as depression, bone mineral density, energy, libido, erectile function, muscle mass, insulin resistance, and lower urinary tract symptoms. Testosterone therapy can be administered safely to symptomatic hypogonadal men.\&quot;,\&quot;publisher\&quot;:\&quot;Lippincott Williams and Wilkins\&quot;,\&quot;issue\&quot;:\&quot;2\&quot;,\&quot;volume\&quot;:\&quot;26\&quot;},\&quot;isTemporary\&quot;:false},{\&quot;id\&quot;:\&quot;0121b602-040f-38e4-8368-d2170dc47543\&quot;,\&quot;itemData\&quot;:{\&quot;type\&quot;:\&quot;article-journal\&quot;,\&quot;id\&quot;:\&quot;0121b602-040f-38e4-8368-d2170dc47543\&quot;,\&quot;title\&quot;:\&quot;Testosterone/epitestosterone ratio in urine: a possible diagnostic tool in the disclosure of exogenous testosterone administration\&quot;,\&quot;author\&quot;:[{\&quot;family\&quot;:\&quot;KAPELRUD\&quot;,\&quot;given\&quot;:\&quot;H.\&quot;,\&quot;parse-names\&quot;:false,\&quot;dropping-particle\&quot;:\&quot;\&quot;,\&quot;non-dropping-particle\&quot;:\&quot;\&quot;},{\&quot;family\&quot;:\&quot;JOHANNESEN\&quot;,\&quot;given\&quot;:\&quot;\&quot;,\&quot;parse-names\&quot;:false,\&quot;dropping-particle\&quot;:\&quot;\&quot;,\&quot;non-dropping-particle\&quot;:\&quot;\&quot;},{\&quot;family\&quot;:\&quot;OFTEBRO\&quot;,\&quot;given\&quot;:\&quot;H.\&quot;,\&quot;parse-names\&quot;:false,\&quot;dropping-particle\&quot;:\&quot;\&quot;,\&quot;non-dropping-particle\&quot;:\&quot;\&quot;}],\&quot;container-title\&quot;:\&quot;Journal of Internal Medicine\&quot;,\&quot;accessed\&quot;:{\&quot;date-parts\&quot;:[[2020,10,12]]},\&quot;DOI\&quot;:\&quot;10.1111/j.1365-2796.1992.tb00614.x\&quot;,\&quot;ISSN\&quot;:\&quot;13652796\&quot;,\&quot;PMID\&quot;:\&quot;1453132\&quot;,\&quot;URL\&quot;:\&quot;https://pubmed.ncbi.nlm.nih.gov/1453132/\&quot;,\&quot;issued\&quot;:{\&quot;date-parts\&quot;:[[1992]]},\&quot;page\&quot;:\&quot;453-455\&quot;,\&quot;abstract\&quot;:\&quot;A 37‐year‐old woman presented with a history of secondary amenorrhoea and hirsutism for 4 years. She had elevated serum levels of testosterone and dihydrotestosterone, and decreased serum levels of sex hormone binding globulin and oestradiol. Almost daily use of a testosterone‐containing ointment in the vulvar region for 6 years was disclosed as the cause of the hyperandrogenism. Serum testosterone, testosterone excretion rate in urine and testosterone/epitestosterone ratio in urine were determined at fixed intervals 24 h before and 48 h after application of the testosterone‐containing ointment. There was a rapid increase in serum testosterone, with a peak level after 4–6 h. The testosterone excretion rate and the testosterone/epitestosterone ratio in urine peaked after 2–4 h. After 48 h the serum testosterone level was still about twice the basal value. The testosterone/epitestosterone level was over the ‘doping limit’ of 6 for 28 h. We conclude that determination of the testosterone/epitestosterone ratio in urine would have disclosed exogenous testosterone administration in this patient. We recommend this test for patients in whom exogenous testosterone administration is suspected. 1992 Blackwell Publishing Ltd\&quot;,\&quot;publisher\&quot;:\&quot;J Intern Med\&quot;,\&quot;issue\&quot;:\&quot;5\&quot;,\&quot;volume\&quot;:\&quot;232\&quot;},\&quot;isTemporary\&quot;:false}],\&quot;properties\&quot;:{\&quot;noteIndex\&quot;:0},\&quot;isEdited\&quot;:false,\&quot;manualOverride\&quot;:{\&quot;isManuallyOverriden\&quot;:false,\&quot;citeprocText\&quot;:\&quot;&lt;sup&gt;1,15–18&lt;/sup&gt;\&quot;,\&quot;manualOverrideText\&quot;:\&quot;\&quot;}}&quot;},{&quot;citationID&quot;:&quot;MENDELEY_CITATION_cf77dc04-f457-4471-86a8-25a0498abcba&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121b602-040f-38e4-8368-d2170dc47543&quot;,&quot;itemData&quot;:{&quot;type&quot;:&quot;article-journal&quot;,&quot;id&quot;:&quot;0121b602-040f-38e4-8368-d2170dc47543&quot;,&quot;title&quot;:&quot;Testosterone/epitestosterone ratio in urine: a possible diagnostic tool in the disclosure of exogenous testosterone administration&quot;,&quot;author&quot;:[{&quot;family&quot;:&quot;KAPELRUD&quot;,&quot;given&quot;:&quot;H.&quot;,&quot;parse-names&quot;:false,&quot;dropping-particle&quot;:&quot;&quot;,&quot;non-dropping-particle&quot;:&quot;&quot;},{&quot;family&quot;:&quot;JOHANNESEN&quot;,&quot;given&quot;:&quot;&quot;,&quot;parse-names&quot;:false,&quot;dropping-particle&quot;:&quot;&quot;,&quot;non-dropping-particle&quot;:&quot;&quot;},{&quot;family&quot;:&quot;OFTEBRO&quot;,&quot;given&quot;:&quot;H.&quot;,&quot;parse-names&quot;:false,&quot;dropping-particle&quot;:&quot;&quot;,&quot;non-dropping-particle&quot;:&quot;&quot;}],&quot;container-title&quot;:&quot;Journal of Internal Medicine&quot;,&quot;accessed&quot;:{&quot;date-parts&quot;:[[2020,10,12]]},&quot;DOI&quot;:&quot;10.1111/j.1365-2796.1992.tb00614.x&quot;,&quot;ISSN&quot;:&quot;13652796&quot;,&quot;PMID&quot;:&quot;1453132&quot;,&quot;URL&quot;:&quot;https://pubmed.ncbi.nlm.nih.gov/1453132/&quot;,&quot;issued&quot;:{&quot;date-parts&quot;:[[1992]]},&quot;page&quot;:&quot;453-455&quot;,&quot;abstract&quot;:&quot;A 37‐year‐old woman presented with a history of secondary amenorrhoea and hirsutism for 4 years. She had elevated serum levels of testosterone and dihydrotestosterone, and decreased serum levels of sex hormone binding globulin and oestradiol. Almost daily use of a testosterone‐containing ointment in the vulvar region for 6 years was disclosed as the cause of the hyperandrogenism. Serum testosterone, testosterone excretion rate in urine and testosterone/epitestosterone ratio in urine were determined at fixed intervals 24 h before and 48 h after application of the testosterone‐containing ointment. There was a rapid increase in serum testosterone, with a peak level after 4–6 h. The testosterone excretion rate and the testosterone/epitestosterone ratio in urine peaked after 2–4 h. After 48 h the serum testosterone level was still about twice the basal value. The testosterone/epitestosterone level was over the ‘doping limit’ of 6 for 28 h. We conclude that determination of the testosterone/epitestosterone ratio in urine would have disclosed exogenous testosterone administration in this patient. We recommend this test for patients in whom exogenous testosterone administration is suspected. 1992 Blackwell Publishing Ltd&quot;,&quot;publisher&quot;:&quot;J Intern Med&quot;,&quot;issue&quot;:&quot;5&quot;,&quot;volume&quot;:&quot;232&quot;},&quot;isTemporary&quot;:false}],&quot;properties&quot;:{&quot;noteIndex&quot;:0},&quot;isEdited&quot;:false,&quot;manualOverride&quot;:{&quot;isManuallyOverriden&quot;:false,&quot;citeprocText&quot;:&quot;&lt;sup&gt;15,18&lt;/sup&gt;&quot;,&quot;manualOverrideText&quot;:&quot;&quot;},&quot;citationTag&quot;:&quot;MENDELEY_CITATION_{\&quot;citationID\&quot;:\&quot;MENDELEY_CITATION_cf77dc04-f457-4471-86a8-25a0498abcba\&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121b602-040f-38e4-8368-d2170dc47543\&quot;,\&quot;itemData\&quot;:{\&quot;type\&quot;:\&quot;article-journal\&quot;,\&quot;id\&quot;:\&quot;0121b602-040f-38e4-8368-d2170dc47543\&quot;,\&quot;title\&quot;:\&quot;Testosterone/epitestosterone ratio in urine: a possible diagnostic tool in the disclosure of exogenous testosterone administration\&quot;,\&quot;author\&quot;:[{\&quot;family\&quot;:\&quot;KAPELRUD\&quot;,\&quot;given\&quot;:\&quot;H.\&quot;,\&quot;parse-names\&quot;:false,\&quot;dropping-particle\&quot;:\&quot;\&quot;,\&quot;non-dropping-particle\&quot;:\&quot;\&quot;},{\&quot;family\&quot;:\&quot;JOHANNESEN\&quot;,\&quot;given\&quot;:\&quot;\&quot;,\&quot;parse-names\&quot;:false,\&quot;dropping-particle\&quot;:\&quot;\&quot;,\&quot;non-dropping-particle\&quot;:\&quot;\&quot;},{\&quot;family\&quot;:\&quot;OFTEBRO\&quot;,\&quot;given\&quot;:\&quot;H.\&quot;,\&quot;parse-names\&quot;:false,\&quot;dropping-particle\&quot;:\&quot;\&quot;,\&quot;non-dropping-particle\&quot;:\&quot;\&quot;}],\&quot;container-title\&quot;:\&quot;Journal of Internal Medicine\&quot;,\&quot;accessed\&quot;:{\&quot;date-parts\&quot;:[[2020,10,12]]},\&quot;DOI\&quot;:\&quot;10.1111/j.1365-2796.1992.tb00614.x\&quot;,\&quot;ISSN\&quot;:\&quot;13652796\&quot;,\&quot;PMID\&quot;:\&quot;1453132\&quot;,\&quot;URL\&quot;:\&quot;https://pubmed.ncbi.nlm.nih.gov/1453132/\&quot;,\&quot;issued\&quot;:{\&quot;date-parts\&quot;:[[1992]]},\&quot;page\&quot;:\&quot;453-455\&quot;,\&quot;abstract\&quot;:\&quot;A 37‐year‐old woman presented with a history of secondary amenorrhoea and hirsutism for 4 years. She had elevated serum levels of testosterone and dihydrotestosterone, and decreased serum levels of sex hormone binding globulin and oestradiol. Almost daily use of a testosterone‐containing ointment in the vulvar region for 6 years was disclosed as the cause of the hyperandrogenism. Serum testosterone, testosterone excretion rate in urine and testosterone/epitestosterone ratio in urine were determined at fixed intervals 24 h before and 48 h after application of the testosterone‐containing ointment. There was a rapid increase in serum testosterone, with a peak level after 4–6 h. The testosterone excretion rate and the testosterone/epitestosterone ratio in urine peaked after 2–4 h. After 48 h the serum testosterone level was still about twice the basal value. The testosterone/epitestosterone level was over the ‘doping limit’ of 6 for 28 h. We conclude that determination of the testosterone/epitestosterone ratio in urine would have disclosed exogenous testosterone administration in this patient. We recommend this test for patients in whom exogenous testosterone administration is suspected. 1992 Blackwell Publishing Ltd\&quot;,\&quot;publisher\&quot;:\&quot;J Intern Med\&quot;,\&quot;issue\&quot;:\&quot;5\&quot;,\&quot;volume\&quot;:\&quot;232\&quot;},\&quot;isTemporary\&quot;:false}],\&quot;properties\&quot;:{\&quot;noteIndex\&quot;:0},\&quot;isEdited\&quot;:false,\&quot;manualOverride\&quot;:{\&quot;isManuallyOverriden\&quot;:false,\&quot;citeprocText\&quot;:\&quot;&lt;sup&gt;15,18&lt;/sup&gt;\&quot;,\&quot;manualOverrideText\&quot;:\&quot;\&quot;}}&quot;},{&quot;citationID&quot;:&quot;MENDELEY_CITATION_3bd235df-fe1f-4570-8276-e71da7f0ec16&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ea2235d-2e23-3ef3-80aa-b943bd9c953d&quot;,&quot;itemData&quot;:{&quot;type&quot;:&quot;article&quot;,&quot;id&quot;:&quot;dea2235d-2e23-3ef3-80aa-b943bd9c953d&quot;,&quot;title&quot;:&quot;Hirsutism.&quot;,&quot;author&quot;:[{&quot;family&quot;:&quot;Mauvais-Jarvis&quot;,&quot;given&quot;:&quot;P.&quot;,&quot;parse-names&quot;:false,&quot;dropping-particle&quot;:&quot;&quot;,&quot;non-dropping-particle&quot;:&quot;&quot;},{&quot;family&quot;:&quot;Kuttenn&quot;,&quot;given&quot;:&quot;F.&quot;,&quot;parse-names&quot;:false,&quot;dropping-particle&quot;:&quot;&quot;,&quot;non-dropping-particle&quot;:&quot;&quot;},{&quot;family&quot;:&quot;Mowszowicz&quot;,&quot;given&quot;:&quot;I.&quot;,&quot;parse-names&quot;:false,&quot;dropping-particle&quot;:&quot;&quot;,&quot;non-dropping-particle&quot;:&quot;&quot;}],&quot;container-title&quot;:&quot;Monographs on endocrinology&quot;,&quot;accessed&quot;:{&quot;date-parts&quot;:[[2020,10,12]]},&quot;ISSN&quot;:&quot;00771015&quot;,&quot;PMID&quot;:&quot;6454061&quot;,&quot;URL&quot;:&quot;https://pubmed.ncbi.nlm.nih.gov/6454061/&quot;,&quot;issued&quot;:{&quot;date-parts&quot;:[[1981]]},&quot;page&quot;:&quot;1-116&quot;,&quot;publisher&quot;:&quot;Monogr Endocrinol&quot;,&quot;volume&quot;:&quot;19&quot;},&quot;isTemporary&quot;:false}],&quot;properties&quot;:{&quot;noteIndex&quot;:0},&quot;isEdited&quot;:false,&quot;manualOverride&quot;:{&quot;isManuallyOverriden&quot;:false,&quot;citeprocText&quot;:&quot;&lt;sup&gt;15,19&lt;/sup&gt;&quot;,&quot;manualOverrideText&quot;:&quot;&quot;},&quot;citationTag&quot;:&quot;MENDELEY_CITATION_{\&quot;citationID\&quot;:\&quot;MENDELEY_CITATION_3bd235df-fe1f-4570-8276-e71da7f0ec16\&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ea2235d-2e23-3ef3-80aa-b943bd9c953d\&quot;,\&quot;itemData\&quot;:{\&quot;type\&quot;:\&quot;article\&quot;,\&quot;id\&quot;:\&quot;dea2235d-2e23-3ef3-80aa-b943bd9c953d\&quot;,\&quot;title\&quot;:\&quot;Hirsutism.\&quot;,\&quot;author\&quot;:[{\&quot;family\&quot;:\&quot;Mauvais-Jarvis\&quot;,\&quot;given\&quot;:\&quot;P.\&quot;,\&quot;parse-names\&quot;:false,\&quot;dropping-particle\&quot;:\&quot;\&quot;,\&quot;non-dropping-particle\&quot;:\&quot;\&quot;},{\&quot;family\&quot;:\&quot;Kuttenn\&quot;,\&quot;given\&quot;:\&quot;F.\&quot;,\&quot;parse-names\&quot;:false,\&quot;dropping-particle\&quot;:\&quot;\&quot;,\&quot;non-dropping-particle\&quot;:\&quot;\&quot;},{\&quot;family\&quot;:\&quot;Mowszowicz\&quot;,\&quot;given\&quot;:\&quot;I.\&quot;,\&quot;parse-names\&quot;:false,\&quot;dropping-particle\&quot;:\&quot;\&quot;,\&quot;non-dropping-particle\&quot;:\&quot;\&quot;}],\&quot;container-title\&quot;:\&quot;Monographs on endocrinology\&quot;,\&quot;accessed\&quot;:{\&quot;date-parts\&quot;:[[2020,10,12]]},\&quot;ISSN\&quot;:\&quot;00771015\&quot;,\&quot;PMID\&quot;:\&quot;6454061\&quot;,\&quot;URL\&quot;:\&quot;https://pubmed.ncbi.nlm.nih.gov/6454061/\&quot;,\&quot;issued\&quot;:{\&quot;date-parts\&quot;:[[1981]]},\&quot;page\&quot;:\&quot;1-116\&quot;,\&quot;publisher\&quot;:\&quot;Monogr Endocrinol\&quot;,\&quot;volume\&quot;:\&quot;19\&quot;},\&quot;isTemporary\&quot;:false}],\&quot;properties\&quot;:{\&quot;noteIndex\&quot;:0},\&quot;isEdited\&quot;:false,\&quot;manualOverride\&quot;:{\&quot;isManuallyOverriden\&quot;:false,\&quot;citeprocText\&quot;:\&quot;&lt;sup&gt;15,19&lt;/sup&gt;\&quot;,\&quot;manualOverrideText\&quot;:\&quot;\&quot;}}&quot;},{&quot;citationID&quot;:&quot;MENDELEY_CITATION_fe1e049a-49df-41e3-a964-1bf8d34f21b5&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a8790da-5eac-38ff-96e8-da5115387f40&quot;,&quot;itemData&quot;:{&quot;type&quot;:&quot;article-journal&quot;,&quot;id&quot;:&quot;0a8790da-5eac-38ff-96e8-da5115387f40&quot;,&quot;title&quot;:&quot;5aα-reductase activity in women with polycystic ovary syndrome: A systematic review and meta-analysis&quot;,&quot;author&quot;:[{&quot;family&quot;:&quot;Wu&quot;,&quot;given&quot;:&quot;Chuyan&quot;,&quot;parse-names&quot;:false,&quot;dropping-particle&quot;:&quot;&quot;,&quot;non-dropping-particle&quot;:&quot;&quot;},{&quot;family&quot;:&quot;Wei&quot;,&quot;given&quot;:&quot;Ke&quot;,&quot;parse-names&quot;:false,&quot;dropping-particle&quot;:&quot;&quot;,&quot;non-dropping-particle&quot;:&quot;&quot;},{&quot;family&quot;:&quot;Jiang&quot;,&quot;given&quot;:&quot;Zhongli&quot;,&quot;parse-names&quot;:false,&quot;dropping-particle&quot;:&quot;&quot;,&quot;non-dropping-particle&quot;:&quot;&quot;}],&quot;container-title&quot;:&quot;Reproductive Biology and Endocrinology&quot;,&quot;DOI&quot;:&quot;10.1186/s12958-017-0242-9&quot;,&quot;ISSN&quot;:&quot;14777827&quot;,&quot;PMID&quot;:&quot;28347315&quot;,&quot;issued&quot;:{&quot;date-parts&quot;:[[2017]]},&quot;page&quot;:&quot;1-9&quot;,&quot;abstract&quot;:&quot;Background: 5aα-reductase activity might be important during the development of polycystic ovary syndrome (PCOS). However, the changes of 5aα-reductase activity in PCOS subjects and the relationship between 5aα-reductase activity and body mass index (BMI), insulin resistance (IR) remain largely unknown. Methods: We performed a meta-analysis to examine 5aα-reductase activity in women with PCOS; exploratory subgroup analyses were also performed. Results: Five articles (with 356 cases and 236 controls) reporting 5aα-reductase activity in patients with PCOS were selected for the meta-analysis. We observed significantly higher ratios of 5aαTHF/THF (5aα-reduced tetrahydrocortisol to 5β-reduced tetrahydrocortisol) and An/Et (androsteroneto/etiocholanolone) levels, which were used to assess 5aα-reductase activity, among the patients with PCOS, [standardized mean differences (SMD) =0.43, 95%confidence intervals (95%CI) =0.25-0.61, P &lt; 0.00001; SMD = 0.86, 95% CI = 0.29-1.44, P = 0.003]. We observed significant heterogeneity between studies for An/Et (I2 = 89% and P &lt; 0.00001). According to the group analysis, women with PCOS exhibited increased 5aα-reductase activity which was significantly associated with homeostasis model assessment of insulin resistance (HOMA-IR) regardless of obesity. Conclusions: 5aα-reductase activity was enhanced in women with PCOS. Increased 5aα-reductase activity in patients with PCOS was related to IR.&quot;,&quot;publisher&quot;:&quot;Reproductive Biology and Endocrinology&quot;,&quot;issue&quot;:&quot;1&quot;,&quot;volume&quot;:&quot;15&quot;},&quot;isTemporary&quot;:false}],&quot;properties&quot;:{&quot;noteIndex&quot;:0},&quot;isEdited&quot;:false,&quot;manualOverride&quot;:{&quot;isManuallyOverriden&quot;:false,&quot;citeprocText&quot;:&quot;&lt;sup&gt;15,20&lt;/sup&gt;&quot;,&quot;manualOverrideText&quot;:&quot;&quot;},&quot;citationTag&quot;:&quot;MENDELEY_CITATION_{\&quot;citationID\&quot;:\&quot;MENDELEY_CITATION_fe1e049a-49df-41e3-a964-1bf8d34f21b5\&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a8790da-5eac-38ff-96e8-da5115387f40\&quot;,\&quot;itemData\&quot;:{\&quot;type\&quot;:\&quot;article-journal\&quot;,\&quot;id\&quot;:\&quot;0a8790da-5eac-38ff-96e8-da5115387f40\&quot;,\&quot;title\&quot;:\&quot;5aα-reductase activity in women with polycystic ovary syndrome: A systematic review and meta-analysis\&quot;,\&quot;author\&quot;:[{\&quot;family\&quot;:\&quot;Wu\&quot;,\&quot;given\&quot;:\&quot;Chuyan\&quot;,\&quot;parse-names\&quot;:false,\&quot;dropping-particle\&quot;:\&quot;\&quot;,\&quot;non-dropping-particle\&quot;:\&quot;\&quot;},{\&quot;family\&quot;:\&quot;Wei\&quot;,\&quot;given\&quot;:\&quot;Ke\&quot;,\&quot;parse-names\&quot;:false,\&quot;dropping-particle\&quot;:\&quot;\&quot;,\&quot;non-dropping-particle\&quot;:\&quot;\&quot;},{\&quot;family\&quot;:\&quot;Jiang\&quot;,\&quot;given\&quot;:\&quot;Zhongli\&quot;,\&quot;parse-names\&quot;:false,\&quot;dropping-particle\&quot;:\&quot;\&quot;,\&quot;non-dropping-particle\&quot;:\&quot;\&quot;}],\&quot;container-title\&quot;:\&quot;Reproductive Biology and Endocrinology\&quot;,\&quot;DOI\&quot;:\&quot;10.1186/s12958-017-0242-9\&quot;,\&quot;ISSN\&quot;:\&quot;14777827\&quot;,\&quot;PMID\&quot;:\&quot;28347315\&quot;,\&quot;issued\&quot;:{\&quot;date-parts\&quot;:[[2017]]},\&quot;page\&quot;:\&quot;1-9\&quot;,\&quot;abstract\&quot;:\&quot;Background: 5aα-reductase activity might be important during the development of polycystic ovary syndrome (PCOS). However, the changes of 5aα-reductase activity in PCOS subjects and the relationship between 5aα-reductase activity and body mass index (BMI), insulin resistance (IR) remain largely unknown. Methods: We performed a meta-analysis to examine 5aα-reductase activity in women with PCOS; exploratory subgroup analyses were also performed. Results: Five articles (with 356 cases and 236 controls) reporting 5aα-reductase activity in patients with PCOS were selected for the meta-analysis. We observed significantly higher ratios of 5aαTHF/THF (5aα-reduced tetrahydrocortisol to 5β-reduced tetrahydrocortisol) and An/Et (androsteroneto/etiocholanolone) levels, which were used to assess 5aα-reductase activity, among the patients with PCOS, [standardized mean differences (SMD) =0.43, 95%confidence intervals (95%CI) =0.25-0.61, P &lt; 0.00001; SMD = 0.86, 95% CI = 0.29-1.44, P = 0.003]. We observed significant heterogeneity between studies for An/Et (I2 = 89% and P &lt; 0.00001). According to the group analysis, women with PCOS exhibited increased 5aα-reductase activity which was significantly associated with homeostasis model assessment of insulin resistance (HOMA-IR) regardless of obesity. Conclusions: 5aα-reductase activity was enhanced in women with PCOS. Increased 5aα-reductase activity in patients with PCOS was related to IR.\&quot;,\&quot;publisher\&quot;:\&quot;Reproductive Biology and Endocrinology\&quot;,\&quot;issue\&quot;:\&quot;1\&quot;,\&quot;volume\&quot;:\&quot;15\&quot;},\&quot;isTemporary\&quot;:false}],\&quot;properties\&quot;:{\&quot;noteIndex\&quot;:0},\&quot;isEdited\&quot;:false,\&quot;manualOverride\&quot;:{\&quot;isManuallyOverriden\&quot;:false,\&quot;citeprocText\&quot;:\&quot;&lt;sup&gt;15,20&lt;/sup&gt;\&quot;,\&quot;manualOverrideText\&quot;:\&quot;\&quot;}}&quot;},{&quot;citationID&quot;:&quot;MENDELEY_CITATION_1ad24bd8-7c0a-450b-8153-56a5abf4186f&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a8790da-5eac-38ff-96e8-da5115387f40&quot;,&quot;itemData&quot;:{&quot;type&quot;:&quot;article-journal&quot;,&quot;id&quot;:&quot;0a8790da-5eac-38ff-96e8-da5115387f40&quot;,&quot;title&quot;:&quot;5aα-reductase activity in women with polycystic ovary syndrome: A systematic review and meta-analysis&quot;,&quot;author&quot;:[{&quot;family&quot;:&quot;Wu&quot;,&quot;given&quot;:&quot;Chuyan&quot;,&quot;parse-names&quot;:false,&quot;dropping-particle&quot;:&quot;&quot;,&quot;non-dropping-particle&quot;:&quot;&quot;},{&quot;family&quot;:&quot;Wei&quot;,&quot;given&quot;:&quot;Ke&quot;,&quot;parse-names&quot;:false,&quot;dropping-particle&quot;:&quot;&quot;,&quot;non-dropping-particle&quot;:&quot;&quot;},{&quot;family&quot;:&quot;Jiang&quot;,&quot;given&quot;:&quot;Zhongli&quot;,&quot;parse-names&quot;:false,&quot;dropping-particle&quot;:&quot;&quot;,&quot;non-dropping-particle&quot;:&quot;&quot;}],&quot;container-title&quot;:&quot;Reproductive Biology and Endocrinology&quot;,&quot;DOI&quot;:&quot;10.1186/s12958-017-0242-9&quot;,&quot;ISSN&quot;:&quot;14777827&quot;,&quot;PMID&quot;:&quot;28347315&quot;,&quot;issued&quot;:{&quot;date-parts&quot;:[[2017]]},&quot;page&quot;:&quot;1-9&quot;,&quot;abstract&quot;:&quot;Background: 5aα-reductase activity might be important during the development of polycystic ovary syndrome (PCOS). However, the changes of 5aα-reductase activity in PCOS subjects and the relationship between 5aα-reductase activity and body mass index (BMI), insulin resistance (IR) remain largely unknown. Methods: We performed a meta-analysis to examine 5aα-reductase activity in women with PCOS; exploratory subgroup analyses were also performed. Results: Five articles (with 356 cases and 236 controls) reporting 5aα-reductase activity in patients with PCOS were selected for the meta-analysis. We observed significantly higher ratios of 5aαTHF/THF (5aα-reduced tetrahydrocortisol to 5β-reduced tetrahydrocortisol) and An/Et (androsteroneto/etiocholanolone) levels, which were used to assess 5aα-reductase activity, among the patients with PCOS, [standardized mean differences (SMD) =0.43, 95%confidence intervals (95%CI) =0.25-0.61, P &lt; 0.00001; SMD = 0.86, 95% CI = 0.29-1.44, P = 0.003]. We observed significant heterogeneity between studies for An/Et (I2 = 89% and P &lt; 0.00001). According to the group analysis, women with PCOS exhibited increased 5aα-reductase activity which was significantly associated with homeostasis model assessment of insulin resistance (HOMA-IR) regardless of obesity. Conclusions: 5aα-reductase activity was enhanced in women with PCOS. Increased 5aα-reductase activity in patients with PCOS was related to IR.&quot;,&quot;publisher&quot;:&quot;Reproductive Biology and Endocrinology&quot;,&quot;issue&quot;:&quot;1&quot;,&quot;volume&quot;:&quot;15&quot;},&quot;isTemporary&quot;:false}],&quot;properties&quot;:{&quot;noteIndex&quot;:0},&quot;isEdited&quot;:false,&quot;manualOverride&quot;:{&quot;isManuallyOverriden&quot;:false,&quot;citeprocText&quot;:&quot;&lt;sup&gt;15,20&lt;/sup&gt;&quot;,&quot;manualOverrideText&quot;:&quot;&quot;},&quot;citationTag&quot;:&quot;MENDELEY_CITATION_{\&quot;citationID\&quot;:\&quot;MENDELEY_CITATION_1ad24bd8-7c0a-450b-8153-56a5abf4186f\&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0a8790da-5eac-38ff-96e8-da5115387f40\&quot;,\&quot;itemData\&quot;:{\&quot;type\&quot;:\&quot;article-journal\&quot;,\&quot;id\&quot;:\&quot;0a8790da-5eac-38ff-96e8-da5115387f40\&quot;,\&quot;title\&quot;:\&quot;5aα-reductase activity in women with polycystic ovary syndrome: A systematic review and meta-analysis\&quot;,\&quot;author\&quot;:[{\&quot;family\&quot;:\&quot;Wu\&quot;,\&quot;given\&quot;:\&quot;Chuyan\&quot;,\&quot;parse-names\&quot;:false,\&quot;dropping-particle\&quot;:\&quot;\&quot;,\&quot;non-dropping-particle\&quot;:\&quot;\&quot;},{\&quot;family\&quot;:\&quot;Wei\&quot;,\&quot;given\&quot;:\&quot;Ke\&quot;,\&quot;parse-names\&quot;:false,\&quot;dropping-particle\&quot;:\&quot;\&quot;,\&quot;non-dropping-particle\&quot;:\&quot;\&quot;},{\&quot;family\&quot;:\&quot;Jiang\&quot;,\&quot;given\&quot;:\&quot;Zhongli\&quot;,\&quot;parse-names\&quot;:false,\&quot;dropping-particle\&quot;:\&quot;\&quot;,\&quot;non-dropping-particle\&quot;:\&quot;\&quot;}],\&quot;container-title\&quot;:\&quot;Reproductive Biology and Endocrinology\&quot;,\&quot;DOI\&quot;:\&quot;10.1186/s12958-017-0242-9\&quot;,\&quot;ISSN\&quot;:\&quot;14777827\&quot;,\&quot;PMID\&quot;:\&quot;28347315\&quot;,\&quot;issued\&quot;:{\&quot;date-parts\&quot;:[[2017]]},\&quot;page\&quot;:\&quot;1-9\&quot;,\&quot;abstract\&quot;:\&quot;Background: 5aα-reductase activity might be important during the development of polycystic ovary syndrome (PCOS). However, the changes of 5aα-reductase activity in PCOS subjects and the relationship between 5aα-reductase activity and body mass index (BMI), insulin resistance (IR) remain largely unknown. Methods: We performed a meta-analysis to examine 5aα-reductase activity in women with PCOS; exploratory subgroup analyses were also performed. Results: Five articles (with 356 cases and 236 controls) reporting 5aα-reductase activity in patients with PCOS were selected for the meta-analysis. We observed significantly higher ratios of 5aαTHF/THF (5aα-reduced tetrahydrocortisol to 5β-reduced tetrahydrocortisol) and An/Et (androsteroneto/etiocholanolone) levels, which were used to assess 5aα-reductase activity, among the patients with PCOS, [standardized mean differences (SMD) =0.43, 95%confidence intervals (95%CI) =0.25-0.61, P &lt; 0.00001; SMD = 0.86, 95% CI = 0.29-1.44, P = 0.003]. We observed significant heterogeneity between studies for An/Et (I2 = 89% and P &lt; 0.00001). According to the group analysis, women with PCOS exhibited increased 5aα-reductase activity which was significantly associated with homeostasis model assessment of insulin resistance (HOMA-IR) regardless of obesity. Conclusions: 5aα-reductase activity was enhanced in women with PCOS. Increased 5aα-reductase activity in patients with PCOS was related to IR.\&quot;,\&quot;publisher\&quot;:\&quot;Reproductive Biology and Endocrinology\&quot;,\&quot;issue\&quot;:\&quot;1\&quot;,\&quot;volume\&quot;:\&quot;15\&quot;},\&quot;isTemporary\&quot;:false}],\&quot;properties\&quot;:{\&quot;noteIndex\&quot;:0},\&quot;isEdited\&quot;:false,\&quot;manualOverride\&quot;:{\&quot;isManuallyOverriden\&quot;:false,\&quot;citeprocText\&quot;:\&quot;&lt;sup&gt;15,20&lt;/sup&gt;\&quot;,\&quot;manualOverrideText\&quot;:\&quot;\&quot;}}&quot;},{&quot;citationID&quot;:&quot;MENDELEY_CITATION_970ff9c0-5f91-49dc-8324-1c2e2d6bde9a&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9,15&lt;/sup&gt;&quot;,&quot;manualOverrideText&quot;:&quot;&quot;},&quot;citationTag&quot;:&quot;MENDELEY_CITATION_{\&quot;citationID\&quot;:\&quot;MENDELEY_CITATION_970ff9c0-5f91-49dc-8324-1c2e2d6bde9a\&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9,15&lt;/sup&gt;\&quot;,\&quot;manualOverrideText\&quot;:\&quot;\&quot;}}&quot;},{&quot;citationID&quot;:&quot;MENDELEY_CITATION_31d28d3c-ac6c-4c5d-b28b-05aca58b7d1b&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9,15&lt;/sup&gt;&quot;,&quot;manualOverrideText&quot;:&quot;&quot;},&quot;citationTag&quot;:&quot;MENDELEY_CITATION_{\&quot;citationID\&quot;:\&quot;MENDELEY_CITATION_31d28d3c-ac6c-4c5d-b28b-05aca58b7d1b\&quot;,\&quot;citationItems\&quot;:[{\&quot;id\&quot;:\&quot;0479e19b-aae2-3ce5-93f1-10a01b82d39a\&quot;,\&quot;itemData\&quot;:{\&quot;type\&quot;:\&quot;article-journal\&quot;,\&quot;id\&quot;:\&quot;0479e19b-aae2-3ce5-93f1-10a01b82d39a\&quot;,\&quot;title\&quot;:\&quot;Urine and Serum Sex Steroid Profile in Testosterone-Treated Transgender and Hypogonadal and Healthy Control Men\&quot;,\&quot;author\&quot;:[{\&quot;family\&quot;:\&quot;Savkovic\&quot;,\&quot;given\&quot;:\&quot;Sasha\&quot;,\&quot;parse-names\&quot;:false,\&quot;dropping-particle\&quot;:\&quot;\&quot;,\&quot;non-dropping-particle\&quot;:\&quot;\&quot;},{\&quot;family\&quot;:\&quot;Lim\&quot;,\&quot;given\&quot;:\&quot;Sarina\&quot;,\&quot;parse-names\&quot;:false,\&quot;dropping-particle\&quot;:\&quot;\&quot;,\&quot;non-dropping-particle\&quot;:\&quot;\&quot;},{\&quot;family\&quot;:\&quot;Jayadev\&quot;,\&quot;given\&quot;:\&quot;Veena\&quot;,\&quot;parse-names\&quot;:false,\&quot;dropping-particle\&quot;:\&quot;\&quot;,\&quot;non-dropping-particle\&quot;:\&quot;\&quot;},{\&quot;family\&quot;:\&quot;Conway\&quot;,\&quot;given\&quot;:\&quot;Ann\&quot;,\&quot;parse-names\&quot;:false,\&quot;dropping-particle\&quot;:\&quot;\&quot;,\&quot;non-dropping-particle\&quot;:\&quot;\&quot;},{\&quot;family\&quot;:\&quot;Turner\&quot;,\&quot;given\&quot;:\&quot;Leo\&quot;,\&quot;parse-names\&quot;:false,\&quot;dropping-particle\&quot;:\&quot;\&quot;,\&quot;non-dropping-particle\&quot;:\&quot;\&quot;},{\&quot;family\&quot;:\&quot;Curtis\&quot;,\&quot;given\&quot;:\&quot;Douglas\&quot;,\&quot;parse-names\&quot;:false,\&quot;dropping-particle\&quot;:\&quot;\&quot;,\&quot;non-dropping-particle\&quot;:\&quot;\&quot;},{\&quot;family\&quot;:\&quot;Goebel\&quot;,\&quot;given\&quot;:\&quot;Catrin\&quot;,\&quot;parse-names\&quot;:false,\&quot;dropping-particle\&quot;:\&quot;\&quot;,\&quot;non-dropping-particle\&quot;:\&quot;\&quot;},{\&quot;family\&quot;:\&quot;Handelsman\&quot;,\&quot;given\&quot;:\&quot;David J.\&quot;,\&quot;parse-names\&quot;:false,\&quot;dropping-particle\&quot;:\&quot;\&quot;,\&quot;non-dropping-particle\&quot;:\&quot;\&quot;}],\&quot;container-title\&quot;:\&quot;Journal of Clinical Endocrinology and Metabolism\&quot;,\&quot;accessed\&quot;:{\&quot;date-parts\&quot;:[[2020,10,12]]},\&quot;DOI\&quot;:\&quot;10.1210/jc.2018-00054\&quot;,\&quot;ISSN\&quot;:\&quot;19457197\&quot;,\&quot;PMID\&quot;:\&quot;29584875\&quot;,\&quot;URL\&quot;:\&quot;https://pubmed.ncbi.nlm.nih.gov/29584875/\&quot;,\&quot;issued\&quot;:{\&quot;date-parts\&quot;:[[2018,6,1]]},\&quot;page\&quot;:\&quot;2277-2283\&quot;,\&quot;abstract\&quot;:\&quot;Background The impact of testosterone (T) treatment on antidoping detection tests in feMale-to-Male (F2M) transgender men is unknown. We investigated urine and serum sex steroid and luteinizing hormone (LH) profiles in T-treated F2M men to determine whether and, if so, how they differed from hypogonadal and healthy control men. Method Healthy transgender (n = 23) and hypogonadal (n = 24) men aged 18 to 50 years treated with 1000 mg injectable T undecanoate provided trough urine and blood samples and an additional earlier postinjection sample (n = 21). Healthy control men (n = 20) provided a single blood and urine sample. Steroids were measured by mass spectrometry-based methods in urine and serum, LH by immunoassay, and uridine 5′-diphospho-glucuronosyltransferase 2B17 genotype by polymerase chain reaction. Results Urine LH, human chorionic gonadotropin, T, epitestosterone (EpiT), androsterone (A), etiocholanolone (Etio), A/Etio ratio, dehydroepiandrosterone (DHEA), dihydrotestosterone (DHT), and 5α,3α- and 5β,3α-androstanediols did not differ between groups or by time since last T injection. Urine T/EpiT ratio was &lt;4 in all controls and 12/68 (18%) samples from T-treated men, but there was no difference between T-treated groups. Serum estradiol, estrone, and DHEA were higher in transgender men, and serum T and DHT were higher in earlier compared with trough blood samples, but serum LH, follicle-stimulating hormone, and 3α- and 3β,5α-diols did not differ between groups. Conclusion Urine antidoping detection tests in T-treated transgender men can be interpreted like those of T-treated hypogonadal men and are unaffected by time since last T dose. Serum steroids are more sensitive to detect exogenous T administration early but not later after the last T dose.\&quot;,\&quot;publisher\&quot;:\&quot;Oxford University Press\&quot;,\&quot;issue\&quot;:\&quot;6\&quot;,\&quot;volume\&quot;:\&quot;103\&quot;},\&quot;isTemporary\&quot;:false},{\&quot;id\&quot;:\&quot;d67f1e92-ba79-3820-841d-fe687702582b\&quot;,\&quot;itemData\&quot;:{\&quot;type\&quot;:\&quot;article-journal\&quot;,\&quot;id\&quot;:\&quot;d67f1e92-ba79-3820-841d-fe687702582b\&quot;,\&quot;title\&quot;:\&quot;Urinary steroid profiling in women hints at a diagnostic signature of the polycystic ovary syndrome: A pilot study considering neglected steroid metabolites\&quot;,\&quot;author\&quot;:[{\&quot;family\&quot;:\&quot;Dhayat\&quot;,\&quot;given\&quot;:\&quot;Nasser A.\&quot;,\&quot;parse-names\&quot;:false,\&quot;dropping-particle\&quot;:\&quot;\&quot;,\&quot;non-dropping-particle\&quot;:\&quot;\&quot;},{\&quot;family\&quot;:\&quot;Marti\&quot;,\&quot;given\&quot;:\&quot;Nesa\&quot;,\&quot;parse-names\&quot;:false,\&quot;dropping-particle\&quot;:\&quot;\&quot;,\&quot;non-dropping-particle\&quot;:\&quot;\&quot;},{\&quot;family\&quot;:\&quot;Kollmann\&quot;,\&quot;given\&quot;:\&quot;Zahraa\&quot;,\&quot;parse-names\&quot;:false,\&quot;dropping-particle\&quot;:\&quot;\&quot;,\&quot;non-dropping-particle\&quot;:\&quot;\&quot;},{\&quot;family\&quot;:\&quot;Troendle\&quot;,\&quot;given\&quot;:\&quot;Amineh\&quot;,\&quot;parse-names\&quot;:false,\&quot;dropping-particle\&quot;:\&quot;\&quot;,\&quot;non-dropping-particle\&quot;:\&quot;\&quot;},{\&quot;family\&quot;:\&quot;Bally\&quot;,\&quot;given\&quot;:\&quot;Lia\&quot;,\&quot;parse-names\&quot;:false,\&quot;dropping-particle\&quot;:\&quot;\&quot;,\&quot;non-dropping-particle\&quot;:\&quot;\&quot;},{\&quot;family\&quot;:\&quot;Escher\&quot;,\&quot;given\&quot;:\&quot;Geneviève\&quot;,\&quot;parse-names\&quot;:false,\&quot;dropping-particle\&quot;:\&quot;\&quot;,\&quot;non-dropping-particle\&quot;:\&quot;\&quot;},{\&quot;family\&quot;:\&quot;Grössl\&quot;,\&quot;given\&quot;:\&quot;Michael\&quot;,\&quot;parse-names\&quot;:false,\&quot;dropping-particle\&quot;:\&quot;\&quot;,\&quot;non-dropping-particle\&quot;:\&quot;\&quot;},{\&quot;family\&quot;:\&quot;Ackermann\&quot;,\&quot;given\&quot;:\&quot;Daniel\&quot;,\&quot;parse-names\&quot;:false,\&quot;dropping-particle\&quot;:\&quot;\&quot;,\&quot;non-dropping-particle\&quot;:\&quot;\&quot;},{\&quot;family\&quot;:\&quot;Ponte\&quot;,\&quot;given\&quot;:\&quot;Belen\&quot;,\&quot;parse-names\&quot;:false,\&quot;dropping-particle\&quot;:\&quot;\&quot;,\&quot;non-dropping-particle\&quot;:\&quot;\&quot;},{\&quot;family\&quot;:\&quot;Pruijm\&quot;,\&quot;given\&quot;:\&quot;Menno\&quot;,\&quot;parse-names\&quot;:false,\&quot;dropping-particle\&quot;:\&quot;\&quot;,\&quot;non-dropping-particle\&quot;:\&quot;\&quot;},{\&quot;family\&quot;:\&quot;Müller\&quot;,\&quot;given\&quot;:\&quot;Michael\&quot;,\&quot;parse-names\&quot;:false,\&quot;dropping-particle\&quot;:\&quot;\&quot;,\&quot;non-dropping-particle\&quot;:\&quot;\&quot;},{\&quot;family\&quot;:\&quot;Vogt\&quot;,\&quot;given\&quot;:\&quot;Bruno\&quot;,\&quot;parse-names\&quot;:false,\&quot;dropping-particle\&quot;:\&quot;\&quot;,\&quot;non-dropping-particle\&quot;:\&quot;\&quot;},{\&quot;family\&quot;:\&quot;Birkhaüser\&quot;,\&quot;given\&quot;:\&quot;Martin H.\&quot;,\&quot;parse-names\&quot;:false,\&quot;dropping-particle\&quot;:\&quot;\&quot;,\&quot;non-dropping-particle\&quot;:\&quot;\&quot;},{\&quot;family\&quot;:\&quot;Bochud\&quot;,\&quot;given\&quot;:\&quot;Murielle\&quot;,\&quot;parse-names\&quot;:false,\&quot;dropping-particle\&quot;:\&quot;\&quot;,\&quot;non-dropping-particle\&quot;:\&quot;\&quot;},{\&quot;family\&quot;:\&quot;Flück\&quot;,\&quot;given\&quot;:\&quot;Christa E.\&quot;,\&quot;parse-names\&quot;:false,\&quot;dropping-particle\&quot;:\&quot;\&quot;,\&quot;non-dropping-particle\&quot;:\&quot;\&quot;}],\&quot;container-title\&quot;:\&quot;PLoS ONE\&quot;,\&quot;DOI\&quot;:\&quot;10.1371/journal.pone.0203903\&quot;,\&quot;ISBN\&quot;:\&quot;1111111111\&quot;,\&quot;ISSN\&quot;:\&quot;19326203\&quot;,\&quot;PMID\&quot;:\&quot;30308019\&quot;,\&quot;issued\&quot;:{\&quot;date-parts\&quot;:[[2018]]},\&quot;page\&quot;:\&quot;1-15\&quot;,\&quot;abstract\&quot;:\&quot;Background Although the polycystic ovary syndrome (PCOS) is the most common endocrine disorder in women with vast metabolic consequences, its etiology remains unknown and its diagnosis is still made by exclusion. This study aimed at characterizing a large number of urinary steroid hormone metabolites and enzyme activities in women with and without PCOS in order to test their value for diagnosing PCOS. Methods Comparative steroid profiling of 24h urine collections using an established in-house gaschromatography mass spectrometry method. Data were collected mostly prospectively. Patients were recruited in university hospitals in Switzerland. Participants were 41 women diagnosed with PCOS according to the current criteria of the Androgen Excess and PCOS Society Task Force and 66 healthy controls. Steroid profiles of women with PCOS were compared to healthy controls for absolute metabolite excretion and for substrate to product conversion ratios. The AUC for over 1.5 million combinations of metabolites was calculated in order to maximize the diagnostic accuracy in patients with PCOS. Sensitivity, specificity, PPV, and NPV were indicated for the best combinations containing 2, 3 or 4 steroid metabolites. Results The best single discriminating steroid was androstanediol. The best combination to diagnose PCOS contained four of the forty measured metabolites, namely androstanediol, estriol, cortisol and 20βDHcortisone with AUC 0.961 (95% CI 0.926 to 0.995), sensitivity 90.2% (95% CI 76.9 to 97.3), specificity 90.8% (95% CI 81.0 to 96.5), PPV 86.0% (95% CI 72.1 to 94.7), and NPV 93.7% (95% CI 84.5 to 98.2). Conclusion PCOS shows a specific 24h urinary steroid profile, if neglected metabolites are included in the analysis and non-conventional data analysis applied. PCOS does not share a profile with hyperandrogenic forms of congenital adrenal hyperplasias due to single steroid enzyme deficiencies. Thus PCOS diagnosis by exclusion may no longer be warranted. Whether these findings also apply to spot urine and serum, remains to be tested as a next step towards routine clinical applicability. Copyright:\&quot;,\&quot;issue\&quot;:\&quot;10\&quot;,\&quot;volume\&quot;:\&quot;13\&quot;},\&quot;isTemporary\&quot;:false}],\&quot;properties\&quot;:{\&quot;noteIndex\&quot;:0},\&quot;isEdited\&quot;:false,\&quot;manualOverride\&quot;:{\&quot;isManuallyOverriden\&quot;:false,\&quot;citeprocText\&quot;:\&quot;&lt;sup&gt;9,15&lt;/sup&gt;\&quot;,\&quot;manualOverrideText\&quot;:\&quot;\&quot;}}&quot;},{&quot;citationID&quot;:&quot;MENDELEY_CITATION_9e6cfb78-3a64-447e-8689-f1e0c289f1f6&quot;,&quot;citationItems&quot;:[{&quot;id&quot;:&quot;dea2235d-2e23-3ef3-80aa-b943bd9c953d&quot;,&quot;itemData&quot;:{&quot;type&quot;:&quot;article&quot;,&quot;id&quot;:&quot;dea2235d-2e23-3ef3-80aa-b943bd9c953d&quot;,&quot;title&quot;:&quot;Hirsutism.&quot;,&quot;author&quot;:[{&quot;family&quot;:&quot;Mauvais-Jarvis&quot;,&quot;given&quot;:&quot;P.&quot;,&quot;parse-names&quot;:false,&quot;dropping-particle&quot;:&quot;&quot;,&quot;non-dropping-particle&quot;:&quot;&quot;},{&quot;family&quot;:&quot;Kuttenn&quot;,&quot;given&quot;:&quot;F.&quot;,&quot;parse-names&quot;:false,&quot;dropping-particle&quot;:&quot;&quot;,&quot;non-dropping-particle&quot;:&quot;&quot;},{&quot;family&quot;:&quot;Mowszowicz&quot;,&quot;given&quot;:&quot;I.&quot;,&quot;parse-names&quot;:false,&quot;dropping-particle&quot;:&quot;&quot;,&quot;non-dropping-particle&quot;:&quot;&quot;}],&quot;container-title&quot;:&quot;Monographs on endocrinology&quot;,&quot;accessed&quot;:{&quot;date-parts&quot;:[[2020,10,12]]},&quot;ISSN&quot;:&quot;00771015&quot;,&quot;PMID&quot;:&quot;6454061&quot;,&quot;URL&quot;:&quot;https://pubmed.ncbi.nlm.nih.gov/6454061/&quot;,&quot;issued&quot;:{&quot;date-parts&quot;:[[1981]]},&quot;page&quot;:&quot;1-116&quot;,&quot;publisher&quot;:&quot;Monogr Endocrinol&quot;,&quot;volume&quot;:&quot;19&quot;},&quot;isTemporary&quot;:false},{&quot;id&quot;:&quot;3e3e374a-ff91-3eb7-a400-4f279bc2c431&quot;,&quot;itemData&quot;:{&quot;type&quot;:&quot;article-journal&quot;,&quot;id&quot;:&quot;3e3e374a-ff91-3eb7-a400-4f279bc2c431&quot;,&quot;title&quot;:&quot;Low DHEAS: A sensitive and specific test for the detection of subclinical hypercortisolism in adrenal incidentalomas&quot;,&quot;author&quot;:[{&quot;family&quot;:&quot;Dennedy&quot;,&quot;given&quot;:&quot;M. Conall&quot;,&quot;parse-names&quot;:false,&quot;dropping-particle&quot;:&quot;&quot;,&quot;non-dropping-particle&quot;:&quot;&quot;},{&quot;family&quot;:&quot;Annamalai&quot;,&quot;given&quot;:&quot;Anand K.&quot;,&quot;parse-names&quot;:false,&quot;dropping-particle&quot;:&quot;&quot;,&quot;non-dropping-particle&quot;:&quot;&quot;},{&quot;family&quot;:&quot;Prankerd-Smith&quot;,&quot;given&quot;:&quot;Olivia&quot;,&quot;parse-names&quot;:false,&quot;dropping-particle&quot;:&quot;&quot;,&quot;non-dropping-particle&quot;:&quot;&quot;},{&quot;family&quot;:&quot;Freeman&quot;,&quot;given&quot;:&quot;Natalie&quot;,&quot;parse-names&quot;:false,&quot;dropping-particle&quot;:&quot;&quot;,&quot;non-dropping-particle&quot;:&quot;&quot;},{&quot;family&quot;:&quot;Vengopal&quot;,&quot;given&quot;:&quot;Kuhan&quot;,&quot;parse-names&quot;:false,&quot;dropping-particle&quot;:&quot;&quot;,&quot;non-dropping-particle&quot;:&quot;&quot;},{&quot;family&quot;:&quot;Graggaber&quot;,&quot;given&quot;:&quot;Johann&quot;,&quot;parse-names&quot;:false,&quot;dropping-particle&quot;:&quot;&quot;,&quot;non-dropping-particle&quot;:&quot;&quot;},{&quot;family&quot;:&quot;Koulouri&quot;,&quot;given&quot;:&quot;Olympia&quot;,&quot;parse-names&quot;:false,&quot;dropping-particle&quot;:&quot;&quot;,&quot;non-dropping-particle&quot;:&quot;&quot;},{&quot;family&quot;:&quot;Powlson&quot;,&quot;given&quot;:&quot;Andrew S.&quot;,&quot;parse-names&quot;:false,&quot;dropping-particle&quot;:&quot;&quot;,&quot;non-dropping-particle&quot;:&quot;&quot;},{&quot;family&quot;:&quot;Shaw&quot;,&quot;given&quot;:&quot;Ashley&quot;,&quot;parse-names&quot;:false,&quot;dropping-particle&quot;:&quot;&quot;,&quot;non-dropping-particle&quot;:&quot;&quot;},{&quot;family&quot;:&quot;Halsall&quot;,&quot;given&quot;:&quot;David J.&quot;,&quot;parse-names&quot;:false,&quot;dropping-particle&quot;:&quot;&quot;,&quot;non-dropping-particle&quot;:&quot;&quot;},{&quot;family&quot;:&quot;Gurnell&quot;,&quot;given&quot;:&quot;Mark&quot;,&quot;parse-names&quot;:false,&quot;dropping-particle&quot;:&quot;&quot;,&quot;non-dropping-particle&quot;:&quot;&quot;}],&quot;container-title&quot;:&quot;Journal of Clinical Endocrinology and Metabolism&quot;,&quot;accessed&quot;:{&quot;date-parts&quot;:[[2020,10,12]]},&quot;DOI&quot;:&quot;10.1210/jc.2016-2718&quot;,&quot;ISSN&quot;:&quot;19457197&quot;,&quot;PMID&quot;:&quot;27797672&quot;,&quot;URL&quot;:&quot;https://pubmed.ncbi.nlm.nih.gov/27797672/&quot;,&quot;issued&quot;:{&quot;date-parts&quot;:[[2017,3,1]]},&quot;page&quot;:&quot;786-792&quot;,&quot;abstract&quot;:&quot;Context: Subclinical hypercortisolism (SH) occurs in 5% to 30% of adrenal incidentalomas (AIs). Common screening tests for adrenocorticotropin-independent hypercortisolism have substantial false-positive rates, mandating further time and resource-intensive investigations. Objective: To determine whether low basal dehydroepiandrosterone sulfate (DHEAS) is a sensitive and specific screening test for SH in AI. Setting and Patients: In total, 185 patients with AI were screened for adrenal medullary (plasma metanephrines) and cortical [1 mg overnight dexamethasone suppression test (ONDST), 24-hour urinary free cortisol (UFC), serum DHEAS, plasma renin, and aldosterone] hyperfunction. Positive ONDST [1.8 mcg/dL (50 nmol/L)] and/or UFC (more than the upper limit of reference range) results were further investigated. We diagnosed SH when at least 2 of the following were met: raised UFC, raised midnight serum cortisol, 48-hour dexamethasone suppression test (DST) cortisol 1.8 mcg/dL (50 nmol/L). Results: 29 patients (16%)werediagnosedwith SH.Adrenocorticotropinwas,10 pg/mL (,2.2 pmol/L) in all patients with SH. We calculated age-and sex-specific DHEAS ratios (derived by dividing the DHEAS by the lower limit of the respective reference range) for all patients. Receiver operating characteristic curve analyses demonstrated that a ratio of 1.12 was sensitive (.99%) and specific (91.9%) for the diagnosis of SH. Cortisol following 1 mg ONDST of 1.9 mcg/dL (53 nmol/L) was a sensitive (.99%) screening test for SH but had lower specificity (82.9%). The 24-hour UFC lacked sensitivity (69%) and specificity (72%). Conclusion: A single basal measurement of DHEAS offers comparable sensitivity and greater specificity to the existing gold-standard 1mg DST for the detection of SH in patients with AIs.&quot;,&quot;publisher&quot;:&quot;Endocrine Society&quot;,&quot;issue&quot;:&quot;3&quot;,&quot;volume&quot;:&quot;102&quot;},&quot;isTemporary&quot;:false}],&quot;properties&quot;:{&quot;noteIndex&quot;:0},&quot;isEdited&quot;:false,&quot;manualOverride&quot;:{&quot;isManuallyOverriden&quot;:false,&quot;citeprocText&quot;:&quot;&lt;sup&gt;19,21&lt;/sup&gt;&quot;,&quot;manualOverrideText&quot;:&quot;&quot;},&quot;citationTag&quot;:&quot;MENDELEY_CITATION_{\&quot;citationID\&quot;:\&quot;MENDELEY_CITATION_9e6cfb78-3a64-447e-8689-f1e0c289f1f6\&quot;,\&quot;citationItems\&quot;:[{\&quot;id\&quot;:\&quot;dea2235d-2e23-3ef3-80aa-b943bd9c953d\&quot;,\&quot;itemData\&quot;:{\&quot;type\&quot;:\&quot;article\&quot;,\&quot;id\&quot;:\&quot;dea2235d-2e23-3ef3-80aa-b943bd9c953d\&quot;,\&quot;title\&quot;:\&quot;Hirsutism.\&quot;,\&quot;author\&quot;:[{\&quot;family\&quot;:\&quot;Mauvais-Jarvis\&quot;,\&quot;given\&quot;:\&quot;P.\&quot;,\&quot;parse-names\&quot;:false,\&quot;dropping-particle\&quot;:\&quot;\&quot;,\&quot;non-dropping-particle\&quot;:\&quot;\&quot;},{\&quot;family\&quot;:\&quot;Kuttenn\&quot;,\&quot;given\&quot;:\&quot;F.\&quot;,\&quot;parse-names\&quot;:false,\&quot;dropping-particle\&quot;:\&quot;\&quot;,\&quot;non-dropping-particle\&quot;:\&quot;\&quot;},{\&quot;family\&quot;:\&quot;Mowszowicz\&quot;,\&quot;given\&quot;:\&quot;I.\&quot;,\&quot;parse-names\&quot;:false,\&quot;dropping-particle\&quot;:\&quot;\&quot;,\&quot;non-dropping-particle\&quot;:\&quot;\&quot;}],\&quot;container-title\&quot;:\&quot;Monographs on endocrinology\&quot;,\&quot;accessed\&quot;:{\&quot;date-parts\&quot;:[[2020,10,12]]},\&quot;ISSN\&quot;:\&quot;00771015\&quot;,\&quot;PMID\&quot;:\&quot;6454061\&quot;,\&quot;URL\&quot;:\&quot;https://pubmed.ncbi.nlm.nih.gov/6454061/\&quot;,\&quot;issued\&quot;:{\&quot;date-parts\&quot;:[[1981]]},\&quot;page\&quot;:\&quot;1-116\&quot;,\&quot;publisher\&quot;:\&quot;Monogr Endocrinol\&quot;,\&quot;volume\&quot;:\&quot;19\&quot;},\&quot;isTemporary\&quot;:false},{\&quot;id\&quot;:\&quot;3e3e374a-ff91-3eb7-a400-4f279bc2c431\&quot;,\&quot;itemData\&quot;:{\&quot;type\&quot;:\&quot;article-journal\&quot;,\&quot;id\&quot;:\&quot;3e3e374a-ff91-3eb7-a400-4f279bc2c431\&quot;,\&quot;title\&quot;:\&quot;Low DHEAS: A sensitive and specific test for the detection of subclinical hypercortisolism in adrenal incidentalomas\&quot;,\&quot;author\&quot;:[{\&quot;family\&quot;:\&quot;Dennedy\&quot;,\&quot;given\&quot;:\&quot;M. Conall\&quot;,\&quot;parse-names\&quot;:false,\&quot;dropping-particle\&quot;:\&quot;\&quot;,\&quot;non-dropping-particle\&quot;:\&quot;\&quot;},{\&quot;family\&quot;:\&quot;Annamalai\&quot;,\&quot;given\&quot;:\&quot;Anand K.\&quot;,\&quot;parse-names\&quot;:false,\&quot;dropping-particle\&quot;:\&quot;\&quot;,\&quot;non-dropping-particle\&quot;:\&quot;\&quot;},{\&quot;family\&quot;:\&quot;Prankerd-Smith\&quot;,\&quot;given\&quot;:\&quot;Olivia\&quot;,\&quot;parse-names\&quot;:false,\&quot;dropping-particle\&quot;:\&quot;\&quot;,\&quot;non-dropping-particle\&quot;:\&quot;\&quot;},{\&quot;family\&quot;:\&quot;Freeman\&quot;,\&quot;given\&quot;:\&quot;Natalie\&quot;,\&quot;parse-names\&quot;:false,\&quot;dropping-particle\&quot;:\&quot;\&quot;,\&quot;non-dropping-particle\&quot;:\&quot;\&quot;},{\&quot;family\&quot;:\&quot;Vengopal\&quot;,\&quot;given\&quot;:\&quot;Kuhan\&quot;,\&quot;parse-names\&quot;:false,\&quot;dropping-particle\&quot;:\&quot;\&quot;,\&quot;non-dropping-particle\&quot;:\&quot;\&quot;},{\&quot;family\&quot;:\&quot;Graggaber\&quot;,\&quot;given\&quot;:\&quot;Johann\&quot;,\&quot;parse-names\&quot;:false,\&quot;dropping-particle\&quot;:\&quot;\&quot;,\&quot;non-dropping-particle\&quot;:\&quot;\&quot;},{\&quot;family\&quot;:\&quot;Koulouri\&quot;,\&quot;given\&quot;:\&quot;Olympia\&quot;,\&quot;parse-names\&quot;:false,\&quot;dropping-particle\&quot;:\&quot;\&quot;,\&quot;non-dropping-particle\&quot;:\&quot;\&quot;},{\&quot;family\&quot;:\&quot;Powlson\&quot;,\&quot;given\&quot;:\&quot;Andrew S.\&quot;,\&quot;parse-names\&quot;:false,\&quot;dropping-particle\&quot;:\&quot;\&quot;,\&quot;non-dropping-particle\&quot;:\&quot;\&quot;},{\&quot;family\&quot;:\&quot;Shaw\&quot;,\&quot;given\&quot;:\&quot;Ashley\&quot;,\&quot;parse-names\&quot;:false,\&quot;dropping-particle\&quot;:\&quot;\&quot;,\&quot;non-dropping-particle\&quot;:\&quot;\&quot;},{\&quot;family\&quot;:\&quot;Halsall\&quot;,\&quot;given\&quot;:\&quot;David J.\&quot;,\&quot;parse-names\&quot;:false,\&quot;dropping-particle\&quot;:\&quot;\&quot;,\&quot;non-dropping-particle\&quot;:\&quot;\&quot;},{\&quot;family\&quot;:\&quot;Gurnell\&quot;,\&quot;given\&quot;:\&quot;Mark\&quot;,\&quot;parse-names\&quot;:false,\&quot;dropping-particle\&quot;:\&quot;\&quot;,\&quot;non-dropping-particle\&quot;:\&quot;\&quot;}],\&quot;container-title\&quot;:\&quot;Journal of Clinical Endocrinology and Metabolism\&quot;,\&quot;accessed\&quot;:{\&quot;date-parts\&quot;:[[2020,10,12]]},\&quot;DOI\&quot;:\&quot;10.1210/jc.2016-2718\&quot;,\&quot;ISSN\&quot;:\&quot;19457197\&quot;,\&quot;PMID\&quot;:\&quot;27797672\&quot;,\&quot;URL\&quot;:\&quot;https://pubmed.ncbi.nlm.nih.gov/27797672/\&quot;,\&quot;issued\&quot;:{\&quot;date-parts\&quot;:[[2017,3,1]]},\&quot;page\&quot;:\&quot;786-792\&quot;,\&quot;abstract\&quot;:\&quot;Context: Subclinical hypercortisolism (SH) occurs in 5% to 30% of adrenal incidentalomas (AIs). Common screening tests for adrenocorticotropin-independent hypercortisolism have substantial false-positive rates, mandating further time and resource-intensive investigations. Objective: To determine whether low basal dehydroepiandrosterone sulfate (DHEAS) is a sensitive and specific screening test for SH in AI. Setting and Patients: In total, 185 patients with AI were screened for adrenal medullary (plasma metanephrines) and cortical [1 mg overnight dexamethasone suppression test (ONDST), 24-hour urinary free cortisol (UFC), serum DHEAS, plasma renin, and aldosterone] hyperfunction. Positive ONDST [1.8 mcg/dL (50 nmol/L)] and/or UFC (more than the upper limit of reference range) results were further investigated. We diagnosed SH when at least 2 of the following were met: raised UFC, raised midnight serum cortisol, 48-hour dexamethasone suppression test (DST) cortisol 1.8 mcg/dL (50 nmol/L). Results: 29 patients (16%)werediagnosedwith SH.Adrenocorticotropinwas,10 pg/mL (,2.2 pmol/L) in all patients with SH. We calculated age-and sex-specific DHEAS ratios (derived by dividing the DHEAS by the lower limit of the respective reference range) for all patients. Receiver operating characteristic curve analyses demonstrated that a ratio of 1.12 was sensitive (.99%) and specific (91.9%) for the diagnosis of SH. Cortisol following 1 mg ONDST of 1.9 mcg/dL (53 nmol/L) was a sensitive (.99%) screening test for SH but had lower specificity (82.9%). The 24-hour UFC lacked sensitivity (69%) and specificity (72%). Conclusion: A single basal measurement of DHEAS offers comparable sensitivity and greater specificity to the existing gold-standard 1mg DST for the detection of SH in patients with AIs.\&quot;,\&quot;publisher\&quot;:\&quot;Endocrine Society\&quot;,\&quot;issue\&quot;:\&quot;3\&quot;,\&quot;volume\&quot;:\&quot;102\&quot;},\&quot;isTemporary\&quot;:false}],\&quot;properties\&quot;:{\&quot;noteIndex\&quot;:0},\&quot;isEdited\&quot;:false,\&quot;manualOverride\&quot;:{\&quot;isManuallyOverriden\&quot;:false,\&quot;citeprocText\&quot;:\&quot;&lt;sup&gt;19,21&lt;/sup&gt;\&quot;,\&quot;manualOverrideText\&quot;:\&quot;\&quot;}}&quot;},{&quot;citationID&quot;:&quot;MENDELEY_CITATION_215968b9-d4e8-41e0-980f-77f189c80d5f&quot;,&quot;citationItems&quot;:[{&quot;id&quot;:&quot;6a6420c3-f34d-3134-9e22-c2baad312e5b&quot;,&quot;itemData&quot;:{&quot;type&quot;:&quot;article-journal&quot;,&quot;id&quot;:&quot;6a6420c3-f34d-3134-9e22-c2baad312e5b&quot;,&quot;title&quot;:&quot;Prediction of nocturnal plasma melatonin from morning urinary measures&quot;,&quot;author&quot;:[{&quot;family&quot;:&quot;Graham&quot;,&quot;given&quot;:&quot;Charles&quot;,&quot;parse-names&quot;:false,&quot;dropping-particle&quot;:&quot;&quot;,&quot;non-dropping-particle&quot;:&quot;&quot;},{&quot;family&quot;:&quot;Cook&quot;,&quot;given&quot;:&quot;Mary R.&quot;,&quot;parse-names&quot;:false,&quot;dropping-particle&quot;:&quot;&quot;,&quot;non-dropping-particle&quot;:&quot;&quot;},{&quot;family&quot;:&quot;Kavet&quot;,&quot;given&quot;:&quot;Robert&quot;,&quot;parse-names&quot;:false,&quot;dropping-particle&quot;:&quot;&quot;,&quot;non-dropping-particle&quot;:&quot;&quot;},{&quot;family&quot;:&quot;Sastre&quot;,&quot;given&quot;:&quot;Antonio&quot;,&quot;parse-names&quot;:false,&quot;dropping-particle&quot;:&quot;&quot;,&quot;non-dropping-particle&quot;:&quot;&quot;},{&quot;family&quot;:&quot;Smith&quot;,&quot;given&quot;:&quot;Deborah K.&quot;,&quot;parse-names&quot;:false,&quot;dropping-particle&quot;:&quot;&quot;,&quot;non-dropping-particle&quot;:&quot;&quot;}],&quot;container-title&quot;:&quot;Journal of Pineal Research&quot;,&quot;DOI&quot;:&quot;10.1111/j.1600-079X.1998.tb00538.x&quot;,&quot;ISSN&quot;:&quot;07423098&quot;,&quot;PMID&quot;:&quot;9572533&quot;,&quot;issued&quot;:{&quot;date-parts&quot;:[[1998]]},&quot;page&quot;:&quot;230-238&quot;,&quot;abstract&quot;:&quot;A growing literature indicates that blood levels of the hormone melatonin may have important implications for human health and well-being. Melatonin is synthesized and released into the general circulation at night, however, and it is seldom feasible to draw blood samples at night in epidemiological studies. There is some evidence that levels of urinary melatonin and of 6-sulfatoxymelatonin (aMT6s), the major metabolite of melatonin, accurately reflect nocturnal plasma melatonin. If this is the case, urinary assays could be powerful tools for epidemiological studies. A laboratory-based study was performed to examine the relationships between nocturnal plasma melatonin, morning urinary melatonin, and morning urinary aMT6s levels in 78 men. The relationship between total nocturnal plasma melatonin and both urinary aMT6s corrected for creatinine and urinary melatonin is significant. Combining the two urinary measures accounts for 72% of the variance in total plasma melatonin. Peak nocturnal plasma melatonin also was significantly related to urinary melatonin and to aMT6s. The urinary measures show good sensitivity and specificity in identifying individual differences in nocturnal plasma melatonin levels. These results support the inclusion of morning urine samples to assess the contribution of the hormone melatonin in occupational or residential studies involving healthy, young men.&quot;,&quot;issue&quot;:&quot;4&quot;,&quot;volume&quot;:&quot;24&quot;},&quot;isTemporary&quot;:false},{&quot;id&quot;:&quot;9faf736e-c3db-395e-a34d-43cad32a6cbd&quot;,&quot;itemData&quot;:{&quot;type&quot;:&quot;article-journal&quot;,&quot;id&quot;:&quot;9faf736e-c3db-395e-a34d-43cad32a6cbd&quot;,&quot;title&quot;:&quot;Urinary melatonin levels and breast cancer risk&quot;,&quot;author&quot;:[{&quot;family&quot;:&quot;Schernhammer&quot;,&quot;given&quot;:&quot;Eva S.&quot;,&quot;parse-names&quot;:false,&quot;dropping-particle&quot;:&quot;&quot;,&quot;non-dropping-particle&quot;:&quot;&quot;},{&quot;family&quot;:&quot;Hankinson&quot;,&quot;given&quot;:&quot;Susan E.&quot;,&quot;parse-names&quot;:false,&quot;dropping-particle&quot;:&quot;&quot;,&quot;non-dropping-particle&quot;:&quot;&quot;}],&quot;container-title&quot;:&quot;Journal of the National Cancer Institute&quot;,&quot;DOI&quot;:&quot;10.1093/jnci/dji190&quot;,&quot;ISSN&quot;:&quot;00278874&quot;,&quot;PMID&quot;:&quot;16030307&quot;,&quot;issued&quot;:{&quot;date-parts&quot;:[[2005]]},&quot;page&quot;:&quot;1084-1087&quot;,&quot;abstract&quot;:&quot;Exposure to light at night suppresses melatonin production, and night-shift work (a surrogate for such exposure) has been associated with an increased risk of breast cancer. However, the association between circulating melatonin levels and breast cancer risk is unclear. In a prospective case-control study nested within the Nurses' Health Study II cohort, we measured the concentration of the major melatonin metabolite, 6-sulphatoxymelatonin (aMT6s), in the first morning urine of 147 women with invasive breast cancer and 291 matched control subjects. In logistic regression models, the relative risk (reported as the odds ratio [OR]) of invasive breast cancer for women in the highest quartile of urinary aMT6s compared with those in the lowest was 0.59 (95% confidence interval [CI] = 0.36 to 0.97). This association was essentially unchanged after adjustment for breast cancer risk factors or plasma sex hormone levels but was slightly weakened when the analysis included 43 case patients with in situ breast cancer and their 85 matched control subjects (OR = 0.70, 95% CI = 0.47 to 1.06). The exclusion of women who had a history of night-shift work left our findings largely unchanged. These prospective data support the hypothesis that higher melatonin levels, as measured in first morning urine, are associated with a lower risk of breast cancer. © The Author 2005. Published by Oxford University Press. All rights reserved.&quot;,&quot;issue&quot;:&quot;14&quot;,&quot;volume&quot;:&quot;97&quot;},&quot;isTemporary&quot;:false}],&quot;properties&quot;:{&quot;noteIndex&quot;:0},&quot;isEdited&quot;:false,&quot;manualOverride&quot;:{&quot;isManuallyOverriden&quot;:false,&quot;citeprocText&quot;:&quot;&lt;sup&gt;22,23&lt;/sup&gt;&quot;,&quot;manualOverrideText&quot;:&quot;&quot;},&quot;citationTag&quot;:&quot;MENDELEY_CITATION_{\&quot;citationID\&quot;:\&quot;MENDELEY_CITATION_215968b9-d4e8-41e0-980f-77f189c80d5f\&quot;,\&quot;citationItems\&quot;:[{\&quot;id\&quot;:\&quot;6a6420c3-f34d-3134-9e22-c2baad312e5b\&quot;,\&quot;itemData\&quot;:{\&quot;type\&quot;:\&quot;article-journal\&quot;,\&quot;id\&quot;:\&quot;6a6420c3-f34d-3134-9e22-c2baad312e5b\&quot;,\&quot;title\&quot;:\&quot;Prediction of nocturnal plasma melatonin from morning urinary measures\&quot;,\&quot;author\&quot;:[{\&quot;family\&quot;:\&quot;Graham\&quot;,\&quot;given\&quot;:\&quot;Charles\&quot;,\&quot;parse-names\&quot;:false,\&quot;dropping-particle\&quot;:\&quot;\&quot;,\&quot;non-dropping-particle\&quot;:\&quot;\&quot;},{\&quot;family\&quot;:\&quot;Cook\&quot;,\&quot;given\&quot;:\&quot;Mary R.\&quot;,\&quot;parse-names\&quot;:false,\&quot;dropping-particle\&quot;:\&quot;\&quot;,\&quot;non-dropping-particle\&quot;:\&quot;\&quot;},{\&quot;family\&quot;:\&quot;Kavet\&quot;,\&quot;given\&quot;:\&quot;Robert\&quot;,\&quot;parse-names\&quot;:false,\&quot;dropping-particle\&quot;:\&quot;\&quot;,\&quot;non-dropping-particle\&quot;:\&quot;\&quot;},{\&quot;family\&quot;:\&quot;Sastre\&quot;,\&quot;given\&quot;:\&quot;Antonio\&quot;,\&quot;parse-names\&quot;:false,\&quot;dropping-particle\&quot;:\&quot;\&quot;,\&quot;non-dropping-particle\&quot;:\&quot;\&quot;},{\&quot;family\&quot;:\&quot;Smith\&quot;,\&quot;given\&quot;:\&quot;Deborah K.\&quot;,\&quot;parse-names\&quot;:false,\&quot;dropping-particle\&quot;:\&quot;\&quot;,\&quot;non-dropping-particle\&quot;:\&quot;\&quot;}],\&quot;container-title\&quot;:\&quot;Journal of Pineal Research\&quot;,\&quot;DOI\&quot;:\&quot;10.1111/j.1600-079X.1998.tb00538.x\&quot;,\&quot;ISSN\&quot;:\&quot;07423098\&quot;,\&quot;PMID\&quot;:\&quot;9572533\&quot;,\&quot;issued\&quot;:{\&quot;date-parts\&quot;:[[1998]]},\&quot;page\&quot;:\&quot;230-238\&quot;,\&quot;abstract\&quot;:\&quot;A growing literature indicates that blood levels of the hormone melatonin may have important implications for human health and well-being. Melatonin is synthesized and released into the general circulation at night, however, and it is seldom feasible to draw blood samples at night in epidemiological studies. There is some evidence that levels of urinary melatonin and of 6-sulfatoxymelatonin (aMT6s), the major metabolite of melatonin, accurately reflect nocturnal plasma melatonin. If this is the case, urinary assays could be powerful tools for epidemiological studies. A laboratory-based study was performed to examine the relationships between nocturnal plasma melatonin, morning urinary melatonin, and morning urinary aMT6s levels in 78 men. The relationship between total nocturnal plasma melatonin and both urinary aMT6s corrected for creatinine and urinary melatonin is significant. Combining the two urinary measures accounts for 72% of the variance in total plasma melatonin. Peak nocturnal plasma melatonin also was significantly related to urinary melatonin and to aMT6s. The urinary measures show good sensitivity and specificity in identifying individual differences in nocturnal plasma melatonin levels. These results support the inclusion of morning urine samples to assess the contribution of the hormone melatonin in occupational or residential studies involving healthy, young men.\&quot;,\&quot;issue\&quot;:\&quot;4\&quot;,\&quot;volume\&quot;:\&quot;24\&quot;},\&quot;isTemporary\&quot;:false},{\&quot;id\&quot;:\&quot;9faf736e-c3db-395e-a34d-43cad32a6cbd\&quot;,\&quot;itemData\&quot;:{\&quot;type\&quot;:\&quot;article-journal\&quot;,\&quot;id\&quot;:\&quot;9faf736e-c3db-395e-a34d-43cad32a6cbd\&quot;,\&quot;title\&quot;:\&quot;Urinary melatonin levels and breast cancer risk\&quot;,\&quot;author\&quot;:[{\&quot;family\&quot;:\&quot;Schernhammer\&quot;,\&quot;given\&quot;:\&quot;Eva S.\&quot;,\&quot;parse-names\&quot;:false,\&quot;dropping-particle\&quot;:\&quot;\&quot;,\&quot;non-dropping-particle\&quot;:\&quot;\&quot;},{\&quot;family\&quot;:\&quot;Hankinson\&quot;,\&quot;given\&quot;:\&quot;Susan E.\&quot;,\&quot;parse-names\&quot;:false,\&quot;dropping-particle\&quot;:\&quot;\&quot;,\&quot;non-dropping-particle\&quot;:\&quot;\&quot;}],\&quot;container-title\&quot;:\&quot;Journal of the National Cancer Institute\&quot;,\&quot;DOI\&quot;:\&quot;10.1093/jnci/dji190\&quot;,\&quot;ISSN\&quot;:\&quot;00278874\&quot;,\&quot;PMID\&quot;:\&quot;16030307\&quot;,\&quot;issued\&quot;:{\&quot;date-parts\&quot;:[[2005]]},\&quot;page\&quot;:\&quot;1084-1087\&quot;,\&quot;abstract\&quot;:\&quot;Exposure to light at night suppresses melatonin production, and night-shift work (a surrogate for such exposure) has been associated with an increased risk of breast cancer. However, the association between circulating melatonin levels and breast cancer risk is unclear. In a prospective case-control study nested within the Nurses' Health Study II cohort, we measured the concentration of the major melatonin metabolite, 6-sulphatoxymelatonin (aMT6s), in the first morning urine of 147 women with invasive breast cancer and 291 matched control subjects. In logistic regression models, the relative risk (reported as the odds ratio [OR]) of invasive breast cancer for women in the highest quartile of urinary aMT6s compared with those in the lowest was 0.59 (95% confidence interval [CI] = 0.36 to 0.97). This association was essentially unchanged after adjustment for breast cancer risk factors or plasma sex hormone levels but was slightly weakened when the analysis included 43 case patients with in situ breast cancer and their 85 matched control subjects (OR = 0.70, 95% CI = 0.47 to 1.06). The exclusion of women who had a history of night-shift work left our findings largely unchanged. These prospective data support the hypothesis that higher melatonin levels, as measured in first morning urine, are associated with a lower risk of breast cancer. © The Author 2005. Published by Oxford University Press. All rights reserved.\&quot;,\&quot;issue\&quot;:\&quot;14\&quot;,\&quot;volume\&quot;:\&quot;97\&quot;},\&quot;isTemporary\&quot;:false}],\&quot;properties\&quot;:{\&quot;noteIndex\&quot;:0},\&quot;isEdited\&quot;:false,\&quot;manualOverride\&quot;:{\&quot;isManuallyOverriden\&quot;:false,\&quot;citeprocText\&quot;:\&quot;&lt;sup&gt;22,23&lt;/sup&gt;\&quot;,\&quot;manualOverrideText\&quot;:\&quot;\&quot;}}&quot;},{&quot;citationID&quot;:&quot;MENDELEY_CITATION_909afa64-6440-437c-a4f0-86281463fff2&quot;,&quot;citationItems&quot;:[{&quot;id&quot;:&quot;940d2e45-ee6b-3527-8ea5-a4686303d7fa&quot;,&quot;itemData&quot;:{&quot;type&quot;:&quot;article-journal&quot;,&quot;id&quot;:&quot;940d2e45-ee6b-3527-8ea5-a4686303d7fa&quot;,&quot;title&quot;:&quot;Cobalamin and folate evaluation: Measurement of methylmalonic acid and homocysteine vs vitamin B12 and folate&quot;,&quot;author&quot;:[{&quot;family&quot;:&quot;Klee&quot;,&quot;given&quot;:&quot;G. G.&quot;,&quot;parse-names&quot;:false,&quot;dropping-particle&quot;:&quot;&quot;,&quot;non-dropping-particle&quot;:&quot;&quot;}],&quot;container-title&quot;:&quot;Clinical Chemistry&quot;,&quot;DOI&quot;:&quot;10.1093/clinchem/46.8.1277&quot;,&quot;ISSN&quot;:&quot;00099147&quot;,&quot;PMID&quot;:&quot;10926922&quot;,&quot;issued&quot;:{&quot;date-parts&quot;:[[2000]]},&quot;page&quot;:&quot;1277-1283&quot;,&quot;abstract&quot;:&quot;Vitamin B12 and folate are two vitamins that have interdependent roles in nucleic acid synthesis. Deficiencies of either vitamin can cause megaloblastic anemia; however, inappropriate treatment of B12 deficiency with folate can cause irreversible nerve degeneration. Inadequate folate nutrition during early pregnancy can cause neural tube defects in the developing fetus. In addition, folate and vitamin B12 deficiency and the compensatory increase in homocysteine are a significant risk factor for cardiovascular disease. Laboratory support for the diagnosis and management of these multiple clinical entities is controversial and somewhat problematic. Automated ligand binding measurements of vitamin B12 and folate are easiest to perform and widely used. Unfortunately, these tests are not the most sensitive indicators of disease. Measurement of red cell folate is less dependent on dietary fluctuations, but these measurements may not be reliable. Homocysteine and methylmalonic acid are better metabolic indicators of deficiencies at the tissue level. There are no 'gold standards' for the diagnosis of these disorders, and controversy exists regarding the best diagnostic approach. Healthcare strategies that consider the impact of laboratory tests on the overall costs and quality of care should consider the advantages of including methylmalonic acid and homocysteine in the early evaluation of patients with suspected deficiencies of vitamin B12 and folate. (C) 2000 American Association for Clinical Chemistry.&quot;,&quot;issue&quot;:&quot;8 II&quot;,&quot;volume&quot;:&quot;46&quot;},&quot;isTemporary&quot;:false}],&quot;properties&quot;:{&quot;noteIndex&quot;:0},&quot;isEdited&quot;:false,&quot;manualOverride&quot;:{&quot;isManuallyOverriden&quot;:false,&quot;citeprocText&quot;:&quot;&lt;sup&gt;24&lt;/sup&gt;&quot;,&quot;manualOverrideText&quot;:&quot;&quot;},&quot;citationTag&quot;:&quot;MENDELEY_CITATION_{\&quot;citationID\&quot;:\&quot;MENDELEY_CITATION_909afa64-6440-437c-a4f0-86281463fff2\&quot;,\&quot;citationItems\&quot;:[{\&quot;id\&quot;:\&quot;940d2e45-ee6b-3527-8ea5-a4686303d7fa\&quot;,\&quot;itemData\&quot;:{\&quot;type\&quot;:\&quot;article-journal\&quot;,\&quot;id\&quot;:\&quot;940d2e45-ee6b-3527-8ea5-a4686303d7fa\&quot;,\&quot;title\&quot;:\&quot;Cobalamin and folate evaluation: Measurement of methylmalonic acid and homocysteine vs vitamin B12 and folate\&quot;,\&quot;author\&quot;:[{\&quot;family\&quot;:\&quot;Klee\&quot;,\&quot;given\&quot;:\&quot;G. G.\&quot;,\&quot;parse-names\&quot;:false,\&quot;dropping-particle\&quot;:\&quot;\&quot;,\&quot;non-dropping-particle\&quot;:\&quot;\&quot;}],\&quot;container-title\&quot;:\&quot;Clinical Chemistry\&quot;,\&quot;DOI\&quot;:\&quot;10.1093/clinchem/46.8.1277\&quot;,\&quot;ISSN\&quot;:\&quot;00099147\&quot;,\&quot;PMID\&quot;:\&quot;10926922\&quot;,\&quot;issued\&quot;:{\&quot;date-parts\&quot;:[[2000]]},\&quot;page\&quot;:\&quot;1277-1283\&quot;,\&quot;abstract\&quot;:\&quot;Vitamin B12 and folate are two vitamins that have interdependent roles in nucleic acid synthesis. Deficiencies of either vitamin can cause megaloblastic anemia; however, inappropriate treatment of B12 deficiency with folate can cause irreversible nerve degeneration. Inadequate folate nutrition during early pregnancy can cause neural tube defects in the developing fetus. In addition, folate and vitamin B12 deficiency and the compensatory increase in homocysteine are a significant risk factor for cardiovascular disease. Laboratory support for the diagnosis and management of these multiple clinical entities is controversial and somewhat problematic. Automated ligand binding measurements of vitamin B12 and folate are easiest to perform and widely used. Unfortunately, these tests are not the most sensitive indicators of disease. Measurement of red cell folate is less dependent on dietary fluctuations, but these measurements may not be reliable. Homocysteine and methylmalonic acid are better metabolic indicators of deficiencies at the tissue level. There are no 'gold standards' for the diagnosis of these disorders, and controversy exists regarding the best diagnostic approach. Healthcare strategies that consider the impact of laboratory tests on the overall costs and quality of care should consider the advantages of including methylmalonic acid and homocysteine in the early evaluation of patients with suspected deficiencies of vitamin B12 and folate. (C) 2000 American Association for Clinical Chemistry.\&quot;,\&quot;issue\&quot;:\&quot;8 II\&quot;,\&quot;volume\&quot;:\&quot;46\&quot;},\&quot;isTemporary\&quot;:false}],\&quot;properties\&quot;:{\&quot;noteIndex\&quot;:0},\&quot;isEdited\&quot;:false,\&quot;manualOverride\&quot;:{\&quot;isManuallyOverriden\&quot;:false,\&quot;citeprocText\&quot;:\&quot;&lt;sup&gt;24&lt;/sup&gt;\&quot;,\&quot;manualOverrideText\&quot;:\&quot;\&quot;}}&quot;},{&quot;citationID&quot;:&quot;MENDELEY_CITATION_783eea2a-fa68-43de-b6de-5cdb604bab4b&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properties&quot;:{&quot;noteIndex&quot;:0},&quot;isEdited&quot;:false,&quot;manualOverride&quot;:{&quot;isManuallyOverriden&quot;:false,&quot;citeprocText&quot;:&quot;&lt;sup&gt;25&lt;/sup&gt;&quot;,&quot;manualOverrideText&quot;:&quot;&quot;},&quot;citationTag&quot;:&quot;MENDELEY_CITATION_{\&quot;citationID\&quot;:\&quot;MENDELEY_CITATION_783eea2a-fa68-43de-b6de-5cdb604bab4b\&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properties\&quot;:{\&quot;noteIndex\&quot;:0},\&quot;isEdited\&quot;:false,\&quot;manualOverride\&quot;:{\&quot;isManuallyOverriden\&quot;:false,\&quot;citeprocText\&quot;:\&quot;&lt;sup&gt;25&lt;/sup&gt;\&quot;,\&quot;manualOverrideText\&quot;:\&quot;\&quot;}}&quot;},{&quot;citationID&quot;:&quot;MENDELEY_CITATION_6c0f3465-cac7-47fb-94a1-cf623319ebd4&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id&quot;:&quot;179e7bd6-d7b8-3008-ade8-90764583a084&quot;,&quot;itemData&quot;:{&quot;type&quot;:&quot;article-journal&quot;,&quot;id&quot;:&quot;179e7bd6-d7b8-3008-ade8-90764583a084&quot;,&quot;title&quot;:&quot;Urinary VMA, dopamine and the likelihood of neuroblastoma: A preferred way of reporting laboratory results?&quot;,&quot;author&quot;:[{&quot;family&quot;:&quot;Sies&quot;,&quot;given&quot;:&quot;C. W.&quot;,&quot;parse-names&quot;:false,&quot;dropping-particle&quot;:&quot;&quot;,&quot;non-dropping-particle&quot;:&quot;&quot;},{&quot;family&quot;:&quot;Florkowski&quot;,&quot;given&quot;:&quot;C. M.&quot;,&quot;parse-names&quot;:false,&quot;dropping-particle&quot;:&quot;&quot;,&quot;non-dropping-particle&quot;:&quot;&quot;},{&quot;family&quot;:&quot;Sullivan&quot;,&quot;given&quot;:&quot;M.&quot;,&quot;parse-names&quot;:false,&quot;dropping-particle&quot;:&quot;&quot;,&quot;non-dropping-particle&quot;:&quot;&quot;},{&quot;family&quot;:&quot;Mackay&quot;,&quot;given&quot;:&quot;R.&quot;,&quot;parse-names&quot;:false,&quot;dropping-particle&quot;:&quot;&quot;,&quot;non-dropping-particle&quot;:&quot;&quot;},{&quot;family&quot;:&quot;George&quot;,&quot;given&quot;:&quot;P. M.&quot;,&quot;parse-names&quot;:false,&quot;dropping-particle&quot;:&quot;&quot;,&quot;non-dropping-particle&quot;:&quot;&quot;}],&quot;container-title&quot;:&quot;Annals of Clinical Biochemistry&quot;,&quot;DOI&quot;:&quot;10.1258/000456306777695645&quot;,&quot;ISSN&quot;:&quot;00045632&quot;,&quot;PMID&quot;:&quot;16824281&quot;,&quot;issued&quot;:{&quot;date-parts&quot;:[[2006]]},&quot;page&quot;:&quot;300-305&quot;,&quot;abstract&quot;:&quot;Background: Neuroblastoma patients may be classified as normal or abnormal depending on reference interval and decision points for urine catecholamine metabolites. We therefore evaluated the utility of positive likelihood ratios (LR+) based on data from patients in whom the diagnosis was suspected. Methods: Urine samples from 249 patients (122 male, 127 female) suspected of neuroblastoma were assayed for VMA by spectrophotometry and dopamine by HPLC. Ratios of VMA to creatinine (VMA/Cr) and dopamine to creatinine (DA/Cr) were calculated and age-related median scores derived relative to patients without neuroblastoma. Receiver operator characteristic (ROC) curve analysis was undertaken for the ability of median scores to identify neuroblastoma. Results: Of the 249 patients, there were 20 confirmed cases of neuroblastoma, with ages ranging from 0 (congenital tumour) to 8.4 years. From ROC curves, VMA/Cr was found to have an area under the curve 0.96 (95% confidence interval [CI] 0.92-0.98) compared with 0.72 (95% CI 0.66-0.77) for DA/Cr, P = 0.001. At the optimal decision point for VMA/Cr, LR+ was 7.2, identifying cases with a sensitivity of 95% and a specificity of 86%, and comparing favourably with published intervals. Conclusions: VMA/Cr is more accurate than DA/Cr for the diagnosis of neuroblastoma. Reporting LR+ may also be more informative than using reference intervals and decision points. © 2006 The Association for Clinical Biochemistry.&quot;,&quot;issue&quot;:&quot;4&quot;,&quot;volume&quot;:&quot;43&quot;},&quot;isTemporary&quot;:false}],&quot;properties&quot;:{&quot;noteIndex&quot;:0},&quot;isEdited&quot;:false,&quot;manualOverride&quot;:{&quot;isManuallyOverriden&quot;:false,&quot;citeprocText&quot;:&quot;&lt;sup&gt;25,26&lt;/sup&gt;&quot;,&quot;manualOverrideText&quot;:&quot;&quot;},&quot;citationTag&quot;:&quot;MENDELEY_CITATION_{\&quot;citationID\&quot;:\&quot;MENDELEY_CITATION_6c0f3465-cac7-47fb-94a1-cf623319ebd4\&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id\&quot;:\&quot;179e7bd6-d7b8-3008-ade8-90764583a084\&quot;,\&quot;itemData\&quot;:{\&quot;type\&quot;:\&quot;article-journal\&quot;,\&quot;id\&quot;:\&quot;179e7bd6-d7b8-3008-ade8-90764583a084\&quot;,\&quot;title\&quot;:\&quot;Urinary VMA, dopamine and the likelihood of neuroblastoma: A preferred way of reporting laboratory results?\&quot;,\&quot;author\&quot;:[{\&quot;family\&quot;:\&quot;Sies\&quot;,\&quot;given\&quot;:\&quot;C. W.\&quot;,\&quot;parse-names\&quot;:false,\&quot;dropping-particle\&quot;:\&quot;\&quot;,\&quot;non-dropping-particle\&quot;:\&quot;\&quot;},{\&quot;family\&quot;:\&quot;Florkowski\&quot;,\&quot;given\&quot;:\&quot;C. M.\&quot;,\&quot;parse-names\&quot;:false,\&quot;dropping-particle\&quot;:\&quot;\&quot;,\&quot;non-dropping-particle\&quot;:\&quot;\&quot;},{\&quot;family\&quot;:\&quot;Sullivan\&quot;,\&quot;given\&quot;:\&quot;M.\&quot;,\&quot;parse-names\&quot;:false,\&quot;dropping-particle\&quot;:\&quot;\&quot;,\&quot;non-dropping-particle\&quot;:\&quot;\&quot;},{\&quot;family\&quot;:\&quot;Mackay\&quot;,\&quot;given\&quot;:\&quot;R.\&quot;,\&quot;parse-names\&quot;:false,\&quot;dropping-particle\&quot;:\&quot;\&quot;,\&quot;non-dropping-particle\&quot;:\&quot;\&quot;},{\&quot;family\&quot;:\&quot;George\&quot;,\&quot;given\&quot;:\&quot;P. M.\&quot;,\&quot;parse-names\&quot;:false,\&quot;dropping-particle\&quot;:\&quot;\&quot;,\&quot;non-dropping-particle\&quot;:\&quot;\&quot;}],\&quot;container-title\&quot;:\&quot;Annals of Clinical Biochemistry\&quot;,\&quot;DOI\&quot;:\&quot;10.1258/000456306777695645\&quot;,\&quot;ISSN\&quot;:\&quot;00045632\&quot;,\&quot;PMID\&quot;:\&quot;16824281\&quot;,\&quot;issued\&quot;:{\&quot;date-parts\&quot;:[[2006]]},\&quot;page\&quot;:\&quot;300-305\&quot;,\&quot;abstract\&quot;:\&quot;Background: Neuroblastoma patients may be classified as normal or abnormal depending on reference interval and decision points for urine catecholamine metabolites. We therefore evaluated the utility of positive likelihood ratios (LR+) based on data from patients in whom the diagnosis was suspected. Methods: Urine samples from 249 patients (122 male, 127 female) suspected of neuroblastoma were assayed for VMA by spectrophotometry and dopamine by HPLC. Ratios of VMA to creatinine (VMA/Cr) and dopamine to creatinine (DA/Cr) were calculated and age-related median scores derived relative to patients without neuroblastoma. Receiver operator characteristic (ROC) curve analysis was undertaken for the ability of median scores to identify neuroblastoma. Results: Of the 249 patients, there were 20 confirmed cases of neuroblastoma, with ages ranging from 0 (congenital tumour) to 8.4 years. From ROC curves, VMA/Cr was found to have an area under the curve 0.96 (95% confidence interval [CI] 0.92-0.98) compared with 0.72 (95% CI 0.66-0.77) for DA/Cr, P = 0.001. At the optimal decision point for VMA/Cr, LR+ was 7.2, identifying cases with a sensitivity of 95% and a specificity of 86%, and comparing favourably with published intervals. Conclusions: VMA/Cr is more accurate than DA/Cr for the diagnosis of neuroblastoma. Reporting LR+ may also be more informative than using reference intervals and decision points. © 2006 The Association for Clinical Biochemistry.\&quot;,\&quot;issue\&quot;:\&quot;4\&quot;,\&quot;volume\&quot;:\&quot;43\&quot;},\&quot;isTemporary\&quot;:false}],\&quot;properties\&quot;:{\&quot;noteIndex\&quot;:0},\&quot;isEdited\&quot;:false,\&quot;manualOverride\&quot;:{\&quot;isManuallyOverriden\&quot;:false,\&quot;citeprocText\&quot;:\&quot;&lt;sup&gt;25,26&lt;/sup&gt;\&quot;,\&quot;manualOverrideText\&quot;:\&quot;\&quot;}}&quot;},{&quot;citationID&quot;:&quot;MENDELEY_CITATION_6d230064-323d-4e2e-bd78-4aaa84c1f5d9&quot;,&quot;citationItems&quot;:[{&quot;id&quot;:&quot;6a2b6af5-dd21-36b8-9ae0-8851f0cc09e4&quot;,&quot;itemData&quot;:{&quot;type&quot;:&quot;article-journal&quot;,&quot;id&quot;:&quot;6a2b6af5-dd21-36b8-9ae0-8851f0cc09e4&quot;,&quot;title&quot;:&quot;Altered serum levels of kynurenine metabolites in patients affected by cluster headache&quot;,&quot;author&quot;:[{&quot;family&quot;:&quot;Curto&quot;,&quot;given&quot;:&quot;Martina&quot;,&quot;parse-names&quot;:false,&quot;dropping-particle&quot;:&quot;&quot;,&quot;non-dropping-particle&quot;:&quot;&quot;},{&quot;family&quot;:&quot;Lionetto&quot;,&quot;given&quot;:&quot;Luana&quot;,&quot;parse-names&quot;:false,&quot;dropping-particle&quot;:&quot;&quot;,&quot;non-dropping-particle&quot;:&quot;&quot;},{&quot;family&quot;:&quot;Negro&quot;,&quot;given&quot;:&quot;Andrea&quot;,&quot;parse-names&quot;:false,&quot;dropping-particle&quot;:&quot;&quot;,&quot;non-dropping-particle&quot;:&quot;&quot;},{&quot;family&quot;:&quot;Capi&quot;,&quot;given&quot;:&quot;Matilde&quot;,&quot;parse-names&quot;:false,&quot;dropping-particle&quot;:&quot;&quot;,&quot;non-dropping-particle&quot;:&quot;&quot;},{&quot;family&quot;:&quot;Perugino&quot;,&quot;given&quot;:&quot;Francesca&quot;,&quot;parse-names&quot;:false,&quot;dropping-particle&quot;:&quot;&quot;,&quot;non-dropping-particle&quot;:&quot;&quot;},{&quot;family&quot;:&quot;Fazio&quot;,&quot;given&quot;:&quot;Francesco&quot;,&quot;parse-names&quot;:false,&quot;dropping-particle&quot;:&quot;&quot;,&quot;non-dropping-particle&quot;:&quot;&quot;},{&quot;family&quot;:&quot;Giamberardino&quot;,&quot;given&quot;:&quot;Maria Adele&quot;,&quot;parse-names&quot;:false,&quot;dropping-particle&quot;:&quot;&quot;,&quot;non-dropping-particle&quot;:&quot;&quot;},{&quot;family&quot;:&quot;Simmaco&quot;,&quot;given&quot;:&quot;Maurizio&quot;,&quot;parse-names&quot;:false,&quot;dropping-particle&quot;:&quot;&quot;,&quot;non-dropping-particle&quot;:&quot;&quot;},{&quot;family&quot;:&quot;Nicoletti&quot;,&quot;given&quot;:&quot;Ferdinando&quot;,&quot;parse-names&quot;:false,&quot;dropping-particle&quot;:&quot;&quot;,&quot;non-dropping-particle&quot;:&quot;&quot;},{&quot;family&quot;:&quot;Martelletti&quot;,&quot;given&quot;:&quot;Paolo&quot;,&quot;parse-names&quot;:false,&quot;dropping-particle&quot;:&quot;&quot;,&quot;non-dropping-particle&quot;:&quot;&quot;}],&quot;container-title&quot;:&quot;Journal of Headache and Pain&quot;,&quot;DOI&quot;:&quot;10.1186/s10194-016-0620-2&quot;,&quot;ISSN&quot;:&quot;11292377&quot;,&quot;PMID&quot;:&quot;27000870&quot;,&quot;URL&quot;:&quot;http://dx.doi.org/10.1186/s10194-016-0620-2&quot;,&quot;issued&quot;:{&quot;date-parts&quot;:[[2016]]},&quot;abstract&quot;:&quot;Background: The reported efficacy of memantine in the treatment of patients with cluster headache (CH) suggests that NMDA receptors are involved in mechanisms of nociceptive sensitization within the trigeminal system associated with CH. NMDA receptors are activated or inhibited by neuroactive compounds generated by tryptophan metabolism through the kynurenine pathway. In the accompanying manuscript, we have found that serum levels of all kynurenine metabolites are altered in patients with chronic migraine. Here, we have extended the study to patients affected by episodic or chronic CH as compared to healthy controls. Method: We assessed serum levels of kynurenine (KYN), kynurenic Acid (KYNA), anthranilic acid (ANA), 3-hydroxy-anthranilic acid (3-HANA), 3-hydroxykynurenine (3-HK), xanthurenic acid (XA), quinolinic acid (QUINA), tryptophan (Trp) and 5-hydroxyindolacetic acid (5-HIAA) by means of a liquid chromatography/tandem mass spectrometry (LC/MS-MS) method in 21 patients affected by CH (15 with episodic and 6 with chronic CH), and 35 age-matched healthy subjects. Patients with psychiatric co-morbidities, systemic inflammatory, endocrine or neurological disorders, and mental retardation were excluded. Results: LC/MS-MS analysis of kynurenine metabolites showed significant reductions in the levels of KYN (-36 %), KYNA (-34 %), 3-HK (-51 %), 3-HANA (-54 %), XA (-25 %), 5-HIAA (-39 %) and QUINA (-43 %) in the serum of the overall population of patients affected by CH, as compared to healthy controls. Serum levels of Trp and ANA were instead significantly increased in CH patients (+18 % and +54 %, respectively). There was no difference in levels of any metabolite between patients affected by episodic and chronic CH, with the exception of KYN levels, which were higher in patients with chronic CH. Conclusion: The reduced levels of KYNA (an NMDA receptor antagonist) support the hypothesis that NMDA receptors are overactive in CH. A similar reduction in KYNA levels was shown in the accompanying manuscript in patients affected by chronic migraine. The reduced levels of XA, a putative analgesic compound, may contribute to explain the severity of pain attacks in CH. These data, associated with the data reported in the accompanying manuscript, supports a role for the kynurenine pathway in the pathophysiology of chronic headache disorders.&quot;,&quot;publisher&quot;:&quot;The Journal of Headache and Pain&quot;,&quot;issue&quot;:&quot;1&quot;,&quot;volume&quot;:&quot;17&quot;},&quot;isTemporary&quot;:false},{&quot;id&quot;:&quot;097851a6-387d-361c-8e8f-ecd0d02fdea4&quot;,&quot;itemData&quot;:{&quot;type&quot;:&quot;article-journal&quot;,&quot;id&quot;:&quot;097851a6-387d-361c-8e8f-ecd0d02fdea4&quot;,&quot;title&quot;:&quot;Altered kynurenine pathway metabolites in serum of chronic migraine patients&quot;,&quot;author&quot;:[{&quot;family&quot;:&quot;Curto&quot;,&quot;given&quot;:&quot;Martina&quot;,&quot;parse-names&quot;:false,&quot;dropping-particle&quot;:&quot;&quot;,&quot;non-dropping-particle&quot;:&quot;&quot;},{&quot;family&quot;:&quot;Lionetto&quot;,&quot;given&quot;:&quot;Luana&quot;,&quot;parse-names&quot;:false,&quot;dropping-particle&quot;:&quot;&quot;,&quot;non-dropping-particle&quot;:&quot;&quot;},{&quot;family&quot;:&quot;Negro&quot;,&quot;given&quot;:&quot;Andrea&quot;,&quot;parse-names&quot;:false,&quot;dropping-particle&quot;:&quot;&quot;,&quot;non-dropping-particle&quot;:&quot;&quot;},{&quot;family&quot;:&quot;Capi&quot;,&quot;given&quot;:&quot;Matilde&quot;,&quot;parse-names&quot;:false,&quot;dropping-particle&quot;:&quot;&quot;,&quot;non-dropping-particle&quot;:&quot;&quot;},{&quot;family&quot;:&quot;Fazio&quot;,&quot;given&quot;:&quot;Francesco&quot;,&quot;parse-names&quot;:false,&quot;dropping-particle&quot;:&quot;&quot;,&quot;non-dropping-particle&quot;:&quot;&quot;},{&quot;family&quot;:&quot;Giamberardino&quot;,&quot;given&quot;:&quot;Maria Adele&quot;,&quot;parse-names&quot;:false,&quot;dropping-particle&quot;:&quot;&quot;,&quot;non-dropping-particle&quot;:&quot;&quot;},{&quot;family&quot;:&quot;Simmaco&quot;,&quot;given&quot;:&quot;Maurizio&quot;,&quot;parse-names&quot;:false,&quot;dropping-particle&quot;:&quot;&quot;,&quot;non-dropping-particle&quot;:&quot;&quot;},{&quot;family&quot;:&quot;Nicoletti&quot;,&quot;given&quot;:&quot;Ferdinando&quot;,&quot;parse-names&quot;:false,&quot;dropping-particle&quot;:&quot;&quot;,&quot;non-dropping-particle&quot;:&quot;&quot;},{&quot;family&quot;:&quot;Martelletti&quot;,&quot;given&quot;:&quot;Paolo&quot;,&quot;parse-names&quot;:false,&quot;dropping-particle&quot;:&quot;&quot;,&quot;non-dropping-particle&quot;:&quot;&quot;}],&quot;container-title&quot;:&quot;Journal of Headache and Pain&quot;,&quot;DOI&quot;:&quot;10.1186/s10194-016-0638-5&quot;,&quot;ISSN&quot;:&quot;11292377&quot;,&quot;PMID&quot;:&quot;27130315&quot;,&quot;URL&quot;:&quot;http://dx.doi.org/10.1186/s10194-016-0638-5&quot;,&quot;issued&quot;:{&quot;date-parts&quot;:[[2016]]},&quot;abstract&quot;:&quot;Background: Activation of glutamate (Glu) receptors plays a key role in the pathophysiology of migraine. Both NMDA and metabotropic Glu receptors are activated or inhibited by metabolites of the kynurenine pathway, such as kynureninic acid (KYNA), quinolinic acid (QUINA), and xanthurenic acid (XA). In spite of the extensive research carried out on KYNA and other kynurenine metabolites in experimental models of migraine, no studies have ever been carried out in humans. Here, we measured all metabolites of the kynurenine pathway in the serum of patients affected by chronic migraine (CM) and age- and gender-matched healthy controls. Methods: We assessed serum levels of tryptophan (Trp), L-kynurenine (KYN), KYNA, anthranilic acid (ANA), 3-hydroxyanthranilic acid (3-HANA), 3-hydroxykynirenine (3-HK), XA, QUINA, and 5-hydroxyindolacetic acid (5-HIAA) in 119 patients affected by CM (ICHD-3beta criteria) and 84 age-matched healthy subjects. Patients with psychiatric co-morbidities, systemic inflammatory, endocrine or neurological disorders, and mental retardation were excluded. Serum levels of all metabolites were assayed using liquid chromatography/tandem mass spectrometry (LC-MS/MS). Results: LC-MS/MS analysis of kynurenine metabolites showed significant reductions in the levels of KYN (−32 %), KYNA (−25 %), 3-HK (−49 %), 3-HANA (−63 %), 5-HIAA (−36 %) and QUINA (−80 %) in the serum of the CM patients, as compared to healthy controls. Conversely, levels of Trp, ANA and XA were significantly increased in CM patients (+5 %, +339 % and +28 %, respectively). Conclusions: These findings suggest that in migraine KYN is unidirectionally metabolized into ANA at expenses of KYNA and 3-HK. The reduction in the levels of KYNA, which behaves as a competitive antagonist of the glycine site of NMDA receptors, is consistent with the hypothesis that NMDA receptors are overactive in migraine. The increase in XA, a putative activator of Glu2 receptors, may represent a compensatory event aimed at reinforcing endogenous analgesic mechanisms. The large increase in the levels of ANA encourages research aimed at establishing whether ANA has any role in the regulation of nociceptive transmission.&quot;,&quot;publisher&quot;:&quot;The Journal of Headache and Pain&quot;,&quot;issue&quot;:&quot;1&quot;,&quot;volume&quot;:&quot;17&quot;},&quot;isTemporary&quot;:false},{&quot;id&quot;:&quot;50efd8e9-d4f9-3e98-b999-5943cab55848&quot;,&quot;itemData&quot;:{&quot;type&quot;:&quot;article-journal&quot;,&quot;id&quot;:&quot;50efd8e9-d4f9-3e98-b999-5943cab55848&quot;,&quot;title&quot;:&quot;Vitamin B 6 metabolism in users of oral contraceptive agents. I. Abnormal urinary xanthurenic acid excretion and its correction by pyridoxine.&quot;,&quot;author&quot;:[{&quot;family&quot;:&quot;Luhby&quot;,&quot;given&quot;:&quot;A. L.&quot;,&quot;parse-names&quot;:false,&quot;dropping-particle&quot;:&quot;&quot;,&quot;non-dropping-particle&quot;:&quot;&quot;},{&quot;family&quot;:&quot;Brin&quot;,&quot;given&quot;:&quot;M.&quot;,&quot;parse-names&quot;:false,&quot;dropping-particle&quot;:&quot;&quot;,&quot;non-dropping-particle&quot;:&quot;&quot;},{&quot;family&quot;:&quot;Gordon&quot;,&quot;given&quot;:&quot;M.&quot;,&quot;parse-names&quot;:false,&quot;dropping-particle&quot;:&quot;&quot;,&quot;non-dropping-particle&quot;:&quot;&quot;},{&quot;family&quot;:&quot;Davis&quot;,&quot;given&quot;:&quot;P.&quot;,&quot;parse-names&quot;:false,&quot;dropping-particle&quot;:&quot;&quot;,&quot;non-dropping-particle&quot;:&quot;&quot;},{&quot;family&quot;:&quot;Murphy&quot;,&quot;given&quot;:&quot;M.&quot;,&quot;parse-names&quot;:false,&quot;dropping-particle&quot;:&quot;&quot;,&quot;non-dropping-particle&quot;:&quot;&quot;},{&quot;family&quot;:&quot;Spiegel&quot;,&quot;given&quot;:&quot;H.&quot;,&quot;parse-names&quot;:false,&quot;dropping-particle&quot;:&quot;&quot;,&quot;non-dropping-particle&quot;:&quot;&quot;}],&quot;container-title&quot;:&quot;The American journal of clinical nutrition&quot;,&quot;DOI&quot;:&quot;10.1093/ajcn/24.6.684&quot;,&quot;ISSN&quot;:&quot;00029165&quot;,&quot;PMID&quot;:&quot;5581004&quot;,&quot;issued&quot;:{&quot;date-parts&quot;:[[1971]]},&quot;page&quot;:&quot;684-693&quot;,&quot;issue&quot;:&quot;6&quot;,&quot;volume&quot;:&quot;24&quot;},&quot;isTemporary&quot;:false},{&quot;id&quot;:&quot;a58680bd-791f-3e01-b3d6-cd570c99617b&quot;,&quot;itemData&quot;:{&quot;type&quot;:&quot;article-journal&quot;,&quot;id&quot;:&quot;a58680bd-791f-3e01-b3d6-cd570c99617b&quot;,&quot;title&quot;:&quot;The role of kynurenines in diabetes mellitus&quot;,&quot;author&quot;:[{&quot;family&quot;:&quot;Connick&quot;,&quot;given&quot;:&quot;J. H.&quot;,&quot;parse-names&quot;:false,&quot;dropping-particle&quot;:&quot;&quot;,&quot;non-dropping-particle&quot;:&quot;&quot;},{&quot;family&quot;:&quot;Stone&quot;,&quot;given&quot;:&quot;T. W.&quot;,&quot;parse-names&quot;:false,&quot;dropping-particle&quot;:&quot;&quot;,&quot;non-dropping-particle&quot;:&quot;&quot;}],&quot;container-title&quot;:&quot;Medical Hypotheses&quot;,&quot;accessed&quot;:{&quot;date-parts&quot;:[[2020,10,12]]},&quot;DOI&quot;:&quot;10.1016/0306-9877(85)90104-5&quot;,&quot;ISSN&quot;:&quot;03069877&quot;,&quot;PMID&quot;:&quot;3912651&quot;,&quot;URL&quot;:&quot;https://pubmed.ncbi.nlm.nih.gov/3912651/&quot;,&quot;issued&quot;:{&quot;date-parts&quot;:[[1985]]},&quot;page&quot;:&quot;371-376&quot;,&quot;abstract&quot;:&quot;Although different forms of diabetes are known to exist, there are a number of factors which occur in these states all of which would contribute to an increase in the synthesis of the kynurenine metabolites of tryptophan, xanthurenic acid in particular. Conditions giving rise to increased kynurenine metabolism include pregnancy, oral contraceptives, emotional and metabolic stress. We propose a mechanism by which kynurenines act to reduce the concentration of active insulin in plasma and thus give rise to a diabetic state. © 1985.&quot;,&quot;publisher&quot;:&quot;Med Hypotheses&quot;,&quot;issue&quot;:&quot;4&quot;,&quot;volume&quot;:&quot;18&quot;},&quot;isTemporary&quot;:false}],&quot;properties&quot;:{&quot;noteIndex&quot;:0},&quot;isEdited&quot;:false,&quot;manualOverride&quot;:{&quot;isManuallyOverriden&quot;:false,&quot;citeprocText&quot;:&quot;&lt;sup&gt;27–30&lt;/sup&gt;&quot;,&quot;manualOverrideText&quot;:&quot;&quot;},&quot;citationTag&quot;:&quot;MENDELEY_CITATION_{\&quot;citationID\&quot;:\&quot;MENDELEY_CITATION_6d230064-323d-4e2e-bd78-4aaa84c1f5d9\&quot;,\&quot;citationItems\&quot;:[{\&quot;id\&quot;:\&quot;6a2b6af5-dd21-36b8-9ae0-8851f0cc09e4\&quot;,\&quot;itemData\&quot;:{\&quot;type\&quot;:\&quot;article-journal\&quot;,\&quot;id\&quot;:\&quot;6a2b6af5-dd21-36b8-9ae0-8851f0cc09e4\&quot;,\&quot;title\&quot;:\&quot;Altered serum levels of kynurenine metabolites in patients affected by cluster headache\&quot;,\&quot;author\&quot;:[{\&quot;family\&quot;:\&quot;Curto\&quot;,\&quot;given\&quot;:\&quot;Martina\&quot;,\&quot;parse-names\&quot;:false,\&quot;dropping-particle\&quot;:\&quot;\&quot;,\&quot;non-dropping-particle\&quot;:\&quot;\&quot;},{\&quot;family\&quot;:\&quot;Lionetto\&quot;,\&quot;given\&quot;:\&quot;Luana\&quot;,\&quot;parse-names\&quot;:false,\&quot;dropping-particle\&quot;:\&quot;\&quot;,\&quot;non-dropping-particle\&quot;:\&quot;\&quot;},{\&quot;family\&quot;:\&quot;Negro\&quot;,\&quot;given\&quot;:\&quot;Andrea\&quot;,\&quot;parse-names\&quot;:false,\&quot;dropping-particle\&quot;:\&quot;\&quot;,\&quot;non-dropping-particle\&quot;:\&quot;\&quot;},{\&quot;family\&quot;:\&quot;Capi\&quot;,\&quot;given\&quot;:\&quot;Matilde\&quot;,\&quot;parse-names\&quot;:false,\&quot;dropping-particle\&quot;:\&quot;\&quot;,\&quot;non-dropping-particle\&quot;:\&quot;\&quot;},{\&quot;family\&quot;:\&quot;Perugino\&quot;,\&quot;given\&quot;:\&quot;Francesca\&quot;,\&quot;parse-names\&quot;:false,\&quot;dropping-particle\&quot;:\&quot;\&quot;,\&quot;non-dropping-particle\&quot;:\&quot;\&quot;},{\&quot;family\&quot;:\&quot;Fazio\&quot;,\&quot;given\&quot;:\&quot;Francesco\&quot;,\&quot;parse-names\&quot;:false,\&quot;dropping-particle\&quot;:\&quot;\&quot;,\&quot;non-dropping-particle\&quot;:\&quot;\&quot;},{\&quot;family\&quot;:\&quot;Giamberardino\&quot;,\&quot;given\&quot;:\&quot;Maria Adele\&quot;,\&quot;parse-names\&quot;:false,\&quot;dropping-particle\&quot;:\&quot;\&quot;,\&quot;non-dropping-particle\&quot;:\&quot;\&quot;},{\&quot;family\&quot;:\&quot;Simmaco\&quot;,\&quot;given\&quot;:\&quot;Maurizio\&quot;,\&quot;parse-names\&quot;:false,\&quot;dropping-particle\&quot;:\&quot;\&quot;,\&quot;non-dropping-particle\&quot;:\&quot;\&quot;},{\&quot;family\&quot;:\&quot;Nicoletti\&quot;,\&quot;given\&quot;:\&quot;Ferdinando\&quot;,\&quot;parse-names\&quot;:false,\&quot;dropping-particle\&quot;:\&quot;\&quot;,\&quot;non-dropping-particle\&quot;:\&quot;\&quot;},{\&quot;family\&quot;:\&quot;Martelletti\&quot;,\&quot;given\&quot;:\&quot;Paolo\&quot;,\&quot;parse-names\&quot;:false,\&quot;dropping-particle\&quot;:\&quot;\&quot;,\&quot;non-dropping-particle\&quot;:\&quot;\&quot;}],\&quot;container-title\&quot;:\&quot;Journal of Headache and Pain\&quot;,\&quot;DOI\&quot;:\&quot;10.1186/s10194-016-0620-2\&quot;,\&quot;ISSN\&quot;:\&quot;11292377\&quot;,\&quot;PMID\&quot;:\&quot;27000870\&quot;,\&quot;URL\&quot;:\&quot;http://dx.doi.org/10.1186/s10194-016-0620-2\&quot;,\&quot;issued\&quot;:{\&quot;date-parts\&quot;:[[2016]]},\&quot;abstract\&quot;:\&quot;Background: The reported efficacy of memantine in the treatment of patients with cluster headache (CH) suggests that NMDA receptors are involved in mechanisms of nociceptive sensitization within the trigeminal system associated with CH. NMDA receptors are activated or inhibited by neuroactive compounds generated by tryptophan metabolism through the kynurenine pathway. In the accompanying manuscript, we have found that serum levels of all kynurenine metabolites are altered in patients with chronic migraine. Here, we have extended the study to patients affected by episodic or chronic CH as compared to healthy controls. Method: We assessed serum levels of kynurenine (KYN), kynurenic Acid (KYNA), anthranilic acid (ANA), 3-hydroxy-anthranilic acid (3-HANA), 3-hydroxykynurenine (3-HK), xanthurenic acid (XA), quinolinic acid (QUINA), tryptophan (Trp) and 5-hydroxyindolacetic acid (5-HIAA) by means of a liquid chromatography/tandem mass spectrometry (LC/MS-MS) method in 21 patients affected by CH (15 with episodic and 6 with chronic CH), and 35 age-matched healthy subjects. Patients with psychiatric co-morbidities, systemic inflammatory, endocrine or neurological disorders, and mental retardation were excluded. Results: LC/MS-MS analysis of kynurenine metabolites showed significant reductions in the levels of KYN (-36 %), KYNA (-34 %), 3-HK (-51 %), 3-HANA (-54 %), XA (-25 %), 5-HIAA (-39 %) and QUINA (-43 %) in the serum of the overall population of patients affected by CH, as compared to healthy controls. Serum levels of Trp and ANA were instead significantly increased in CH patients (+18 % and +54 %, respectively). There was no difference in levels of any metabolite between patients affected by episodic and chronic CH, with the exception of KYN levels, which were higher in patients with chronic CH. Conclusion: The reduced levels of KYNA (an NMDA receptor antagonist) support the hypothesis that NMDA receptors are overactive in CH. A similar reduction in KYNA levels was shown in the accompanying manuscript in patients affected by chronic migraine. The reduced levels of XA, a putative analgesic compound, may contribute to explain the severity of pain attacks in CH. These data, associated with the data reported in the accompanying manuscript, supports a role for the kynurenine pathway in the pathophysiology of chronic headache disorders.\&quot;,\&quot;publisher\&quot;:\&quot;The Journal of Headache and Pain\&quot;,\&quot;issue\&quot;:\&quot;1\&quot;,\&quot;volume\&quot;:\&quot;17\&quot;},\&quot;isTemporary\&quot;:false},{\&quot;id\&quot;:\&quot;097851a6-387d-361c-8e8f-ecd0d02fdea4\&quot;,\&quot;itemData\&quot;:{\&quot;type\&quot;:\&quot;article-journal\&quot;,\&quot;id\&quot;:\&quot;097851a6-387d-361c-8e8f-ecd0d02fdea4\&quot;,\&quot;title\&quot;:\&quot;Altered kynurenine pathway metabolites in serum of chronic migraine patients\&quot;,\&quot;author\&quot;:[{\&quot;family\&quot;:\&quot;Curto\&quot;,\&quot;given\&quot;:\&quot;Martina\&quot;,\&quot;parse-names\&quot;:false,\&quot;dropping-particle\&quot;:\&quot;\&quot;,\&quot;non-dropping-particle\&quot;:\&quot;\&quot;},{\&quot;family\&quot;:\&quot;Lionetto\&quot;,\&quot;given\&quot;:\&quot;Luana\&quot;,\&quot;parse-names\&quot;:false,\&quot;dropping-particle\&quot;:\&quot;\&quot;,\&quot;non-dropping-particle\&quot;:\&quot;\&quot;},{\&quot;family\&quot;:\&quot;Negro\&quot;,\&quot;given\&quot;:\&quot;Andrea\&quot;,\&quot;parse-names\&quot;:false,\&quot;dropping-particle\&quot;:\&quot;\&quot;,\&quot;non-dropping-particle\&quot;:\&quot;\&quot;},{\&quot;family\&quot;:\&quot;Capi\&quot;,\&quot;given\&quot;:\&quot;Matilde\&quot;,\&quot;parse-names\&quot;:false,\&quot;dropping-particle\&quot;:\&quot;\&quot;,\&quot;non-dropping-particle\&quot;:\&quot;\&quot;},{\&quot;family\&quot;:\&quot;Fazio\&quot;,\&quot;given\&quot;:\&quot;Francesco\&quot;,\&quot;parse-names\&quot;:false,\&quot;dropping-particle\&quot;:\&quot;\&quot;,\&quot;non-dropping-particle\&quot;:\&quot;\&quot;},{\&quot;family\&quot;:\&quot;Giamberardino\&quot;,\&quot;given\&quot;:\&quot;Maria Adele\&quot;,\&quot;parse-names\&quot;:false,\&quot;dropping-particle\&quot;:\&quot;\&quot;,\&quot;non-dropping-particle\&quot;:\&quot;\&quot;},{\&quot;family\&quot;:\&quot;Simmaco\&quot;,\&quot;given\&quot;:\&quot;Maurizio\&quot;,\&quot;parse-names\&quot;:false,\&quot;dropping-particle\&quot;:\&quot;\&quot;,\&quot;non-dropping-particle\&quot;:\&quot;\&quot;},{\&quot;family\&quot;:\&quot;Nicoletti\&quot;,\&quot;given\&quot;:\&quot;Ferdinando\&quot;,\&quot;parse-names\&quot;:false,\&quot;dropping-particle\&quot;:\&quot;\&quot;,\&quot;non-dropping-particle\&quot;:\&quot;\&quot;},{\&quot;family\&quot;:\&quot;Martelletti\&quot;,\&quot;given\&quot;:\&quot;Paolo\&quot;,\&quot;parse-names\&quot;:false,\&quot;dropping-particle\&quot;:\&quot;\&quot;,\&quot;non-dropping-particle\&quot;:\&quot;\&quot;}],\&quot;container-title\&quot;:\&quot;Journal of Headache and Pain\&quot;,\&quot;DOI\&quot;:\&quot;10.1186/s10194-016-0638-5\&quot;,\&quot;ISSN\&quot;:\&quot;11292377\&quot;,\&quot;PMID\&quot;:\&quot;27130315\&quot;,\&quot;URL\&quot;:\&quot;http://dx.doi.org/10.1186/s10194-016-0638-5\&quot;,\&quot;issued\&quot;:{\&quot;date-parts\&quot;:[[2016]]},\&quot;abstract\&quot;:\&quot;Background: Activation of glutamate (Glu) receptors plays a key role in the pathophysiology of migraine. Both NMDA and metabotropic Glu receptors are activated or inhibited by metabolites of the kynurenine pathway, such as kynureninic acid (KYNA), quinolinic acid (QUINA), and xanthurenic acid (XA). In spite of the extensive research carried out on KYNA and other kynurenine metabolites in experimental models of migraine, no studies have ever been carried out in humans. Here, we measured all metabolites of the kynurenine pathway in the serum of patients affected by chronic migraine (CM) and age- and gender-matched healthy controls. Methods: We assessed serum levels of tryptophan (Trp), L-kynurenine (KYN), KYNA, anthranilic acid (ANA), 3-hydroxyanthranilic acid (3-HANA), 3-hydroxykynirenine (3-HK), XA, QUINA, and 5-hydroxyindolacetic acid (5-HIAA) in 119 patients affected by CM (ICHD-3beta criteria) and 84 age-matched healthy subjects. Patients with psychiatric co-morbidities, systemic inflammatory, endocrine or neurological disorders, and mental retardation were excluded. Serum levels of all metabolites were assayed using liquid chromatography/tandem mass spectrometry (LC-MS/MS). Results: LC-MS/MS analysis of kynurenine metabolites showed significant reductions in the levels of KYN (−32 %), KYNA (−25 %), 3-HK (−49 %), 3-HANA (−63 %), 5-HIAA (−36 %) and QUINA (−80 %) in the serum of the CM patients, as compared to healthy controls. Conversely, levels of Trp, ANA and XA were significantly increased in CM patients (+5 %, +339 % and +28 %, respectively). Conclusions: These findings suggest that in migraine KYN is unidirectionally metabolized into ANA at expenses of KYNA and 3-HK. The reduction in the levels of KYNA, which behaves as a competitive antagonist of the glycine site of NMDA receptors, is consistent with the hypothesis that NMDA receptors are overactive in migraine. The increase in XA, a putative activator of Glu2 receptors, may represent a compensatory event aimed at reinforcing endogenous analgesic mechanisms. The large increase in the levels of ANA encourages research aimed at establishing whether ANA has any role in the regulation of nociceptive transmission.\&quot;,\&quot;publisher\&quot;:\&quot;The Journal of Headache and Pain\&quot;,\&quot;issue\&quot;:\&quot;1\&quot;,\&quot;volume\&quot;:\&quot;17\&quot;},\&quot;isTemporary\&quot;:false},{\&quot;id\&quot;:\&quot;50efd8e9-d4f9-3e98-b999-5943cab55848\&quot;,\&quot;itemData\&quot;:{\&quot;type\&quot;:\&quot;article-journal\&quot;,\&quot;id\&quot;:\&quot;50efd8e9-d4f9-3e98-b999-5943cab55848\&quot;,\&quot;title\&quot;:\&quot;Vitamin B 6 metabolism in users of oral contraceptive agents. I. Abnormal urinary xanthurenic acid excretion and its correction by pyridoxine.\&quot;,\&quot;author\&quot;:[{\&quot;family\&quot;:\&quot;Luhby\&quot;,\&quot;given\&quot;:\&quot;A. L.\&quot;,\&quot;parse-names\&quot;:false,\&quot;dropping-particle\&quot;:\&quot;\&quot;,\&quot;non-dropping-particle\&quot;:\&quot;\&quot;},{\&quot;family\&quot;:\&quot;Brin\&quot;,\&quot;given\&quot;:\&quot;M.\&quot;,\&quot;parse-names\&quot;:false,\&quot;dropping-particle\&quot;:\&quot;\&quot;,\&quot;non-dropping-particle\&quot;:\&quot;\&quot;},{\&quot;family\&quot;:\&quot;Gordon\&quot;,\&quot;given\&quot;:\&quot;M.\&quot;,\&quot;parse-names\&quot;:false,\&quot;dropping-particle\&quot;:\&quot;\&quot;,\&quot;non-dropping-particle\&quot;:\&quot;\&quot;},{\&quot;family\&quot;:\&quot;Davis\&quot;,\&quot;given\&quot;:\&quot;P.\&quot;,\&quot;parse-names\&quot;:false,\&quot;dropping-particle\&quot;:\&quot;\&quot;,\&quot;non-dropping-particle\&quot;:\&quot;\&quot;},{\&quot;family\&quot;:\&quot;Murphy\&quot;,\&quot;given\&quot;:\&quot;M.\&quot;,\&quot;parse-names\&quot;:false,\&quot;dropping-particle\&quot;:\&quot;\&quot;,\&quot;non-dropping-particle\&quot;:\&quot;\&quot;},{\&quot;family\&quot;:\&quot;Spiegel\&quot;,\&quot;given\&quot;:\&quot;H.\&quot;,\&quot;parse-names\&quot;:false,\&quot;dropping-particle\&quot;:\&quot;\&quot;,\&quot;non-dropping-particle\&quot;:\&quot;\&quot;}],\&quot;container-title\&quot;:\&quot;The American journal of clinical nutrition\&quot;,\&quot;DOI\&quot;:\&quot;10.1093/ajcn/24.6.684\&quot;,\&quot;ISSN\&quot;:\&quot;00029165\&quot;,\&quot;PMID\&quot;:\&quot;5581004\&quot;,\&quot;issued\&quot;:{\&quot;date-parts\&quot;:[[1971]]},\&quot;page\&quot;:\&quot;684-693\&quot;,\&quot;issue\&quot;:\&quot;6\&quot;,\&quot;volume\&quot;:\&quot;24\&quot;},\&quot;isTemporary\&quot;:false},{\&quot;id\&quot;:\&quot;a58680bd-791f-3e01-b3d6-cd570c99617b\&quot;,\&quot;itemData\&quot;:{\&quot;type\&quot;:\&quot;article-journal\&quot;,\&quot;id\&quot;:\&quot;a58680bd-791f-3e01-b3d6-cd570c99617b\&quot;,\&quot;title\&quot;:\&quot;The role of kynurenines in diabetes mellitus\&quot;,\&quot;author\&quot;:[{\&quot;family\&quot;:\&quot;Connick\&quot;,\&quot;given\&quot;:\&quot;J. H.\&quot;,\&quot;parse-names\&quot;:false,\&quot;dropping-particle\&quot;:\&quot;\&quot;,\&quot;non-dropping-particle\&quot;:\&quot;\&quot;},{\&quot;family\&quot;:\&quot;Stone\&quot;,\&quot;given\&quot;:\&quot;T. W.\&quot;,\&quot;parse-names\&quot;:false,\&quot;dropping-particle\&quot;:\&quot;\&quot;,\&quot;non-dropping-particle\&quot;:\&quot;\&quot;}],\&quot;container-title\&quot;:\&quot;Medical Hypotheses\&quot;,\&quot;accessed\&quot;:{\&quot;date-parts\&quot;:[[2020,10,12]]},\&quot;DOI\&quot;:\&quot;10.1016/0306-9877(85)90104-5\&quot;,\&quot;ISSN\&quot;:\&quot;03069877\&quot;,\&quot;PMID\&quot;:\&quot;3912651\&quot;,\&quot;URL\&quot;:\&quot;https://pubmed.ncbi.nlm.nih.gov/3912651/\&quot;,\&quot;issued\&quot;:{\&quot;date-parts\&quot;:[[1985]]},\&quot;page\&quot;:\&quot;371-376\&quot;,\&quot;abstract\&quot;:\&quot;Although different forms of diabetes are known to exist, there are a number of factors which occur in these states all of which would contribute to an increase in the synthesis of the kynurenine metabolites of tryptophan, xanthurenic acid in particular. Conditions giving rise to increased kynurenine metabolism include pregnancy, oral contraceptives, emotional and metabolic stress. We propose a mechanism by which kynurenines act to reduce the concentration of active insulin in plasma and thus give rise to a diabetic state. © 1985.\&quot;,\&quot;publisher\&quot;:\&quot;Med Hypotheses\&quot;,\&quot;issue\&quot;:\&quot;4\&quot;,\&quot;volume\&quot;:\&quot;18\&quot;},\&quot;isTemporary\&quot;:false}],\&quot;properties\&quot;:{\&quot;noteIndex\&quot;:0},\&quot;isEdited\&quot;:false,\&quot;manualOverride\&quot;:{\&quot;isManuallyOverriden\&quot;:false,\&quot;citeprocText\&quot;:\&quot;&lt;sup&gt;27–30&lt;/sup&gt;\&quot;,\&quot;manualOverrideText\&quot;:\&quot;\&quot;}}&quot;},{&quot;citationID&quot;:&quot;MENDELEY_CITATION_5bf5d364-4c4d-4035-bd9d-a7ff87cf5fa2&quot;,&quot;citationItems&quot;:[{&quot;id&quot;:&quot;50efd8e9-d4f9-3e98-b999-5943cab55848&quot;,&quot;itemData&quot;:{&quot;type&quot;:&quot;article-journal&quot;,&quot;id&quot;:&quot;50efd8e9-d4f9-3e98-b999-5943cab55848&quot;,&quot;title&quot;:&quot;Vitamin B 6 metabolism in users of oral contraceptive agents. I. Abnormal urinary xanthurenic acid excretion and its correction by pyridoxine.&quot;,&quot;author&quot;:[{&quot;family&quot;:&quot;Luhby&quot;,&quot;given&quot;:&quot;A. L.&quot;,&quot;parse-names&quot;:false,&quot;dropping-particle&quot;:&quot;&quot;,&quot;non-dropping-particle&quot;:&quot;&quot;},{&quot;family&quot;:&quot;Brin&quot;,&quot;given&quot;:&quot;M.&quot;,&quot;parse-names&quot;:false,&quot;dropping-particle&quot;:&quot;&quot;,&quot;non-dropping-particle&quot;:&quot;&quot;},{&quot;family&quot;:&quot;Gordon&quot;,&quot;given&quot;:&quot;M.&quot;,&quot;parse-names&quot;:false,&quot;dropping-particle&quot;:&quot;&quot;,&quot;non-dropping-particle&quot;:&quot;&quot;},{&quot;family&quot;:&quot;Davis&quot;,&quot;given&quot;:&quot;P.&quot;,&quot;parse-names&quot;:false,&quot;dropping-particle&quot;:&quot;&quot;,&quot;non-dropping-particle&quot;:&quot;&quot;},{&quot;family&quot;:&quot;Murphy&quot;,&quot;given&quot;:&quot;M.&quot;,&quot;parse-names&quot;:false,&quot;dropping-particle&quot;:&quot;&quot;,&quot;non-dropping-particle&quot;:&quot;&quot;},{&quot;family&quot;:&quot;Spiegel&quot;,&quot;given&quot;:&quot;H.&quot;,&quot;parse-names&quot;:false,&quot;dropping-particle&quot;:&quot;&quot;,&quot;non-dropping-particle&quot;:&quot;&quot;}],&quot;container-title&quot;:&quot;The American journal of clinical nutrition&quot;,&quot;DOI&quot;:&quot;10.1093/ajcn/24.6.684&quot;,&quot;ISSN&quot;:&quot;00029165&quot;,&quot;PMID&quot;:&quot;5581004&quot;,&quot;issued&quot;:{&quot;date-parts&quot;:[[1971]]},&quot;page&quot;:&quot;684-693&quot;,&quot;issue&quot;:&quot;6&quot;,&quot;volume&quot;:&quot;24&quot;},&quot;isTemporary&quot;:false},{&quot;id&quot;:&quot;a58680bd-791f-3e01-b3d6-cd570c99617b&quot;,&quot;itemData&quot;:{&quot;type&quot;:&quot;article-journal&quot;,&quot;id&quot;:&quot;a58680bd-791f-3e01-b3d6-cd570c99617b&quot;,&quot;title&quot;:&quot;The role of kynurenines in diabetes mellitus&quot;,&quot;author&quot;:[{&quot;family&quot;:&quot;Connick&quot;,&quot;given&quot;:&quot;J. H.&quot;,&quot;parse-names&quot;:false,&quot;dropping-particle&quot;:&quot;&quot;,&quot;non-dropping-particle&quot;:&quot;&quot;},{&quot;family&quot;:&quot;Stone&quot;,&quot;given&quot;:&quot;T. W.&quot;,&quot;parse-names&quot;:false,&quot;dropping-particle&quot;:&quot;&quot;,&quot;non-dropping-particle&quot;:&quot;&quot;}],&quot;container-title&quot;:&quot;Medical Hypotheses&quot;,&quot;accessed&quot;:{&quot;date-parts&quot;:[[2020,10,12]]},&quot;DOI&quot;:&quot;10.1016/0306-9877(85)90104-5&quot;,&quot;ISSN&quot;:&quot;03069877&quot;,&quot;PMID&quot;:&quot;3912651&quot;,&quot;URL&quot;:&quot;https://pubmed.ncbi.nlm.nih.gov/3912651/&quot;,&quot;issued&quot;:{&quot;date-parts&quot;:[[1985]]},&quot;page&quot;:&quot;371-376&quot;,&quot;abstract&quot;:&quot;Although different forms of diabetes are known to exist, there are a number of factors which occur in these states all of which would contribute to an increase in the synthesis of the kynurenine metabolites of tryptophan, xanthurenic acid in particular. Conditions giving rise to increased kynurenine metabolism include pregnancy, oral contraceptives, emotional and metabolic stress. We propose a mechanism by which kynurenines act to reduce the concentration of active insulin in plasma and thus give rise to a diabetic state. © 1985.&quot;,&quot;publisher&quot;:&quot;Med Hypotheses&quot;,&quot;issue&quot;:&quot;4&quot;,&quot;volume&quot;:&quot;18&quot;},&quot;isTemporary&quot;:false},{&quot;id&quot;:&quot;a04f01bf-71d3-36be-a63d-7e413c81d0c5&quot;,&quot;itemData&quot;:{&quot;type&quot;:&quot;article-journal&quot;,&quot;id&quot;:&quot;a04f01bf-71d3-36be-a63d-7e413c81d0c5&quot;,&quot;title&quot;:&quot;Prooxidant action of xanthurenic acid and quinoline compounds: Role of transition metals in the generation of reactive oxygen species and enhanced formation of 8-hydroxy-2′-deoxyguanosine in DNA&quot;,&quot;author&quot;:[{&quot;family&quot;:&quot;Murakami&quot;,&quot;given&quot;:&quot;Keiko&quot;,&quot;parse-names&quot;:false,&quot;dropping-particle&quot;:&quot;&quot;,&quot;non-dropping-particle&quot;:&quot;&quot;},{&quot;family&quot;:&quot;Haneda&quot;,&quot;given&quot;:&quot;Miyako&quot;,&quot;parse-names&quot;:false,&quot;dropping-particle&quot;:&quot;&quot;,&quot;non-dropping-particle&quot;:&quot;&quot;},{&quot;family&quot;:&quot;Yoshino&quot;,&quot;given&quot;:&quot;Masataka&quot;,&quot;parse-names&quot;:false,&quot;dropping-particle&quot;:&quot;&quot;,&quot;non-dropping-particle&quot;:&quot;&quot;}],&quot;container-title&quot;:&quot;BioMetals&quot;,&quot;DOI&quot;:&quot;10.1007/s10534-005-4528-6&quot;,&quot;ISSN&quot;:&quot;09660844&quot;,&quot;PMID&quot;:&quot;16841252&quot;,&quot;issued&quot;:{&quot;date-parts&quot;:[[2006]]},&quot;page&quot;:&quot;429-435&quot;,&quot;abstract&quot;:&quot;Xanthurenic acid, a product of tryptophan-NAD pathway, and quinoline compounds produced reactive oxygen species as a complex with iron. Aconitase, the most sensitive enzyme to oxidative stress was inactivated effectively by xanthurenic acid and to a lesser extent by 8-quinolinol in the presence of ferrous sulfate. The inactivation of aconitase was iron-dependent, and was prevented by TEMPOL, a scavenger of reactive oxygen species, suggesting that reduced iron bound to xanthurenic acid or 8-quinolinol can activate oxygen molecule to form superoxide radical. However, kynurenic acid and quinaldic acid without 8-hydroxyl group did not produce reactive oxygen species. Of the quinoline compounds tested, xanthurenic acid and 8-quinolinol with 8-hydroxyl group stimulated the autooxidation of ferrous ion, but kynurenic acid and quinaldic acid did not affect the oxidation of ferrous ion. Hydroxyl group at 8-positions of quinoline compounds was essential for the binding of iron causing the generation of reactive oxygen species. 8-Quinolinol effectively enhanced the ascorbate/copper-mediated formation of 8-hydroxy-2′-deoxyguanosine in DNA, suggesting the quinolinol/copper-dependent stimulation hydroxyl radical formation. Xanthurenic acid and 8-quinolinol as the metal-chelate complexes can show various cytotoxic effects by generating reactive oxygen species through the ferrous or cuprous ion-dependent activation of oxygen molecule. © Springer 2006.&quot;,&quot;issue&quot;:&quot;4&quot;,&quot;volume&quot;:&quot;19&quot;},&quot;isTemporary&quot;:false}],&quot;properties&quot;:{&quot;noteIndex&quot;:0},&quot;isEdited&quot;:false,&quot;manualOverride&quot;:{&quot;isManuallyOverriden&quot;:false,&quot;citeprocText&quot;:&quot;&lt;sup&gt;29–31&lt;/sup&gt;&quot;,&quot;manualOverrideText&quot;:&quot;&quot;},&quot;citationTag&quot;:&quot;MENDELEY_CITATION_{\&quot;citationID\&quot;:\&quot;MENDELEY_CITATION_5bf5d364-4c4d-4035-bd9d-a7ff87cf5fa2\&quot;,\&quot;citationItems\&quot;:[{\&quot;id\&quot;:\&quot;50efd8e9-d4f9-3e98-b999-5943cab55848\&quot;,\&quot;itemData\&quot;:{\&quot;type\&quot;:\&quot;article-journal\&quot;,\&quot;id\&quot;:\&quot;50efd8e9-d4f9-3e98-b999-5943cab55848\&quot;,\&quot;title\&quot;:\&quot;Vitamin B 6 metabolism in users of oral contraceptive agents. I. Abnormal urinary xanthurenic acid excretion and its correction by pyridoxine.\&quot;,\&quot;author\&quot;:[{\&quot;family\&quot;:\&quot;Luhby\&quot;,\&quot;given\&quot;:\&quot;A. L.\&quot;,\&quot;parse-names\&quot;:false,\&quot;dropping-particle\&quot;:\&quot;\&quot;,\&quot;non-dropping-particle\&quot;:\&quot;\&quot;},{\&quot;family\&quot;:\&quot;Brin\&quot;,\&quot;given\&quot;:\&quot;M.\&quot;,\&quot;parse-names\&quot;:false,\&quot;dropping-particle\&quot;:\&quot;\&quot;,\&quot;non-dropping-particle\&quot;:\&quot;\&quot;},{\&quot;family\&quot;:\&quot;Gordon\&quot;,\&quot;given\&quot;:\&quot;M.\&quot;,\&quot;parse-names\&quot;:false,\&quot;dropping-particle\&quot;:\&quot;\&quot;,\&quot;non-dropping-particle\&quot;:\&quot;\&quot;},{\&quot;family\&quot;:\&quot;Davis\&quot;,\&quot;given\&quot;:\&quot;P.\&quot;,\&quot;parse-names\&quot;:false,\&quot;dropping-particle\&quot;:\&quot;\&quot;,\&quot;non-dropping-particle\&quot;:\&quot;\&quot;},{\&quot;family\&quot;:\&quot;Murphy\&quot;,\&quot;given\&quot;:\&quot;M.\&quot;,\&quot;parse-names\&quot;:false,\&quot;dropping-particle\&quot;:\&quot;\&quot;,\&quot;non-dropping-particle\&quot;:\&quot;\&quot;},{\&quot;family\&quot;:\&quot;Spiegel\&quot;,\&quot;given\&quot;:\&quot;H.\&quot;,\&quot;parse-names\&quot;:false,\&quot;dropping-particle\&quot;:\&quot;\&quot;,\&quot;non-dropping-particle\&quot;:\&quot;\&quot;}],\&quot;container-title\&quot;:\&quot;The American journal of clinical nutrition\&quot;,\&quot;DOI\&quot;:\&quot;10.1093/ajcn/24.6.684\&quot;,\&quot;ISSN\&quot;:\&quot;00029165\&quot;,\&quot;PMID\&quot;:\&quot;5581004\&quot;,\&quot;issued\&quot;:{\&quot;date-parts\&quot;:[[1971]]},\&quot;page\&quot;:\&quot;684-693\&quot;,\&quot;issue\&quot;:\&quot;6\&quot;,\&quot;volume\&quot;:\&quot;24\&quot;},\&quot;isTemporary\&quot;:false},{\&quot;id\&quot;:\&quot;a58680bd-791f-3e01-b3d6-cd570c99617b\&quot;,\&quot;itemData\&quot;:{\&quot;type\&quot;:\&quot;article-journal\&quot;,\&quot;id\&quot;:\&quot;a58680bd-791f-3e01-b3d6-cd570c99617b\&quot;,\&quot;title\&quot;:\&quot;The role of kynurenines in diabetes mellitus\&quot;,\&quot;author\&quot;:[{\&quot;family\&quot;:\&quot;Connick\&quot;,\&quot;given\&quot;:\&quot;J. H.\&quot;,\&quot;parse-names\&quot;:false,\&quot;dropping-particle\&quot;:\&quot;\&quot;,\&quot;non-dropping-particle\&quot;:\&quot;\&quot;},{\&quot;family\&quot;:\&quot;Stone\&quot;,\&quot;given\&quot;:\&quot;T. W.\&quot;,\&quot;parse-names\&quot;:false,\&quot;dropping-particle\&quot;:\&quot;\&quot;,\&quot;non-dropping-particle\&quot;:\&quot;\&quot;}],\&quot;container-title\&quot;:\&quot;Medical Hypotheses\&quot;,\&quot;accessed\&quot;:{\&quot;date-parts\&quot;:[[2020,10,12]]},\&quot;DOI\&quot;:\&quot;10.1016/0306-9877(85)90104-5\&quot;,\&quot;ISSN\&quot;:\&quot;03069877\&quot;,\&quot;PMID\&quot;:\&quot;3912651\&quot;,\&quot;URL\&quot;:\&quot;https://pubmed.ncbi.nlm.nih.gov/3912651/\&quot;,\&quot;issued\&quot;:{\&quot;date-parts\&quot;:[[1985]]},\&quot;page\&quot;:\&quot;371-376\&quot;,\&quot;abstract\&quot;:\&quot;Although different forms of diabetes are known to exist, there are a number of factors which occur in these states all of which would contribute to an increase in the synthesis of the kynurenine metabolites of tryptophan, xanthurenic acid in particular. Conditions giving rise to increased kynurenine metabolism include pregnancy, oral contraceptives, emotional and metabolic stress. We propose a mechanism by which kynurenines act to reduce the concentration of active insulin in plasma and thus give rise to a diabetic state. © 1985.\&quot;,\&quot;publisher\&quot;:\&quot;Med Hypotheses\&quot;,\&quot;issue\&quot;:\&quot;4\&quot;,\&quot;volume\&quot;:\&quot;18\&quot;},\&quot;isTemporary\&quot;:false},{\&quot;id\&quot;:\&quot;a04f01bf-71d3-36be-a63d-7e413c81d0c5\&quot;,\&quot;itemData\&quot;:{\&quot;type\&quot;:\&quot;article-journal\&quot;,\&quot;id\&quot;:\&quot;a04f01bf-71d3-36be-a63d-7e413c81d0c5\&quot;,\&quot;title\&quot;:\&quot;Prooxidant action of xanthurenic acid and quinoline compounds: Role of transition metals in the generation of reactive oxygen species and enhanced formation of 8-hydroxy-2′-deoxyguanosine in DNA\&quot;,\&quot;author\&quot;:[{\&quot;family\&quot;:\&quot;Murakami\&quot;,\&quot;given\&quot;:\&quot;Keiko\&quot;,\&quot;parse-names\&quot;:false,\&quot;dropping-particle\&quot;:\&quot;\&quot;,\&quot;non-dropping-particle\&quot;:\&quot;\&quot;},{\&quot;family\&quot;:\&quot;Haneda\&quot;,\&quot;given\&quot;:\&quot;Miyako\&quot;,\&quot;parse-names\&quot;:false,\&quot;dropping-particle\&quot;:\&quot;\&quot;,\&quot;non-dropping-particle\&quot;:\&quot;\&quot;},{\&quot;family\&quot;:\&quot;Yoshino\&quot;,\&quot;given\&quot;:\&quot;Masataka\&quot;,\&quot;parse-names\&quot;:false,\&quot;dropping-particle\&quot;:\&quot;\&quot;,\&quot;non-dropping-particle\&quot;:\&quot;\&quot;}],\&quot;container-title\&quot;:\&quot;BioMetals\&quot;,\&quot;DOI\&quot;:\&quot;10.1007/s10534-005-4528-6\&quot;,\&quot;ISSN\&quot;:\&quot;09660844\&quot;,\&quot;PMID\&quot;:\&quot;16841252\&quot;,\&quot;issued\&quot;:{\&quot;date-parts\&quot;:[[2006]]},\&quot;page\&quot;:\&quot;429-435\&quot;,\&quot;abstract\&quot;:\&quot;Xanthurenic acid, a product of tryptophan-NAD pathway, and quinoline compounds produced reactive oxygen species as a complex with iron. Aconitase, the most sensitive enzyme to oxidative stress was inactivated effectively by xanthurenic acid and to a lesser extent by 8-quinolinol in the presence of ferrous sulfate. The inactivation of aconitase was iron-dependent, and was prevented by TEMPOL, a scavenger of reactive oxygen species, suggesting that reduced iron bound to xanthurenic acid or 8-quinolinol can activate oxygen molecule to form superoxide radical. However, kynurenic acid and quinaldic acid without 8-hydroxyl group did not produce reactive oxygen species. Of the quinoline compounds tested, xanthurenic acid and 8-quinolinol with 8-hydroxyl group stimulated the autooxidation of ferrous ion, but kynurenic acid and quinaldic acid did not affect the oxidation of ferrous ion. Hydroxyl group at 8-positions of quinoline compounds was essential for the binding of iron causing the generation of reactive oxygen species. 8-Quinolinol effectively enhanced the ascorbate/copper-mediated formation of 8-hydroxy-2′-deoxyguanosine in DNA, suggesting the quinolinol/copper-dependent stimulation hydroxyl radical formation. Xanthurenic acid and 8-quinolinol as the metal-chelate complexes can show various cytotoxic effects by generating reactive oxygen species through the ferrous or cuprous ion-dependent activation of oxygen molecule. © Springer 2006.\&quot;,\&quot;issue\&quot;:\&quot;4\&quot;,\&quot;volume\&quot;:\&quot;19\&quot;},\&quot;isTemporary\&quot;:false}],\&quot;properties\&quot;:{\&quot;noteIndex\&quot;:0},\&quot;isEdited\&quot;:false,\&quot;manualOverride\&quot;:{\&quot;isManuallyOverriden\&quot;:false,\&quot;citeprocText\&quot;:\&quot;&lt;sup&gt;29–31&lt;/sup&gt;\&quot;,\&quot;manualOverrideText\&quot;:\&quot;\&quot;}}&quot;},{&quot;citationID&quot;:&quot;MENDELEY_CITATION_6dccccd8-9750-4cb3-889a-6ff821670bc0&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id&quot;:&quot;43d80534-f9f7-38ec-bbbe-21008cd50d72&quot;,&quot;itemData&quot;:{&quot;type&quot;:&quot;article&quot;,&quot;id&quot;:&quot;43d80534-f9f7-38ec-bbbe-21008cd50d72&quot;,&quot;title&quot;:&quot;The clinical and laboratory correlates of an increased urinary 5-hydroxyindoleacetic acid&quot;,&quot;author&quot;:[{&quot;family&quot;:&quot;Tormey&quot;,&quot;given&quot;:&quot;W. P.&quot;,&quot;parse-names&quot;:false,&quot;dropping-particle&quot;:&quot;&quot;,&quot;non-dropping-particle&quot;:&quot;&quot;},{&quot;family&quot;:&quot;Fitz Gerald&quot;,&quot;given&quot;:&quot;R. J.&quot;,&quot;parse-names&quot;:false,&quot;dropping-particle&quot;:&quot;&quot;,&quot;non-dropping-particle&quot;:&quot;&quot;}],&quot;container-title&quot;:&quot;Postgraduate Medical Journal&quot;,&quot;accessed&quot;:{&quot;date-parts&quot;:[[2020,10,12]]},&quot;DOI&quot;:&quot;10.1136/pgmj.71.839.542&quot;,&quot;ISSN&quot;:&quot;00325473&quot;,&quot;PMID&quot;:&quot;7479466&quot;,&quot;issued&quot;:{&quot;date-parts&quot;:[[1995]]},&quot;page&quot;:&quot;542-545&quot;,&quot;abstract&quot;:&quot;Over a five-and-a-half-year period, there were 298 laboratory requests for urinary 5-hydroxyindoleacetic acid (5-HIAA). The clinical and laboratory associations of the 24 patients in which there were 43 urinary 5-HIAA 24-h collection results greater than the laboratory upper reference limit are detailed. Four were confirmed carcinoid tumours and two were phaeochromocytomas. Flushing was a prominent symptom in 46% and diarrhoea or altered bowel habit in 37%. Associated with the raised urinary 5-HIAA values were increased levels of 4-hydroxy-3-methoxymandelic acid and homovanillic acid in 14.3% and 21%, respectively, of those collections where the metabolites were requested. Diagnostic imaging was performed in 57%. While the specificity was 88%, 5-HIAA is relatively insensitive in the diagnosis of carcinoid tumours and a more widespread use of diagnostic imaging including isotope scanning with labelled metaiodobenzylguanidine, vasoactive intestinal peptide and octreotide is suggested.&quot;,&quot;publisher&quot;:&quot;BMJ Publishing Group&quot;,&quot;issue&quot;:&quot;839&quot;,&quot;volume&quot;:&quot;71&quot;},&quot;isTemporary&quot;:false},{&quot;id&quot;:&quot;36b7dfea-d01d-309f-be10-edc9c7a63784&quot;,&quot;itemData&quot;:{&quot;type&quot;:&quot;article-journal&quot;,&quot;id&quot;:&quot;36b7dfea-d01d-309f-be10-edc9c7a63784&quot;,&quot;title&quot;:&quot;Urinary excretion of 5-hydroxy-3-indoleacetic acid in dystimic/depressed, adult obese women: What correlations to hepatic steatosis?&quot;,&quot;author&quot;:[{&quot;family&quot;:&quot;Tarantino&quot;,&quot;given&quot;:&quot;Giovanni&quot;,&quot;parse-names&quot;:false,&quot;dropping-particle&quot;:&quot;&quot;,&quot;non-dropping-particle&quot;:&quot;&quot;},{&quot;family&quot;:&quot;Savastano&quot;,&quot;given&quot;:&quot;S.&quot;,&quot;parse-names&quot;:false,&quot;dropping-particle&quot;:&quot;&quot;,&quot;non-dropping-particle&quot;:&quot;&quot;},{&quot;family&quot;:&quot;Colao&quot;,&quot;given&quot;:&quot;A.&quot;,&quot;parse-names&quot;:false,&quot;dropping-particle&quot;:&quot;&quot;,&quot;non-dropping-particle&quot;:&quot;&quot;},{&quot;family&quot;:&quot;Polichetti&quot;,&quot;given&quot;:&quot;G.&quot;,&quot;parse-names&quot;:false,&quot;dropping-particle&quot;:&quot;&quot;,&quot;non-dropping-particle&quot;:&quot;&quot;},{&quot;family&quot;:&quot;Capone&quot;,&quot;given&quot;:&quot;D.&quot;,&quot;parse-names&quot;:false,&quot;dropping-particle&quot;:&quot;&quot;,&quot;non-dropping-particle&quot;:&quot;&quot;}],&quot;container-title&quot;:&quot;International Journal of Immunopathology and Pharmacology&quot;,&quot;accessed&quot;:{&quot;date-parts&quot;:[[2020,10,12]]},&quot;DOI&quot;:&quot;10.1177/039463201102400323&quot;,&quot;ISSN&quot;:&quot;03946320&quot;,&quot;URL&quot;:&quot;https://pubmed.ncbi.nlm.nih.gov/21978708/&quot;,&quot;issued&quot;:{&quot;date-parts&quot;:[[2011]]},&quot;page&quot;:&quot;769-779&quot;,&quot;abstract&quot;:&quot;The synthesis of serotonin at CNS level is influenced by diet. Moreover, insulin resistance is associated with lower serotonin levels. Visceral obesity, strictly linked to hepatic steatosis is specifically associated with mild to severe somatic affective-depressive symptom clusters. Previous data support the view that depression involves serotonergic systems, reflecting low levels of urinary 5- hydroxy-3-indoleacetic acid (5-HIAA). The 24-h urinary excretion of 5-HIAA was evaluated in 76 dystimic/depressed, obese/ overweight females, divided into two groups, i.e., on a hyper-caloric diet, associated with a life style characterized by leisure time sedentary behavior (LTSB, 35 women), or on a normo-caloric diet, assisted by program-based strategies aimed at promoting physical activity participation (PAP, 41 women). Beck Depression Inventory (BDI) was carried out to score the severity of dystimia/depression. Anthropometric measures, metabolic indices, severity of hepatic steatosis at sonography and HOMA were studied. Urinary levels of 5-HIAA in controls and PAP groups were comparable with a great overlap, while in the LTSB group the urinary excretion of 5-HIAA was significantly reduced in respect to that of the PAP group and obviously compared to that of the control group, 3.4±1.4 mg/L versus 6.2±2.7 mg/L and 6.4±2.6 mg/L, respectively, ANOVA test, P= 0.001. Among metabolic indices, cholesterol, HDL-cholesterol, triglycerides and uric acid were not able to predict urinary concentrations of 5-HIAA, which were not associated with hepatic steatosis; vice versa, ferritin levels, and mainly HOMA values, were independent predictors of the urinary excretion of 5-HIAA (β=0.235 and 0.45, respectively). Dystimia/ depression severity was negatively predicted by urinary 5-HIAA levels in the sense that the highest BDI values were forecast by the lowest values of urinary 5-HIAA (β= -0.72).The importance of measuring the 24-h urinary excretion of 5-HIAA in follow-ups could rely on a method simultaneously mirroring the well-being status, the adherence to physical activity, which leads to improved insulin sensitivity, and the eating habits acquired by dystimic/depressed overweight/obese patients. In contrast, the significance of the urinary 5-HIAA is reduced in evaluating the severity of hepatic steatosis, likely because it is a structured process. Copyright © by BIOLIFE, s.a.s.&quot;,&quot;publisher&quot;:&quot;Biolife s.a.s.&quot;,&quot;issue&quot;:&quot;3&quot;,&quot;volume&quot;:&quot;24&quot;},&quot;isTemporary&quot;:false}],&quot;properties&quot;:{&quot;noteIndex&quot;:0},&quot;isEdited&quot;:false,&quot;manualOverride&quot;:{&quot;isManuallyOverriden&quot;:false,&quot;citeprocText&quot;:&quot;&lt;sup&gt;25,32,33&lt;/sup&gt;&quot;,&quot;manualOverrideText&quot;:&quot;&quot;},&quot;citationTag&quot;:&quot;MENDELEY_CITATION_{\&quot;citationID\&quot;:\&quot;MENDELEY_CITATION_6dccccd8-9750-4cb3-889a-6ff821670bc0\&quot;,\&quot;citationItems\&quot;:[{\&quot;id\&quot;:\&quot;e26e5d43-3022-30ab-8fa3-f2519a6256c3\&quot;,\&quot;itemData\&quot;:{\&quot;type\&quot;:\&quot;article-journal\&quot;,\&quot;id\&quot;:\&quot;e26e5d43-3022-30ab-8fa3-f2519a6256c3\&quot;,\&quot;title\&quot;:\&quot;Quantification of vanillylmandelic acid, homovanillic acid and 5-hydroxyindoleacetic acid in urine using a dilute-and-shoot and ultra-high pressure liquid chromatography tandem mass spectrometry method\&quot;,\&quot;author\&quot;:[{\&quot;family\&quot;:\&quot;Grouzmann\&quot;,\&quot;given\&quot;:\&quot;Eric\&quot;,\&quot;parse-names\&quot;:false,\&quot;dropping-particle\&quot;:\&quot;\&quot;,\&quot;non-dropping-particle\&quot;:\&quot;\&quot;},{\&quot;family\&quot;:\&quot;Centeno\&quot;,\&quot;given\&quot;:\&quot;Catherine\&quot;,\&quot;parse-names\&quot;:false,\&quot;dropping-particle\&quot;:\&quot;\&quot;,\&quot;non-dropping-particle\&quot;:\&quot;\&quot;},{\&quot;family\&quot;:\&quot;Eugster\&quot;,\&quot;given\&quot;:\&quot;Philippe J.\&quot;,\&quot;parse-names\&quot;:false,\&quot;dropping-particle\&quot;:\&quot;\&quot;,\&quot;non-dropping-particle\&quot;:\&quot;\&quot;}],\&quot;container-title\&quot;:\&quot;Clinical Chemistry and Laboratory Medicine\&quot;,\&quot;accessed\&quot;:{\&quot;date-parts\&quot;:[[2020,10,12]]},\&quot;DOI\&quot;:\&quot;10.1515/cclm-2017-1120\&quot;,\&quot;ISSN\&quot;:\&quot;14374331\&quot;,\&quot;PMID\&quot;:\&quot;29708876\&quot;,\&quot;URL\&quot;:\&quot;https://pubmed.ncbi.nlm.nih.gov/29708876/\&quot;,\&quot;issued\&quot;:{\&quot;date-parts\&quot;:[[2018,8,28]]},\&quot;page\&quot;:\&quot;1533-1541\&quot;,\&quot;abstract\&quot;:\&quot;Urinary vanillylmandelic acid (VMA) and homovanillic acid (HVA) are biomarkers for the diagnosis and follow-up of neuroblastoma, whereas urinary 5-hydroxyindoleacetic acid (5-HIAA) is used to assess a carcinoid tumor. These analytes are conventionally analyzed in a single run by chromatography (LC) coupled with electrochemical detection (LC-ECD) using commercial kits. A rapid dilute-and-shoot LC tandem mass spectrometry (LC-MS/MS) assay was validated in order to replace the LC-ECD method and therefore improve analytical specificity and throughput. Sample preparation was carried out by dilution of the urine sample with a solution containing the deuterated internal standards. The separation was achieved on an ultra-high pressure LC system with MS detection using a triple quadrupole mass spectrometer. The method was validated according to the current EMA and FDA guidelines. The full chromatographic run was achieved in 8 min. The method validation showed excellent linearity (r 2 &gt;0.999 for all three analytes), precision (CV &lt;15%), negligible matrix effect (recoveries &gt;90%), low carryover (&lt;1%) and LLOQ of 0.25, 0.4 and 0.4 μM for VMA, HVA and 5-HIAA, respectively. Deming fits and Bland-Altman analyses showed no significant differences between the values obtained between the two assays. The LC-MS/MS method proposed in this study is fast and robust, and the simple sample preparation saves time and avoids the additional costs of dedicated kits used for the LC-ECD assays by switching to LC-MS/MS. Additionally, the near-perfect correlation observed herein between both assays allows the previously established reference ranges to be maintained.\&quot;,\&quot;publisher\&quot;:\&quot;Walter de Gruyter GmbH\&quot;,\&quot;issue\&quot;:\&quot;9\&quot;,\&quot;volume\&quot;:\&quot;56\&quot;},\&quot;isTemporary\&quot;:false},{\&quot;id\&quot;:\&quot;43d80534-f9f7-38ec-bbbe-21008cd50d72\&quot;,\&quot;itemData\&quot;:{\&quot;type\&quot;:\&quot;article\&quot;,\&quot;id\&quot;:\&quot;43d80534-f9f7-38ec-bbbe-21008cd50d72\&quot;,\&quot;title\&quot;:\&quot;The clinical and laboratory correlates of an increased urinary 5-hydroxyindoleacetic acid\&quot;,\&quot;author\&quot;:[{\&quot;family\&quot;:\&quot;Tormey\&quot;,\&quot;given\&quot;:\&quot;W. P.\&quot;,\&quot;parse-names\&quot;:false,\&quot;dropping-particle\&quot;:\&quot;\&quot;,\&quot;non-dropping-particle\&quot;:\&quot;\&quot;},{\&quot;family\&quot;:\&quot;Fitz Gerald\&quot;,\&quot;given\&quot;:\&quot;R. J.\&quot;,\&quot;parse-names\&quot;:false,\&quot;dropping-particle\&quot;:\&quot;\&quot;,\&quot;non-dropping-particle\&quot;:\&quot;\&quot;}],\&quot;container-title\&quot;:\&quot;Postgraduate Medical Journal\&quot;,\&quot;accessed\&quot;:{\&quot;date-parts\&quot;:[[2020,10,12]]},\&quot;DOI\&quot;:\&quot;10.1136/pgmj.71.839.542\&quot;,\&quot;ISSN\&quot;:\&quot;00325473\&quot;,\&quot;PMID\&quot;:\&quot;7479466\&quot;,\&quot;issued\&quot;:{\&quot;date-parts\&quot;:[[1995]]},\&quot;page\&quot;:\&quot;542-545\&quot;,\&quot;abstract\&quot;:\&quot;Over a five-and-a-half-year period, there were 298 laboratory requests for urinary 5-hydroxyindoleacetic acid (5-HIAA). The clinical and laboratory associations of the 24 patients in which there were 43 urinary 5-HIAA 24-h collection results greater than the laboratory upper reference limit are detailed. Four were confirmed carcinoid tumours and two were phaeochromocytomas. Flushing was a prominent symptom in 46% and diarrhoea or altered bowel habit in 37%. Associated with the raised urinary 5-HIAA values were increased levels of 4-hydroxy-3-methoxymandelic acid and homovanillic acid in 14.3% and 21%, respectively, of those collections where the metabolites were requested. Diagnostic imaging was performed in 57%. While the specificity was 88%, 5-HIAA is relatively insensitive in the diagnosis of carcinoid tumours and a more widespread use of diagnostic imaging including isotope scanning with labelled metaiodobenzylguanidine, vasoactive intestinal peptide and octreotide is suggested.\&quot;,\&quot;publisher\&quot;:\&quot;BMJ Publishing Group\&quot;,\&quot;issue\&quot;:\&quot;839\&quot;,\&quot;volume\&quot;:\&quot;71\&quot;},\&quot;isTemporary\&quot;:false},{\&quot;id\&quot;:\&quot;36b7dfea-d01d-309f-be10-edc9c7a63784\&quot;,\&quot;itemData\&quot;:{\&quot;type\&quot;:\&quot;article-journal\&quot;,\&quot;id\&quot;:\&quot;36b7dfea-d01d-309f-be10-edc9c7a63784\&quot;,\&quot;title\&quot;:\&quot;Urinary excretion of 5-hydroxy-3-indoleacetic acid in dystimic/depressed, adult obese women: What correlations to hepatic steatosis?\&quot;,\&quot;author\&quot;:[{\&quot;family\&quot;:\&quot;Tarantino\&quot;,\&quot;given\&quot;:\&quot;Giovanni\&quot;,\&quot;parse-names\&quot;:false,\&quot;dropping-particle\&quot;:\&quot;\&quot;,\&quot;non-dropping-particle\&quot;:\&quot;\&quot;},{\&quot;family\&quot;:\&quot;Savastano\&quot;,\&quot;given\&quot;:\&quot;S.\&quot;,\&quot;parse-names\&quot;:false,\&quot;dropping-particle\&quot;:\&quot;\&quot;,\&quot;non-dropping-particle\&quot;:\&quot;\&quot;},{\&quot;family\&quot;:\&quot;Colao\&quot;,\&quot;given\&quot;:\&quot;A.\&quot;,\&quot;parse-names\&quot;:false,\&quot;dropping-particle\&quot;:\&quot;\&quot;,\&quot;non-dropping-particle\&quot;:\&quot;\&quot;},{\&quot;family\&quot;:\&quot;Polichetti\&quot;,\&quot;given\&quot;:\&quot;G.\&quot;,\&quot;parse-names\&quot;:false,\&quot;dropping-particle\&quot;:\&quot;\&quot;,\&quot;non-dropping-particle\&quot;:\&quot;\&quot;},{\&quot;family\&quot;:\&quot;Capone\&quot;,\&quot;given\&quot;:\&quot;D.\&quot;,\&quot;parse-names\&quot;:false,\&quot;dropping-particle\&quot;:\&quot;\&quot;,\&quot;non-dropping-particle\&quot;:\&quot;\&quot;}],\&quot;container-title\&quot;:\&quot;International Journal of Immunopathology and Pharmacology\&quot;,\&quot;accessed\&quot;:{\&quot;date-parts\&quot;:[[2020,10,12]]},\&quot;DOI\&quot;:\&quot;10.1177/039463201102400323\&quot;,\&quot;ISSN\&quot;:\&quot;03946320\&quot;,\&quot;URL\&quot;:\&quot;https://pubmed.ncbi.nlm.nih.gov/21978708/\&quot;,\&quot;issued\&quot;:{\&quot;date-parts\&quot;:[[2011]]},\&quot;page\&quot;:\&quot;769-779\&quot;,\&quot;abstract\&quot;:\&quot;The synthesis of serotonin at CNS level is influenced by diet. Moreover, insulin resistance is associated with lower serotonin levels. Visceral obesity, strictly linked to hepatic steatosis is specifically associated with mild to severe somatic affective-depressive symptom clusters. Previous data support the view that depression involves serotonergic systems, reflecting low levels of urinary 5- hydroxy-3-indoleacetic acid (5-HIAA). The 24-h urinary excretion of 5-HIAA was evaluated in 76 dystimic/depressed, obese/ overweight females, divided into two groups, i.e., on a hyper-caloric diet, associated with a life style characterized by leisure time sedentary behavior (LTSB, 35 women), or on a normo-caloric diet, assisted by program-based strategies aimed at promoting physical activity participation (PAP, 41 women). Beck Depression Inventory (BDI) was carried out to score the severity of dystimia/depression. Anthropometric measures, metabolic indices, severity of hepatic steatosis at sonography and HOMA were studied. Urinary levels of 5-HIAA in controls and PAP groups were comparable with a great overlap, while in the LTSB group the urinary excretion of 5-HIAA was significantly reduced in respect to that of the PAP group and obviously compared to that of the control group, 3.4±1.4 mg/L versus 6.2±2.7 mg/L and 6.4±2.6 mg/L, respectively, ANOVA test, P= 0.001. Among metabolic indices, cholesterol, HDL-cholesterol, triglycerides and uric acid were not able to predict urinary concentrations of 5-HIAA, which were not associated with hepatic steatosis; vice versa, ferritin levels, and mainly HOMA values, were independent predictors of the urinary excretion of 5-HIAA (β=0.235 and 0.45, respectively). Dystimia/ depression severity was negatively predicted by urinary 5-HIAA levels in the sense that the highest BDI values were forecast by the lowest values of urinary 5-HIAA (β= -0.72).The importance of measuring the 24-h urinary excretion of 5-HIAA in follow-ups could rely on a method simultaneously mirroring the well-being status, the adherence to physical activity, which leads to improved insulin sensitivity, and the eating habits acquired by dystimic/depressed overweight/obese patients. In contrast, the significance of the urinary 5-HIAA is reduced in evaluating the severity of hepatic steatosis, likely because it is a structured process. Copyright © by BIOLIFE, s.a.s.\&quot;,\&quot;publisher\&quot;:\&quot;Biolife s.a.s.\&quot;,\&quot;issue\&quot;:\&quot;3\&quot;,\&quot;volume\&quot;:\&quot;24\&quot;},\&quot;isTemporary\&quot;:false}],\&quot;properties\&quot;:{\&quot;noteIndex\&quot;:0},\&quot;isEdited\&quot;:false,\&quot;manualOverride\&quot;:{\&quot;isManuallyOverriden\&quot;:false,\&quot;citeprocText\&quot;:\&quot;&lt;sup&gt;25,32,33&lt;/sup&gt;\&quot;,\&quot;manualOverrideText\&quot;:\&quot;\&quot;}}&quot;},{&quot;citationID&quot;:&quot;MENDELEY_CITATION_b8039101-7354-4eb0-a338-5e66e4423a36&quot;,&quot;citationItems&quot;:[{&quot;id&quot;:&quot;53d724ed-1780-3759-94f6-f20399c23167&quot;,&quot;itemData&quot;:{&quot;type&quot;:&quot;article-journal&quot;,&quot;id&quot;:&quot;53d724ed-1780-3759-94f6-f20399c23167&quot;,&quot;title&quot;:&quot;Plasma L-5-oxoproline kinetics and whole blood glutathione synthesis rates in severely burned adult humans&quot;,&quot;author&quot;:[{&quot;family&quot;:&quot;Yu&quot;,&quot;given&quot;:&quot;Yong Ming&quot;,&quot;parse-names&quot;:false,&quot;dropping-particle&quot;:&quot;&quot;,&quot;non-dropping-particle&quot;:&quot;&quot;},{&quot;family&quot;:&quot;Ryan&quot;,&quot;given&quot;:&quot;Colleen M.&quot;,&quot;parse-names&quot;:false,&quot;dropping-particle&quot;:&quot;&quot;,&quot;non-dropping-particle&quot;:&quot;&quot;},{&quot;family&quot;:&quot;Fei&quot;,&quot;given&quot;:&quot;Zhe Wei&quot;,&quot;parse-names&quot;:false,&quot;dropping-particle&quot;:&quot;&quot;,&quot;non-dropping-particle&quot;:&quot;&quot;},{&quot;family&quot;:&quot;Lu&quot;,&quot;given&quot;:&quot;Xiao Ming&quot;,&quot;parse-names&quot;:false,&quot;dropping-particle&quot;:&quot;&quot;,&quot;non-dropping-particle&quot;:&quot;&quot;},{&quot;family&quot;:&quot;Castillo&quot;,&quot;given&quot;:&quot;Leticia&quot;,&quot;parse-names&quot;:false,&quot;dropping-particle&quot;:&quot;&quot;,&quot;non-dropping-particle&quot;:&quot;&quot;},{&quot;family&quot;:&quot;Schultz&quot;,&quot;given&quot;:&quot;John T.&quot;,&quot;parse-names&quot;:false,&quot;dropping-particle&quot;:&quot;&quot;,&quot;non-dropping-particle&quot;:&quot;&quot;},{&quot;family&quot;:&quot;Tompkins&quot;,&quot;given&quot;:&quot;Ronald G.&quot;,&quot;parse-names&quot;:false,&quot;dropping-particle&quot;:&quot;&quot;,&quot;non-dropping-particle&quot;:&quot;&quot;},{&quot;family&quot;:&quot;Young&quot;,&quot;given&quot;:&quot;Vernon R.&quot;,&quot;parse-names&quot;:false,&quot;dropping-particle&quot;:&quot;&quot;,&quot;non-dropping-particle&quot;:&quot;&quot;}],&quot;container-title&quot;:&quot;American Journal of Physiology - Endocrinology and Metabolism&quot;,&quot;DOI&quot;:&quot;10.1152/ajpendo.00206.2001&quot;,&quot;ISSN&quot;:&quot;01931849&quot;,&quot;PMID&quot;:&quot;11788355&quot;,&quot;issued&quot;:{&quot;date-parts&quot;:[[2002]]},&quot;abstract&quot;:&quot;Compromised glutathione homeostasis is associated with increased morbidity in various disease states. We evaluated the kinetics of L-5-oxoproline, an intermediate in the γ-glutamyl cycle of glutathione production, in fourteen severely burned adults by use of a primed, constant intravenous infusion of L-5-[1-13C] oxoproline. In nine of these patients, whole blood glutathione synthesis and plasma kinetics of glycine and leucine were also measured with [15N]glycine and L-[2H3]leucine tracers. Patients were studied under a \&quot;basal\&quot; condition that provided a low dose of glucose and total parenteral nutrition. For comparison with control subjects, whole blood glutathione synthesis was estimated in six healthy adults. Burn patients in a basal condition showed significantly higher rates of plasma oxoproline clearance and urinary D- and L-oxoproline excretion compared with fasting healthy control subjects. Whole blood glutathione concentration and absolute synthesis rate in the basal state were lower than for control subjects. Total parenteral feeding without cysteine but with generous methionine did not affect oxoproline kinetics or whole blood glutathione synthesis. The estimated rate of glycine de novo synthesis was also lower in burn patients, suggesting a possible change in glycine availability for glutathione synthesis. The roles of precursor amino acid availability, as well as alterations in metabolic capacity, in modulating whole blood glutathione production in burns now require investigation.&quot;,&quot;issue&quot;:&quot;2 45-2&quot;,&quot;volume&quot;:&quot;282&quot;},&quot;isTemporary&quot;:false},{&quot;id&quot;:&quot;a22c7033-e6ee-3fba-9739-b1051f0290bf&quot;,&quot;itemData&quot;:{&quot;type&quot;:&quot;article&quot;,&quot;id&quot;:&quot;a22c7033-e6ee-3fba-9739-b1051f0290bf&quot;,&quot;title&quot;:&quot;Recurrent Pyroglutamic Acidosis Related to Therapeutic Acetaminophen&quot;,&quot;author&quot;:[{&quot;family&quot;:&quot;Alhourani&quot;,&quot;given&quot;:&quot;Hazem M.&quot;,&quot;parse-names&quot;:false,&quot;dropping-particle&quot;:&quot;&quot;,&quot;non-dropping-particle&quot;:&quot;&quot;},{&quot;family&quot;:&quot;Kumar&quot;,&quot;given&quot;:&quot;Aneel&quot;,&quot;parse-names&quot;:false,&quot;dropping-particle&quot;:&quot;&quot;,&quot;non-dropping-particle&quot;:&quot;&quot;},{&quot;family&quot;:&quot;George&quot;,&quot;given&quot;:&quot;Lekha K.&quot;,&quot;parse-names&quot;:false,&quot;dropping-particle&quot;:&quot;&quot;,&quot;non-dropping-particle&quot;:&quot;&quot;},{&quot;family&quot;:&quot;Sarwar&quot;,&quot;given&quot;:&quot;Tahira&quot;,&quot;parse-names&quot;:false,&quot;dropping-particle&quot;:&quot;&quot;,&quot;non-dropping-particle&quot;:&quot;&quot;},{&quot;family&quot;:&quot;Wall&quot;,&quot;given&quot;:&quot;Barry M.&quot;,&quot;parse-names&quot;:false,&quot;dropping-particle&quot;:&quot;&quot;,&quot;non-dropping-particle&quot;:&quot;&quot;}],&quot;container-title&quot;:&quot;American Journal of the Medical Sciences&quot;,&quot;accessed&quot;:{&quot;date-parts&quot;:[[2020,10,12]]},&quot;DOI&quot;:&quot;10.1016/j.amjms.2017.08.001&quot;,&quot;ISSN&quot;:&quot;15382990&quot;,&quot;PMID&quot;:&quot;29661353&quot;,&quot;URL&quot;:&quot;https://pubmed.ncbi.nlm.nih.gov/29661353/&quot;,&quot;issued&quot;:{&quot;date-parts&quot;:[[2018,4,1]]},&quot;page&quot;:&quot;387-389&quot;,&quot;abstract&quot;:&quot;Pyroglutamic acid, an intermediate in glutathione metabolism, can lead to elevated anion gap metabolic acidosis as rare complication of acetaminophen therapy in adults. Acquired pyroglutamic acidosis has been observed primarily in settings associated with glutathione deficiency. Risk factors for glutathione deficiency include critical illness, chronic liver or kidney disease, advanced age, female gender, alcohol abuse, malnutrition, pregnancy, antiepileptic drugs, and chronic acetaminophen use. Diagnosis of pyroglutamic acidosis requires both the exclusion of common etiologies of increased anion gap metabolic acidosis and a high index of suspicion. Treatment involves discontinuation of acetaminophen, supportive care, and addressing risk factors for glutathione deficiency. The current report describes an ambulatory patient with multiple risk factors for glutathione deficiency, who developed recurrent pyroglutamic acidosis due to acetaminophen use with therapeutic blood levels of acetaminophen.&quot;,&quot;publisher&quot;:&quot;Elsevier B.V.&quot;,&quot;issue&quot;:&quot;4&quot;,&quot;volume&quot;:&quot;355&quot;},&quot;isTemporary&quot;:false}],&quot;properties&quot;:{&quot;noteIndex&quot;:0},&quot;isEdited&quot;:false,&quot;manualOverride&quot;:{&quot;isManuallyOverriden&quot;:false,&quot;citeprocText&quot;:&quot;&lt;sup&gt;34,35&lt;/sup&gt;&quot;,&quot;manualOverrideText&quot;:&quot;&quot;},&quot;citationTag&quot;:&quot;MENDELEY_CITATION_{\&quot;citationID\&quot;:\&quot;MENDELEY_CITATION_b8039101-7354-4eb0-a338-5e66e4423a36\&quot;,\&quot;citationItems\&quot;:[{\&quot;id\&quot;:\&quot;53d724ed-1780-3759-94f6-f20399c23167\&quot;,\&quot;itemData\&quot;:{\&quot;type\&quot;:\&quot;article-journal\&quot;,\&quot;id\&quot;:\&quot;53d724ed-1780-3759-94f6-f20399c23167\&quot;,\&quot;title\&quot;:\&quot;Plasma L-5-oxoproline kinetics and whole blood glutathione synthesis rates in severely burned adult humans\&quot;,\&quot;author\&quot;:[{\&quot;family\&quot;:\&quot;Yu\&quot;,\&quot;given\&quot;:\&quot;Yong Ming\&quot;,\&quot;parse-names\&quot;:false,\&quot;dropping-particle\&quot;:\&quot;\&quot;,\&quot;non-dropping-particle\&quot;:\&quot;\&quot;},{\&quot;family\&quot;:\&quot;Ryan\&quot;,\&quot;given\&quot;:\&quot;Colleen M.\&quot;,\&quot;parse-names\&quot;:false,\&quot;dropping-particle\&quot;:\&quot;\&quot;,\&quot;non-dropping-particle\&quot;:\&quot;\&quot;},{\&quot;family\&quot;:\&quot;Fei\&quot;,\&quot;given\&quot;:\&quot;Zhe Wei\&quot;,\&quot;parse-names\&quot;:false,\&quot;dropping-particle\&quot;:\&quot;\&quot;,\&quot;non-dropping-particle\&quot;:\&quot;\&quot;},{\&quot;family\&quot;:\&quot;Lu\&quot;,\&quot;given\&quot;:\&quot;Xiao Ming\&quot;,\&quot;parse-names\&quot;:false,\&quot;dropping-particle\&quot;:\&quot;\&quot;,\&quot;non-dropping-particle\&quot;:\&quot;\&quot;},{\&quot;family\&quot;:\&quot;Castillo\&quot;,\&quot;given\&quot;:\&quot;Leticia\&quot;,\&quot;parse-names\&quot;:false,\&quot;dropping-particle\&quot;:\&quot;\&quot;,\&quot;non-dropping-particle\&quot;:\&quot;\&quot;},{\&quot;family\&quot;:\&quot;Schultz\&quot;,\&quot;given\&quot;:\&quot;John T.\&quot;,\&quot;parse-names\&quot;:false,\&quot;dropping-particle\&quot;:\&quot;\&quot;,\&quot;non-dropping-particle\&quot;:\&quot;\&quot;},{\&quot;family\&quot;:\&quot;Tompkins\&quot;,\&quot;given\&quot;:\&quot;Ronald G.\&quot;,\&quot;parse-names\&quot;:false,\&quot;dropping-particle\&quot;:\&quot;\&quot;,\&quot;non-dropping-particle\&quot;:\&quot;\&quot;},{\&quot;family\&quot;:\&quot;Young\&quot;,\&quot;given\&quot;:\&quot;Vernon R.\&quot;,\&quot;parse-names\&quot;:false,\&quot;dropping-particle\&quot;:\&quot;\&quot;,\&quot;non-dropping-particle\&quot;:\&quot;\&quot;}],\&quot;container-title\&quot;:\&quot;American Journal of Physiology - Endocrinology and Metabolism\&quot;,\&quot;DOI\&quot;:\&quot;10.1152/ajpendo.00206.2001\&quot;,\&quot;ISSN\&quot;:\&quot;01931849\&quot;,\&quot;PMID\&quot;:\&quot;11788355\&quot;,\&quot;issued\&quot;:{\&quot;date-parts\&quot;:[[2002]]},\&quot;abstract\&quot;:\&quot;Compromised glutathione homeostasis is associated with increased morbidity in various disease states. We evaluated the kinetics of L-5-oxoproline, an intermediate in the γ-glutamyl cycle of glutathione production, in fourteen severely burned adults by use of a primed, constant intravenous infusion of L-5-[1-13C] oxoproline. In nine of these patients, whole blood glutathione synthesis and plasma kinetics of glycine and leucine were also measured with [15N]glycine and L-[2H3]leucine tracers. Patients were studied under a \\\&quot;basal\\\&quot; condition that provided a low dose of glucose and total parenteral nutrition. For comparison with control subjects, whole blood glutathione synthesis was estimated in six healthy adults. Burn patients in a basal condition showed significantly higher rates of plasma oxoproline clearance and urinary D- and L-oxoproline excretion compared with fasting healthy control subjects. Whole blood glutathione concentration and absolute synthesis rate in the basal state were lower than for control subjects. Total parenteral feeding without cysteine but with generous methionine did not affect oxoproline kinetics or whole blood glutathione synthesis. The estimated rate of glycine de novo synthesis was also lower in burn patients, suggesting a possible change in glycine availability for glutathione synthesis. The roles of precursor amino acid availability, as well as alterations in metabolic capacity, in modulating whole blood glutathione production in burns now require investigation.\&quot;,\&quot;issue\&quot;:\&quot;2 45-2\&quot;,\&quot;volume\&quot;:\&quot;282\&quot;},\&quot;isTemporary\&quot;:false},{\&quot;id\&quot;:\&quot;a22c7033-e6ee-3fba-9739-b1051f0290bf\&quot;,\&quot;itemData\&quot;:{\&quot;type\&quot;:\&quot;article\&quot;,\&quot;id\&quot;:\&quot;a22c7033-e6ee-3fba-9739-b1051f0290bf\&quot;,\&quot;title\&quot;:\&quot;Recurrent Pyroglutamic Acidosis Related to Therapeutic Acetaminophen\&quot;,\&quot;author\&quot;:[{\&quot;family\&quot;:\&quot;Alhourani\&quot;,\&quot;given\&quot;:\&quot;Hazem M.\&quot;,\&quot;parse-names\&quot;:false,\&quot;dropping-particle\&quot;:\&quot;\&quot;,\&quot;non-dropping-particle\&quot;:\&quot;\&quot;},{\&quot;family\&quot;:\&quot;Kumar\&quot;,\&quot;given\&quot;:\&quot;Aneel\&quot;,\&quot;parse-names\&quot;:false,\&quot;dropping-particle\&quot;:\&quot;\&quot;,\&quot;non-dropping-particle\&quot;:\&quot;\&quot;},{\&quot;family\&quot;:\&quot;George\&quot;,\&quot;given\&quot;:\&quot;Lekha K.\&quot;,\&quot;parse-names\&quot;:false,\&quot;dropping-particle\&quot;:\&quot;\&quot;,\&quot;non-dropping-particle\&quot;:\&quot;\&quot;},{\&quot;family\&quot;:\&quot;Sarwar\&quot;,\&quot;given\&quot;:\&quot;Tahira\&quot;,\&quot;parse-names\&quot;:false,\&quot;dropping-particle\&quot;:\&quot;\&quot;,\&quot;non-dropping-particle\&quot;:\&quot;\&quot;},{\&quot;family\&quot;:\&quot;Wall\&quot;,\&quot;given\&quot;:\&quot;Barry M.\&quot;,\&quot;parse-names\&quot;:false,\&quot;dropping-particle\&quot;:\&quot;\&quot;,\&quot;non-dropping-particle\&quot;:\&quot;\&quot;}],\&quot;container-title\&quot;:\&quot;American Journal of the Medical Sciences\&quot;,\&quot;accessed\&quot;:{\&quot;date-parts\&quot;:[[2020,10,12]]},\&quot;DOI\&quot;:\&quot;10.1016/j.amjms.2017.08.001\&quot;,\&quot;ISSN\&quot;:\&quot;15382990\&quot;,\&quot;PMID\&quot;:\&quot;29661353\&quot;,\&quot;URL\&quot;:\&quot;https://pubmed.ncbi.nlm.nih.gov/29661353/\&quot;,\&quot;issued\&quot;:{\&quot;date-parts\&quot;:[[2018,4,1]]},\&quot;page\&quot;:\&quot;387-389\&quot;,\&quot;abstract\&quot;:\&quot;Pyroglutamic acid, an intermediate in glutathione metabolism, can lead to elevated anion gap metabolic acidosis as rare complication of acetaminophen therapy in adults. Acquired pyroglutamic acidosis has been observed primarily in settings associated with glutathione deficiency. Risk factors for glutathione deficiency include critical illness, chronic liver or kidney disease, advanced age, female gender, alcohol abuse, malnutrition, pregnancy, antiepileptic drugs, and chronic acetaminophen use. Diagnosis of pyroglutamic acidosis requires both the exclusion of common etiologies of increased anion gap metabolic acidosis and a high index of suspicion. Treatment involves discontinuation of acetaminophen, supportive care, and addressing risk factors for glutathione deficiency. The current report describes an ambulatory patient with multiple risk factors for glutathione deficiency, who developed recurrent pyroglutamic acidosis due to acetaminophen use with therapeutic blood levels of acetaminophen.\&quot;,\&quot;publisher\&quot;:\&quot;Elsevier B.V.\&quot;,\&quot;issue\&quot;:\&quot;4\&quot;,\&quot;volume\&quot;:\&quot;355\&quot;},\&quot;isTemporary\&quot;:false}],\&quot;properties\&quot;:{\&quot;noteIndex\&quot;:0},\&quot;isEdited\&quot;:false,\&quot;manualOverride\&quot;:{\&quot;isManuallyOverriden\&quot;:false,\&quot;citeprocText\&quot;:\&quot;&lt;sup&gt;34,35&lt;/sup&gt;\&quot;,\&quot;manualOverrideText\&quot;:\&quot;\&quot;}}&quot;},{&quot;citationID&quot;:&quot;MENDELEY_CITATION_83d52fb5-6c3e-455e-bbae-8f46008c3fab&quot;,&quot;citationItems&quot;:[{&quot;id&quot;:&quot;9a12053e-0cd8-3f5e-92a3-b71bc96cb1df&quot;,&quot;itemData&quot;:{&quot;type&quot;:&quot;paper-conference&quot;,&quot;id&quot;:&quot;9a12053e-0cd8-3f5e-92a3-b71bc96cb1df&quot;,&quot;title&quot;:&quot;Measurement of 3-hydroxyisovaleric acid in urine from marginally biotin-deficient humans by UPLC-MS/MS&quot;,&quot;author&quot;:[{&quot;family&quot;:&quot;Horvath&quot;,&quot;given&quot;:&quot;Thomas D.&quot;,&quot;parse-names&quot;:false,&quot;dropping-particle&quot;:&quot;&quot;,&quot;non-dropping-particle&quot;:&quot;&quot;},{&quot;family&quot;:&quot;Matthews&quot;,&quot;given&quot;:&quot;Nell I.&quot;,&quot;parse-names&quot;:false,&quot;dropping-particle&quot;:&quot;&quot;,&quot;non-dropping-particle&quot;:&quot;&quot;},{&quot;family&quot;:&quot;Stratton&quot;,&quot;given&quot;:&quot;Shawna L.&quot;,&quot;parse-names&quot;:false,&quot;dropping-particle&quot;:&quot;&quot;,&quot;non-dropping-particle&quot;:&quot;&quot;},{&quot;family&quot;:&quot;Mock&quot;,&quot;given&quot;:&quot;Donald M.&quot;,&quot;parse-names&quot;:false,&quot;dropping-particle&quot;:&quot;&quot;,&quot;non-dropping-particle&quot;:&quot;&quot;},{&quot;family&quot;:&quot;Boysen&quot;,&quot;given&quot;:&quot;Gunnar&quot;,&quot;parse-names&quot;:false,&quot;dropping-particle&quot;:&quot;&quot;,&quot;non-dropping-particle&quot;:&quot;&quot;}],&quot;container-title&quot;:&quot;Analytical and Bioanalytical Chemistry&quot;,&quot;accessed&quot;:{&quot;date-parts&quot;:[[2020,10,12]]},&quot;DOI&quot;:&quot;10.1007/s00216-011-5356-x&quot;,&quot;ISSN&quot;:&quot;16182642&quot;,&quot;PMID&quot;:&quot;21892638&quot;,&quot;URL&quot;:&quot;https://pubmed.ncbi.nlm.nih.gov/21892638/&quot;,&quot;issued&quot;:{&quot;date-parts&quot;:[[2011,11]]},&quot;page&quot;:&quot;2805-2810&quot;,&quot;abstract&quot;:&quot;Measurement of 3-hydroxyisovaleric acid (3HIA) in human urine has been shown to be a useful indicator of biotin status for a variety of clinical situations, including pregnancy. The work described herein presents a novel UPLC-MS/MS method for accurate and precise quantitation of urinary 3HIA. This method utilizes sample preparation prior to quantitation that has been simplified compared to the previous GC-MS method. To demonstrate the suitability of the UPLC-MS/MS method for human bio-monitoring, this method was used to measure 3-HIA in 64 human urine samples from eight healthy adults in whom marginal biotin deficiency had been induced experimentally by egg white feeding. 3HIA was detected in all specimens; the mean concentration [±standard deviation (SD)] was 80.6 ± 51 μM prior to inducing biotin deficiency. Mean excretion rate for 3HIA (expressed per mol urinary creatinine) before beginning the biotin-deficient diet was 8.5 ± 3.2 mmol 3HIA per mol creatinine and the mean increased threefold with deficiency. These specimens had been previously analyzed by GC-MS; the two data sets showed strong linear relationship with a correlation coefficient of 0.97. These results provide evidence that this method is suitable for bio-monitoring of biotin status in larger populations. [Figure not available: see fulltext.] © 2011 Springer-Verlag.&quot;,&quot;publisher&quot;:&quot;Anal Bioanal Chem&quot;,&quot;issue&quot;:&quot;9&quot;,&quot;volume&quot;:&quot;401&quot;},&quot;isTemporary&quot;:false},{&quot;id&quot;:&quot;f9911f44-bfc4-363d-913a-415c9f3234f7&quot;,&quot;itemData&quot;:{&quot;type&quot;:&quot;article-journal&quot;,&quot;id&quot;:&quot;f9911f44-bfc4-363d-913a-415c9f3234f7&quot;,&quot;title&quot;:&quot;Smoking accelerates biotin catabolism in women&quot;,&quot;author&quot;:[{&quot;family&quot;:&quot;Sealey&quot;,&quot;given&quot;:&quot;Wendy M.&quot;,&quot;parse-names&quot;:false,&quot;dropping-particle&quot;:&quot;&quot;,&quot;non-dropping-particle&quot;:&quot;&quot;},{&quot;family&quot;:&quot;Teague&quot;,&quot;given&quot;:&quot;April M.&quot;,&quot;parse-names&quot;:false,&quot;dropping-particle&quot;:&quot;&quot;,&quot;non-dropping-particle&quot;:&quot;&quot;},{&quot;family&quot;:&quot;Stratton&quot;,&quot;given&quot;:&quot;Shawna L.&quot;,&quot;parse-names&quot;:false,&quot;dropping-particle&quot;:&quot;&quot;,&quot;non-dropping-particle&quot;:&quot;&quot;},{&quot;family&quot;:&quot;Mock&quot;,&quot;given&quot;:&quot;Donald M.&quot;,&quot;parse-names&quot;:false,&quot;dropping-particle&quot;:&quot;&quot;,&quot;non-dropping-particle&quot;:&quot;&quot;}],&quot;container-title&quot;:&quot;American Journal of Clinical Nutrition&quot;,&quot;accessed&quot;:{&quot;date-parts&quot;:[[2020,10,12]]},&quot;DOI&quot;:&quot;10.1093/ajcn/80.4.932&quot;,&quot;ISSN&quot;:&quot;00029165&quot;,&quot;PMID&quot;:&quot;15447901&quot;,&quot;URL&quot;:&quot;https://pubmed.ncbi.nlm.nih.gov/15447901/&quot;,&quot;issued&quot;:{&quot;date-parts&quot;:[[2004]]},&quot;page&quot;:&quot;932-935&quot;,&quot;abstract&quot;:&quot;Background: Smoking accelerates the degradation of many nutrients, including lipids, antioxidants, and certain B vitamins. Accelerated biotin catabolism is of concern in women because marginal biotin deficiency is teratogenic in mammals. Objective: The objective was to assess the effect of smoking on the biotin status of women. Design: A preliminary study of 7 women and 3 men examined the urinary concentrations of biotin and its metabolites biotin sulfoxide and bisnorbiotin in smokers. The interpretation of the results of this study was limited by the lack of a contemporaneous control group; consequently, we conducted a cohort-controlled study. Smoking women (n = 8) and nonsmoking control subjects (n = 15) provided 24-h urine samples; excretion rates of biotin, the biotin metabolites, and 3-hydroxyisovaleric acid were determined. Increased urinary excretion of 3-hydroxyisovaleric acid, which reflects a reduced activity of the biotin-dependent enzyme 3-methylcrotonyl-Co A carboxylase, is a sensitive indicator of biotin depletion at the tissue level. Results: Compared with control subjects from previous studies, the smoking women in the preliminary study excreted significantly less urinary biotin (P = 0.02). Moreover, the ratio of urinary biotin sulfoxide to biotin increased (P = 0.04) in these women. In the cohort-controlled study, the urinary excretion of biotin decreased by 30% (P = 0.04), and the ratios of urinary bisnorbiotin and biotin sulfoxide to biotin increased significantly, which indicated accelerated catabolism in smokers. Moreover, the urinary excretion of 3-hydroxyisovaleric acid was greater in the smokers than in the control subjects (P = 0.04), which indicated biotin depletion in the smokers at the tissue level. Conclusion: These data provide evidence of accelerated biotin metabolism in smoking women, which results in marginal biotin deficiency. © 2004 American Society for Clinical Nutrition.&quot;,&quot;publisher&quot;:&quot;American Society for Nutrition&quot;,&quot;issue&quot;:&quot;4&quot;,&quot;volume&quot;:&quot;80&quot;},&quot;isTemporary&quot;:false}],&quot;properties&quot;:{&quot;noteIndex&quot;:0},&quot;isEdited&quot;:false,&quot;manualOverride&quot;:{&quot;isManuallyOverriden&quot;:false,&quot;citeprocText&quot;:&quot;&lt;sup&gt;36,37&lt;/sup&gt;&quot;,&quot;manualOverrideText&quot;:&quot;&quot;},&quot;citationTag&quot;:&quot;MENDELEY_CITATION_{\&quot;citationID\&quot;:\&quot;MENDELEY_CITATION_83d52fb5-6c3e-455e-bbae-8f46008c3fab\&quot;,\&quot;citationItems\&quot;:[{\&quot;id\&quot;:\&quot;9a12053e-0cd8-3f5e-92a3-b71bc96cb1df\&quot;,\&quot;itemData\&quot;:{\&quot;type\&quot;:\&quot;paper-conference\&quot;,\&quot;id\&quot;:\&quot;9a12053e-0cd8-3f5e-92a3-b71bc96cb1df\&quot;,\&quot;title\&quot;:\&quot;Measurement of 3-hydroxyisovaleric acid in urine from marginally biotin-deficient humans by UPLC-MS/MS\&quot;,\&quot;author\&quot;:[{\&quot;family\&quot;:\&quot;Horvath\&quot;,\&quot;given\&quot;:\&quot;Thomas D.\&quot;,\&quot;parse-names\&quot;:false,\&quot;dropping-particle\&quot;:\&quot;\&quot;,\&quot;non-dropping-particle\&quot;:\&quot;\&quot;},{\&quot;family\&quot;:\&quot;Matthews\&quot;,\&quot;given\&quot;:\&quot;Nell I.\&quot;,\&quot;parse-names\&quot;:false,\&quot;dropping-particle\&quot;:\&quot;\&quot;,\&quot;non-dropping-particle\&quot;:\&quot;\&quot;},{\&quot;family\&quot;:\&quot;Stratton\&quot;,\&quot;given\&quot;:\&quot;Shawna L.\&quot;,\&quot;parse-names\&quot;:false,\&quot;dropping-particle\&quot;:\&quot;\&quot;,\&quot;non-dropping-particle\&quot;:\&quot;\&quot;},{\&quot;family\&quot;:\&quot;Mock\&quot;,\&quot;given\&quot;:\&quot;Donald M.\&quot;,\&quot;parse-names\&quot;:false,\&quot;dropping-particle\&quot;:\&quot;\&quot;,\&quot;non-dropping-particle\&quot;:\&quot;\&quot;},{\&quot;family\&quot;:\&quot;Boysen\&quot;,\&quot;given\&quot;:\&quot;Gunnar\&quot;,\&quot;parse-names\&quot;:false,\&quot;dropping-particle\&quot;:\&quot;\&quot;,\&quot;non-dropping-particle\&quot;:\&quot;\&quot;}],\&quot;container-title\&quot;:\&quot;Analytical and Bioanalytical Chemistry\&quot;,\&quot;accessed\&quot;:{\&quot;date-parts\&quot;:[[2020,10,12]]},\&quot;DOI\&quot;:\&quot;10.1007/s00216-011-5356-x\&quot;,\&quot;ISSN\&quot;:\&quot;16182642\&quot;,\&quot;PMID\&quot;:\&quot;21892638\&quot;,\&quot;URL\&quot;:\&quot;https://pubmed.ncbi.nlm.nih.gov/21892638/\&quot;,\&quot;issued\&quot;:{\&quot;date-parts\&quot;:[[2011,11]]},\&quot;page\&quot;:\&quot;2805-2810\&quot;,\&quot;abstract\&quot;:\&quot;Measurement of 3-hydroxyisovaleric acid (3HIA) in human urine has been shown to be a useful indicator of biotin status for a variety of clinical situations, including pregnancy. The work described herein presents a novel UPLC-MS/MS method for accurate and precise quantitation of urinary 3HIA. This method utilizes sample preparation prior to quantitation that has been simplified compared to the previous GC-MS method. To demonstrate the suitability of the UPLC-MS/MS method for human bio-monitoring, this method was used to measure 3-HIA in 64 human urine samples from eight healthy adults in whom marginal biotin deficiency had been induced experimentally by egg white feeding. 3HIA was detected in all specimens; the mean concentration [±standard deviation (SD)] was 80.6 ± 51 μM prior to inducing biotin deficiency. Mean excretion rate for 3HIA (expressed per mol urinary creatinine) before beginning the biotin-deficient diet was 8.5 ± 3.2 mmol 3HIA per mol creatinine and the mean increased threefold with deficiency. These specimens had been previously analyzed by GC-MS; the two data sets showed strong linear relationship with a correlation coefficient of 0.97. These results provide evidence that this method is suitable for bio-monitoring of biotin status in larger populations. [Figure not available: see fulltext.] © 2011 Springer-Verlag.\&quot;,\&quot;publisher\&quot;:\&quot;Anal Bioanal Chem\&quot;,\&quot;issue\&quot;:\&quot;9\&quot;,\&quot;volume\&quot;:\&quot;401\&quot;},\&quot;isTemporary\&quot;:false},{\&quot;id\&quot;:\&quot;f9911f44-bfc4-363d-913a-415c9f3234f7\&quot;,\&quot;itemData\&quot;:{\&quot;type\&quot;:\&quot;article-journal\&quot;,\&quot;id\&quot;:\&quot;f9911f44-bfc4-363d-913a-415c9f3234f7\&quot;,\&quot;title\&quot;:\&quot;Smoking accelerates biotin catabolism in women\&quot;,\&quot;author\&quot;:[{\&quot;family\&quot;:\&quot;Sealey\&quot;,\&quot;given\&quot;:\&quot;Wendy M.\&quot;,\&quot;parse-names\&quot;:false,\&quot;dropping-particle\&quot;:\&quot;\&quot;,\&quot;non-dropping-particle\&quot;:\&quot;\&quot;},{\&quot;family\&quot;:\&quot;Teague\&quot;,\&quot;given\&quot;:\&quot;April M.\&quot;,\&quot;parse-names\&quot;:false,\&quot;dropping-particle\&quot;:\&quot;\&quot;,\&quot;non-dropping-particle\&quot;:\&quot;\&quot;},{\&quot;family\&quot;:\&quot;Stratton\&quot;,\&quot;given\&quot;:\&quot;Shawna L.\&quot;,\&quot;parse-names\&quot;:false,\&quot;dropping-particle\&quot;:\&quot;\&quot;,\&quot;non-dropping-particle\&quot;:\&quot;\&quot;},{\&quot;family\&quot;:\&quot;Mock\&quot;,\&quot;given\&quot;:\&quot;Donald M.\&quot;,\&quot;parse-names\&quot;:false,\&quot;dropping-particle\&quot;:\&quot;\&quot;,\&quot;non-dropping-particle\&quot;:\&quot;\&quot;}],\&quot;container-title\&quot;:\&quot;American Journal of Clinical Nutrition\&quot;,\&quot;accessed\&quot;:{\&quot;date-parts\&quot;:[[2020,10,12]]},\&quot;DOI\&quot;:\&quot;10.1093/ajcn/80.4.932\&quot;,\&quot;ISSN\&quot;:\&quot;00029165\&quot;,\&quot;PMID\&quot;:\&quot;15447901\&quot;,\&quot;URL\&quot;:\&quot;https://pubmed.ncbi.nlm.nih.gov/15447901/\&quot;,\&quot;issued\&quot;:{\&quot;date-parts\&quot;:[[2004]]},\&quot;page\&quot;:\&quot;932-935\&quot;,\&quot;abstract\&quot;:\&quot;Background: Smoking accelerates the degradation of many nutrients, including lipids, antioxidants, and certain B vitamins. Accelerated biotin catabolism is of concern in women because marginal biotin deficiency is teratogenic in mammals. Objective: The objective was to assess the effect of smoking on the biotin status of women. Design: A preliminary study of 7 women and 3 men examined the urinary concentrations of biotin and its metabolites biotin sulfoxide and bisnorbiotin in smokers. The interpretation of the results of this study was limited by the lack of a contemporaneous control group; consequently, we conducted a cohort-controlled study. Smoking women (n = 8) and nonsmoking control subjects (n = 15) provided 24-h urine samples; excretion rates of biotin, the biotin metabolites, and 3-hydroxyisovaleric acid were determined. Increased urinary excretion of 3-hydroxyisovaleric acid, which reflects a reduced activity of the biotin-dependent enzyme 3-methylcrotonyl-Co A carboxylase, is a sensitive indicator of biotin depletion at the tissue level. Results: Compared with control subjects from previous studies, the smoking women in the preliminary study excreted significantly less urinary biotin (P = 0.02). Moreover, the ratio of urinary biotin sulfoxide to biotin increased (P = 0.04) in these women. In the cohort-controlled study, the urinary excretion of biotin decreased by 30% (P = 0.04), and the ratios of urinary bisnorbiotin and biotin sulfoxide to biotin increased significantly, which indicated accelerated catabolism in smokers. Moreover, the urinary excretion of 3-hydroxyisovaleric acid was greater in the smokers than in the control subjects (P = 0.04), which indicated biotin depletion in the smokers at the tissue level. Conclusion: These data provide evidence of accelerated biotin metabolism in smoking women, which results in marginal biotin deficiency. © 2004 American Society for Clinical Nutrition.\&quot;,\&quot;publisher\&quot;:\&quot;American Society for Nutrition\&quot;,\&quot;issue\&quot;:\&quot;4\&quot;,\&quot;volume\&quot;:\&quot;80\&quot;},\&quot;isTemporary\&quot;:false}],\&quot;properties\&quot;:{\&quot;noteIndex\&quot;:0},\&quot;isEdited\&quot;:false,\&quot;manualOverride\&quot;:{\&quot;isManuallyOverriden\&quot;:false,\&quot;citeprocText\&quot;:\&quot;&lt;sup&gt;36,37&lt;/sup&gt;\&quot;,\&quot;manualOverrideText\&quot;:\&quot;\&quot;}}&quot;}]"/>
    <we:property name="MENDELEY_CITATIONS_STYLE" value="&quot;https://www.zotero.org/styles/american-medical-association&quot;"/>
    <we:property name="MENDELEY_PROFILE_ID" value="&quot;a08630f2742cc16f629b6ad92966b23694740d1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156AD-8922-E54B-9485-9F9A967A1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Pages>
  <Words>974</Words>
  <Characters>5624</Characters>
  <Application>Microsoft Office Word</Application>
  <DocSecurity>0</DocSecurity>
  <Lines>224</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Thearle</dc:creator>
  <cp:keywords/>
  <dc:description/>
  <cp:lastModifiedBy>Bryan Mayfield</cp:lastModifiedBy>
  <cp:revision>7</cp:revision>
  <dcterms:created xsi:type="dcterms:W3CDTF">2021-03-08T21:00:00Z</dcterms:created>
  <dcterms:modified xsi:type="dcterms:W3CDTF">2021-03-08T21:19:00Z</dcterms:modified>
</cp:coreProperties>
</file>