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F85A" w14:textId="30DF9D37" w:rsidR="009C7B21" w:rsidRPr="00D26728" w:rsidRDefault="00D26728" w:rsidP="009C7B21">
      <w:pPr>
        <w:jc w:val="center"/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</w:pPr>
      <w:bookmarkStart w:id="0" w:name="_Hlk106582439"/>
      <w:r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  <w:t>Additional file</w:t>
      </w:r>
    </w:p>
    <w:p w14:paraId="47134A6D" w14:textId="17953B70" w:rsidR="009C7B21" w:rsidRPr="00D26728" w:rsidRDefault="009C7B21" w:rsidP="009C7B21">
      <w:pPr>
        <w:jc w:val="center"/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</w:pPr>
      <w:r w:rsidRPr="00D26728"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  <w:t xml:space="preserve">Three Developed Spectrophotometric Methods for Determination of a Mixture of </w:t>
      </w:r>
      <w:proofErr w:type="spellStart"/>
      <w:r w:rsidRPr="00D26728"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  <w:t>Ofloxacin</w:t>
      </w:r>
      <w:proofErr w:type="spellEnd"/>
      <w:r w:rsidRPr="00D26728"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  <w:t xml:space="preserve"> and </w:t>
      </w:r>
      <w:proofErr w:type="spellStart"/>
      <w:r w:rsidRPr="00D26728"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  <w:t>Orn</w:t>
      </w:r>
      <w:bookmarkStart w:id="1" w:name="_GoBack"/>
      <w:bookmarkEnd w:id="1"/>
      <w:r w:rsidRPr="00D26728"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  <w:t>idazole</w:t>
      </w:r>
      <w:proofErr w:type="spellEnd"/>
      <w:r w:rsidRPr="00D26728">
        <w:rPr>
          <w:rFonts w:asciiTheme="majorBidi" w:eastAsia="DengXian" w:hAnsiTheme="majorBidi" w:cstheme="majorBidi"/>
          <w:b/>
          <w:bCs/>
          <w:color w:val="000000" w:themeColor="text1"/>
          <w:spacing w:val="15"/>
          <w:sz w:val="32"/>
          <w:szCs w:val="32"/>
        </w:rPr>
        <w:t>; Application of Greenness Assessment Tools</w:t>
      </w:r>
    </w:p>
    <w:bookmarkEnd w:id="0"/>
    <w:p w14:paraId="4A1B22AB" w14:textId="77777777" w:rsidR="009C7B21" w:rsidRPr="00D26728" w:rsidRDefault="009C7B21" w:rsidP="009C7B21">
      <w:pPr>
        <w:spacing w:line="256" w:lineRule="auto"/>
        <w:rPr>
          <w:rFonts w:ascii="Times New Roman" w:eastAsia="Calibri" w:hAnsi="Times New Roman" w:cs="Times New Roman"/>
          <w:color w:val="000000" w:themeColor="text1"/>
        </w:rPr>
      </w:pPr>
      <w:proofErr w:type="spellStart"/>
      <w:r w:rsidRPr="00D26728">
        <w:rPr>
          <w:rFonts w:ascii="Times New Roman" w:eastAsia="Calibri" w:hAnsi="Times New Roman" w:cs="Times New Roman"/>
          <w:color w:val="000000" w:themeColor="text1"/>
        </w:rPr>
        <w:t>Khadiga</w:t>
      </w:r>
      <w:proofErr w:type="spellEnd"/>
      <w:r w:rsidRPr="00D26728">
        <w:rPr>
          <w:rFonts w:ascii="Times New Roman" w:eastAsia="Calibri" w:hAnsi="Times New Roman" w:cs="Times New Roman"/>
          <w:color w:val="000000" w:themeColor="text1"/>
        </w:rPr>
        <w:t xml:space="preserve"> M. </w:t>
      </w:r>
      <w:proofErr w:type="spellStart"/>
      <w:r w:rsidRPr="00D26728">
        <w:rPr>
          <w:rFonts w:ascii="Times New Roman" w:eastAsia="Calibri" w:hAnsi="Times New Roman" w:cs="Times New Roman"/>
          <w:color w:val="000000" w:themeColor="text1"/>
        </w:rPr>
        <w:t>Kelani</w:t>
      </w:r>
      <w:proofErr w:type="spellEnd"/>
      <w:r w:rsidRPr="00D26728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1,2*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, </w:t>
      </w:r>
      <w:proofErr w:type="spellStart"/>
      <w:r w:rsidRPr="00D26728">
        <w:rPr>
          <w:rFonts w:ascii="Times New Roman" w:eastAsia="Calibri" w:hAnsi="Times New Roman" w:cs="Times New Roman"/>
          <w:color w:val="000000" w:themeColor="text1"/>
        </w:rPr>
        <w:t>Asmaa</w:t>
      </w:r>
      <w:proofErr w:type="spellEnd"/>
      <w:r w:rsidRPr="00D26728">
        <w:rPr>
          <w:rFonts w:ascii="Times New Roman" w:eastAsia="Calibri" w:hAnsi="Times New Roman" w:cs="Times New Roman"/>
          <w:color w:val="000000" w:themeColor="text1"/>
        </w:rPr>
        <w:t xml:space="preserve"> G. Gad </w:t>
      </w:r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2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, Yasmin M. Fayez </w:t>
      </w:r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1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, Amr M. Mahmoud </w:t>
      </w:r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1*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, </w:t>
      </w:r>
      <w:bookmarkStart w:id="2" w:name="_Hlk120306603"/>
      <w:r w:rsidRPr="00D26728">
        <w:rPr>
          <w:rFonts w:ascii="Times New Roman" w:eastAsia="Calibri" w:hAnsi="Times New Roman" w:cs="Times New Roman"/>
          <w:color w:val="000000" w:themeColor="text1"/>
        </w:rPr>
        <w:t>Ahmed M. Abdel-</w:t>
      </w:r>
      <w:proofErr w:type="spellStart"/>
      <w:r w:rsidRPr="00D26728">
        <w:rPr>
          <w:rFonts w:ascii="Times New Roman" w:eastAsia="Calibri" w:hAnsi="Times New Roman" w:cs="Times New Roman"/>
          <w:color w:val="000000" w:themeColor="text1"/>
        </w:rPr>
        <w:t>Raoof</w:t>
      </w:r>
      <w:proofErr w:type="spellEnd"/>
      <w:r w:rsidRPr="00D26728">
        <w:rPr>
          <w:rFonts w:ascii="Times New Roman" w:eastAsia="Calibri" w:hAnsi="Times New Roman" w:cs="Times New Roman"/>
          <w:color w:val="000000" w:themeColor="text1"/>
        </w:rPr>
        <w:t xml:space="preserve"> </w:t>
      </w:r>
      <w:bookmarkEnd w:id="2"/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3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0E0DE99E" w14:textId="77777777" w:rsidR="009C7B21" w:rsidRPr="00D26728" w:rsidRDefault="009C7B21" w:rsidP="009C7B21">
      <w:pPr>
        <w:spacing w:line="256" w:lineRule="auto"/>
        <w:rPr>
          <w:rFonts w:ascii="Times New Roman" w:eastAsia="Calibri" w:hAnsi="Times New Roman" w:cs="Times New Roman"/>
          <w:color w:val="000000" w:themeColor="text1"/>
        </w:rPr>
      </w:pPr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1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 Analytical Chemistry Department, Faculty of Pharmacy, Cairo University, El-</w:t>
      </w:r>
      <w:proofErr w:type="spellStart"/>
      <w:r w:rsidRPr="00D26728">
        <w:rPr>
          <w:rFonts w:ascii="Times New Roman" w:eastAsia="Calibri" w:hAnsi="Times New Roman" w:cs="Times New Roman"/>
          <w:color w:val="000000" w:themeColor="text1"/>
        </w:rPr>
        <w:t>Kasr</w:t>
      </w:r>
      <w:proofErr w:type="spellEnd"/>
      <w:r w:rsidRPr="00D26728">
        <w:rPr>
          <w:rFonts w:ascii="Times New Roman" w:eastAsia="Calibri" w:hAnsi="Times New Roman" w:cs="Times New Roman"/>
          <w:color w:val="000000" w:themeColor="text1"/>
        </w:rPr>
        <w:t xml:space="preserve"> El-</w:t>
      </w:r>
      <w:proofErr w:type="spellStart"/>
      <w:r w:rsidRPr="00D26728">
        <w:rPr>
          <w:rFonts w:ascii="Times New Roman" w:eastAsia="Calibri" w:hAnsi="Times New Roman" w:cs="Times New Roman"/>
          <w:color w:val="000000" w:themeColor="text1"/>
        </w:rPr>
        <w:t>Aini</w:t>
      </w:r>
      <w:proofErr w:type="spellEnd"/>
      <w:r w:rsidRPr="00D26728">
        <w:rPr>
          <w:rFonts w:ascii="Times New Roman" w:eastAsia="Calibri" w:hAnsi="Times New Roman" w:cs="Times New Roman"/>
          <w:color w:val="000000" w:themeColor="text1"/>
        </w:rPr>
        <w:t xml:space="preserve"> Street, 11562, Cairo, Egypt</w:t>
      </w:r>
    </w:p>
    <w:p w14:paraId="46C810AA" w14:textId="77777777" w:rsidR="009C7B21" w:rsidRPr="00D26728" w:rsidRDefault="009C7B21" w:rsidP="009C7B21">
      <w:pPr>
        <w:spacing w:line="256" w:lineRule="auto"/>
        <w:rPr>
          <w:rFonts w:ascii="Times New Roman" w:eastAsia="Calibri" w:hAnsi="Times New Roman" w:cs="Times New Roman"/>
          <w:color w:val="000000" w:themeColor="text1"/>
        </w:rPr>
      </w:pPr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2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 Analytical Chemistry Department, Faculty of Pharmacy, Modern University for Technology and Information, Cairo, Egypt</w:t>
      </w:r>
    </w:p>
    <w:p w14:paraId="0434216E" w14:textId="77777777" w:rsidR="009C7B21" w:rsidRPr="00D26728" w:rsidRDefault="009C7B21" w:rsidP="009C7B21">
      <w:pPr>
        <w:spacing w:line="256" w:lineRule="auto"/>
        <w:rPr>
          <w:rFonts w:ascii="Times New Roman" w:eastAsia="Calibri" w:hAnsi="Times New Roman" w:cs="Times New Roman"/>
          <w:color w:val="000000" w:themeColor="text1"/>
        </w:rPr>
      </w:pPr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3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 Pharmaceutical Analytical Chemistry Department, Faculty of Pharmacy, Al-</w:t>
      </w:r>
      <w:proofErr w:type="spellStart"/>
      <w:r w:rsidRPr="00D26728">
        <w:rPr>
          <w:rFonts w:ascii="Times New Roman" w:eastAsia="Calibri" w:hAnsi="Times New Roman" w:cs="Times New Roman"/>
          <w:color w:val="000000" w:themeColor="text1"/>
        </w:rPr>
        <w:t>Azhar</w:t>
      </w:r>
      <w:proofErr w:type="spellEnd"/>
      <w:r w:rsidRPr="00D26728">
        <w:rPr>
          <w:rFonts w:ascii="Times New Roman" w:eastAsia="Calibri" w:hAnsi="Times New Roman" w:cs="Times New Roman"/>
          <w:color w:val="000000" w:themeColor="text1"/>
        </w:rPr>
        <w:t xml:space="preserve"> University, 11751, Nasr City, Cairo, Egypt</w:t>
      </w:r>
    </w:p>
    <w:p w14:paraId="5EF31A01" w14:textId="77777777" w:rsidR="009C7B21" w:rsidRPr="00D26728" w:rsidRDefault="009C7B21" w:rsidP="009C7B21">
      <w:pPr>
        <w:spacing w:line="256" w:lineRule="auto"/>
        <w:rPr>
          <w:rFonts w:ascii="Times New Roman" w:eastAsia="Calibri" w:hAnsi="Times New Roman" w:cs="Times New Roman"/>
          <w:color w:val="000000" w:themeColor="text1"/>
          <w:u w:val="single"/>
        </w:rPr>
      </w:pPr>
      <w:r w:rsidRPr="00D26728">
        <w:rPr>
          <w:rFonts w:ascii="Times New Roman" w:eastAsia="Calibri" w:hAnsi="Times New Roman" w:cs="Times New Roman"/>
          <w:color w:val="000000" w:themeColor="text1"/>
          <w:vertAlign w:val="superscript"/>
        </w:rPr>
        <w:t>*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Corresponding authors email: </w:t>
      </w:r>
      <w:hyperlink r:id="rId4" w:history="1">
        <w:r w:rsidRPr="00D26728">
          <w:rPr>
            <w:rStyle w:val="Hyperlink"/>
            <w:rFonts w:ascii="Times New Roman" w:eastAsia="Calibri" w:hAnsi="Times New Roman" w:cs="Times New Roman"/>
            <w:color w:val="000000" w:themeColor="text1"/>
          </w:rPr>
          <w:t>khadiga.elkilany@pharma.cu.edu.eg</w:t>
        </w:r>
      </w:hyperlink>
      <w:r w:rsidRPr="00D26728">
        <w:rPr>
          <w:rFonts w:ascii="Times New Roman" w:eastAsia="Calibri" w:hAnsi="Times New Roman" w:cs="Times New Roman"/>
          <w:color w:val="000000" w:themeColor="text1"/>
          <w:u w:val="single"/>
        </w:rPr>
        <w:t>,</w:t>
      </w:r>
      <w:r w:rsidRPr="00D26728">
        <w:rPr>
          <w:rFonts w:ascii="Times New Roman" w:eastAsia="Calibri" w:hAnsi="Times New Roman" w:cs="Times New Roman"/>
          <w:color w:val="000000" w:themeColor="text1"/>
        </w:rPr>
        <w:t xml:space="preserve"> </w:t>
      </w:r>
      <w:hyperlink r:id="rId5" w:history="1">
        <w:r w:rsidRPr="00D26728">
          <w:rPr>
            <w:rStyle w:val="Hyperlink"/>
            <w:rFonts w:ascii="Times New Roman" w:eastAsia="Calibri" w:hAnsi="Times New Roman" w:cs="Times New Roman"/>
            <w:color w:val="000000" w:themeColor="text1"/>
          </w:rPr>
          <w:t>amr.bekhet@pharma.cu.edu.eg</w:t>
        </w:r>
      </w:hyperlink>
      <w:r w:rsidRPr="00D26728">
        <w:rPr>
          <w:rFonts w:ascii="Times New Roman" w:eastAsia="Calibri" w:hAnsi="Times New Roman" w:cs="Times New Roman"/>
          <w:color w:val="000000" w:themeColor="text1"/>
          <w:u w:val="single"/>
        </w:rPr>
        <w:t xml:space="preserve"> </w:t>
      </w:r>
    </w:p>
    <w:p w14:paraId="2F39762D" w14:textId="77777777" w:rsidR="009C7B21" w:rsidRPr="00D26728" w:rsidRDefault="009C7B21" w:rsidP="009C7B21">
      <w:pPr>
        <w:spacing w:line="256" w:lineRule="auto"/>
        <w:rPr>
          <w:rFonts w:ascii="Times New Roman" w:eastAsia="Calibri" w:hAnsi="Times New Roman" w:cs="Times New Roman"/>
          <w:color w:val="000000" w:themeColor="text1"/>
        </w:rPr>
      </w:pPr>
    </w:p>
    <w:p w14:paraId="7A573E6A" w14:textId="77777777" w:rsidR="00112097" w:rsidRPr="00D26728" w:rsidRDefault="00112097" w:rsidP="00112097">
      <w:pPr>
        <w:tabs>
          <w:tab w:val="left" w:pos="1155"/>
        </w:tabs>
        <w:rPr>
          <w:rFonts w:ascii="Calibri" w:eastAsia="Calibri" w:hAnsi="Calibri" w:cs="Times New Roman"/>
          <w:b/>
          <w:color w:val="000000" w:themeColor="text1"/>
          <w:sz w:val="24"/>
          <w:szCs w:val="24"/>
        </w:rPr>
      </w:pPr>
    </w:p>
    <w:p w14:paraId="0002626C" w14:textId="720DAB61" w:rsidR="00112097" w:rsidRPr="00D26728" w:rsidRDefault="00112097" w:rsidP="00112097">
      <w:pPr>
        <w:tabs>
          <w:tab w:val="left" w:pos="1155"/>
        </w:tabs>
        <w:rPr>
          <w:rFonts w:ascii="Calibri" w:eastAsia="Calibri" w:hAnsi="Calibri" w:cs="Times New Roman"/>
          <w:b/>
          <w:color w:val="000000" w:themeColor="text1"/>
          <w:sz w:val="24"/>
          <w:szCs w:val="24"/>
        </w:rPr>
      </w:pPr>
    </w:p>
    <w:p w14:paraId="5ABA9DBD" w14:textId="77777777" w:rsidR="00112097" w:rsidRPr="00D26728" w:rsidRDefault="00112097" w:rsidP="00112097">
      <w:pPr>
        <w:tabs>
          <w:tab w:val="left" w:pos="1155"/>
        </w:tabs>
        <w:jc w:val="center"/>
        <w:rPr>
          <w:rFonts w:ascii="Calibri" w:eastAsia="Calibri" w:hAnsi="Calibri" w:cs="Times New Roman"/>
          <w:color w:val="000000" w:themeColor="text1"/>
        </w:rPr>
      </w:pPr>
      <w:r w:rsidRPr="00D26728">
        <w:rPr>
          <w:rFonts w:ascii="Calibri" w:eastAsia="Calibri" w:hAnsi="Calibri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9C9CA4A" wp14:editId="6D624B60">
            <wp:extent cx="3261995" cy="1733550"/>
            <wp:effectExtent l="0" t="0" r="1460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4424B74" w14:textId="77777777" w:rsidR="00112097" w:rsidRPr="00D26728" w:rsidRDefault="00112097" w:rsidP="00112097">
      <w:pPr>
        <w:rPr>
          <w:rFonts w:ascii="Calibri" w:eastAsia="Calibri" w:hAnsi="Calibri" w:cs="Times New Roman"/>
          <w:color w:val="000000" w:themeColor="text1"/>
        </w:rPr>
      </w:pPr>
    </w:p>
    <w:p w14:paraId="3E557B48" w14:textId="2568C71C" w:rsidR="00112097" w:rsidRPr="00D26728" w:rsidRDefault="00112097" w:rsidP="009C7B21">
      <w:pPr>
        <w:tabs>
          <w:tab w:val="left" w:pos="1590"/>
        </w:tabs>
        <w:rPr>
          <w:rFonts w:ascii="Calibri" w:eastAsia="Calibri" w:hAnsi="Calibri" w:cs="Times New Roman"/>
          <w:color w:val="000000" w:themeColor="text1"/>
        </w:rPr>
      </w:pPr>
      <w:bookmarkStart w:id="3" w:name="_Hlk100614374"/>
      <w:r w:rsidRPr="00D26728">
        <w:rPr>
          <w:rFonts w:ascii="Calibri" w:eastAsia="Calibri" w:hAnsi="Calibri" w:cs="Times New Roman"/>
          <w:b/>
          <w:bCs/>
          <w:color w:val="000000" w:themeColor="text1"/>
        </w:rPr>
        <w:t xml:space="preserve">Figure </w:t>
      </w:r>
      <w:r w:rsidR="009C7B21" w:rsidRPr="00D26728">
        <w:rPr>
          <w:rFonts w:ascii="Calibri" w:eastAsia="Calibri" w:hAnsi="Calibri" w:cs="Times New Roman"/>
          <w:b/>
          <w:bCs/>
          <w:color w:val="000000" w:themeColor="text1"/>
        </w:rPr>
        <w:t>S1</w:t>
      </w:r>
      <w:r w:rsidR="008B6070" w:rsidRPr="00D26728">
        <w:rPr>
          <w:rFonts w:ascii="Calibri" w:eastAsia="Calibri" w:hAnsi="Calibri" w:cs="Times New Roman"/>
          <w:b/>
          <w:bCs/>
          <w:color w:val="000000" w:themeColor="text1"/>
        </w:rPr>
        <w:t>.</w:t>
      </w:r>
      <w:r w:rsidRPr="00D26728">
        <w:rPr>
          <w:rFonts w:ascii="Calibri" w:eastAsia="Calibri" w:hAnsi="Calibri" w:cs="Times New Roman"/>
          <w:b/>
          <w:bCs/>
          <w:color w:val="000000" w:themeColor="text1"/>
        </w:rPr>
        <w:t xml:space="preserve"> </w:t>
      </w:r>
      <w:r w:rsidRPr="00D26728">
        <w:rPr>
          <w:rFonts w:ascii="Calibri" w:eastAsia="Calibri" w:hAnsi="Calibri" w:cs="Times New Roman"/>
          <w:color w:val="000000" w:themeColor="text1"/>
        </w:rPr>
        <w:t>Linearity of peak amplitude of OFL ratio difference spectra to the corresponding concentrations of OFL (2 - 15 µg/mL) at 265.6 and 294.6 nm in Methanol using (5 µg/mL) ORN as a divisor.</w:t>
      </w:r>
    </w:p>
    <w:p w14:paraId="787F3CB9" w14:textId="6A977C1B" w:rsidR="008B6070" w:rsidRPr="00D26728" w:rsidRDefault="008B6070" w:rsidP="008B6070">
      <w:pPr>
        <w:tabs>
          <w:tab w:val="left" w:pos="1590"/>
        </w:tabs>
        <w:rPr>
          <w:rFonts w:ascii="Calibri" w:eastAsia="Calibri" w:hAnsi="Calibri" w:cs="Times New Roman"/>
          <w:color w:val="000000" w:themeColor="text1"/>
        </w:rPr>
      </w:pPr>
    </w:p>
    <w:p w14:paraId="50811816" w14:textId="0385DCA3" w:rsidR="008B6070" w:rsidRPr="00D26728" w:rsidRDefault="008B6070" w:rsidP="008B6070">
      <w:pPr>
        <w:tabs>
          <w:tab w:val="left" w:pos="1590"/>
        </w:tabs>
        <w:rPr>
          <w:rFonts w:ascii="Calibri" w:eastAsia="Calibri" w:hAnsi="Calibri" w:cs="Times New Roman"/>
          <w:color w:val="000000" w:themeColor="text1"/>
        </w:rPr>
      </w:pPr>
    </w:p>
    <w:p w14:paraId="416E081F" w14:textId="353A5BDD" w:rsidR="008B6070" w:rsidRPr="00D26728" w:rsidRDefault="008B6070" w:rsidP="008B6070">
      <w:pPr>
        <w:tabs>
          <w:tab w:val="left" w:pos="1590"/>
        </w:tabs>
        <w:rPr>
          <w:rFonts w:ascii="Calibri" w:eastAsia="Calibri" w:hAnsi="Calibri" w:cs="Times New Roman"/>
          <w:color w:val="000000" w:themeColor="text1"/>
        </w:rPr>
      </w:pPr>
    </w:p>
    <w:p w14:paraId="1AE2F585" w14:textId="0FF1A6B1" w:rsidR="008B6070" w:rsidRPr="00D26728" w:rsidRDefault="008B6070" w:rsidP="008B6070">
      <w:pPr>
        <w:tabs>
          <w:tab w:val="left" w:pos="1590"/>
        </w:tabs>
        <w:rPr>
          <w:rFonts w:ascii="Calibri" w:eastAsia="Calibri" w:hAnsi="Calibri" w:cs="Times New Roman"/>
          <w:color w:val="000000" w:themeColor="text1"/>
        </w:rPr>
      </w:pPr>
    </w:p>
    <w:bookmarkEnd w:id="3"/>
    <w:p w14:paraId="70674056" w14:textId="77777777" w:rsidR="00112097" w:rsidRPr="00D26728" w:rsidRDefault="00112097" w:rsidP="00112097">
      <w:pPr>
        <w:tabs>
          <w:tab w:val="left" w:pos="1590"/>
        </w:tabs>
        <w:rPr>
          <w:rFonts w:ascii="Calibri" w:eastAsia="Calibri" w:hAnsi="Calibri" w:cs="Times New Roman"/>
          <w:color w:val="000000" w:themeColor="text1"/>
        </w:rPr>
      </w:pPr>
    </w:p>
    <w:p w14:paraId="441C1283" w14:textId="77777777" w:rsidR="00112097" w:rsidRPr="00D26728" w:rsidRDefault="00112097" w:rsidP="00112097">
      <w:pPr>
        <w:tabs>
          <w:tab w:val="left" w:pos="1125"/>
        </w:tabs>
        <w:jc w:val="center"/>
        <w:rPr>
          <w:rFonts w:ascii="Calibri" w:eastAsia="Calibri" w:hAnsi="Calibri" w:cs="Times New Roman"/>
          <w:color w:val="000000" w:themeColor="text1"/>
        </w:rPr>
      </w:pPr>
      <w:r w:rsidRPr="00D26728">
        <w:rPr>
          <w:rFonts w:ascii="Calibri" w:eastAsia="Calibri" w:hAnsi="Calibri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6EF2A18D" wp14:editId="6D2C8BD7">
            <wp:extent cx="3364865" cy="1675130"/>
            <wp:effectExtent l="0" t="0" r="6985" b="127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3FEFB64" w14:textId="77777777" w:rsidR="00112097" w:rsidRPr="00D26728" w:rsidRDefault="00112097" w:rsidP="00112097">
      <w:pPr>
        <w:rPr>
          <w:rFonts w:ascii="Calibri" w:eastAsia="Calibri" w:hAnsi="Calibri" w:cs="Times New Roman"/>
          <w:color w:val="000000" w:themeColor="text1"/>
        </w:rPr>
      </w:pPr>
    </w:p>
    <w:p w14:paraId="67FEEFF6" w14:textId="73C5661C" w:rsidR="00112097" w:rsidRPr="00D26728" w:rsidRDefault="00112097" w:rsidP="009C7B21">
      <w:pPr>
        <w:tabs>
          <w:tab w:val="left" w:pos="1170"/>
        </w:tabs>
        <w:rPr>
          <w:rFonts w:ascii="Calibri" w:eastAsia="Calibri" w:hAnsi="Calibri" w:cs="Times New Roman"/>
          <w:color w:val="000000" w:themeColor="text1"/>
        </w:rPr>
      </w:pPr>
      <w:r w:rsidRPr="00D26728">
        <w:rPr>
          <w:rFonts w:ascii="Calibri" w:eastAsia="Calibri" w:hAnsi="Calibri" w:cs="Times New Roman"/>
          <w:b/>
          <w:bCs/>
          <w:color w:val="000000" w:themeColor="text1"/>
        </w:rPr>
        <w:t xml:space="preserve">Figure </w:t>
      </w:r>
      <w:r w:rsidR="009C7B21" w:rsidRPr="00D26728">
        <w:rPr>
          <w:rFonts w:ascii="Calibri" w:eastAsia="Calibri" w:hAnsi="Calibri" w:cs="Times New Roman"/>
          <w:b/>
          <w:bCs/>
          <w:color w:val="000000" w:themeColor="text1"/>
        </w:rPr>
        <w:t>S2</w:t>
      </w:r>
      <w:r w:rsidR="008B6070" w:rsidRPr="00D26728">
        <w:rPr>
          <w:rFonts w:ascii="Calibri" w:eastAsia="Calibri" w:hAnsi="Calibri" w:cs="Times New Roman"/>
          <w:b/>
          <w:bCs/>
          <w:color w:val="000000" w:themeColor="text1"/>
        </w:rPr>
        <w:t>.</w:t>
      </w:r>
      <w:r w:rsidRPr="00D26728">
        <w:rPr>
          <w:rFonts w:ascii="Calibri" w:eastAsia="Calibri" w:hAnsi="Calibri" w:cs="Times New Roman"/>
          <w:b/>
          <w:bCs/>
          <w:color w:val="000000" w:themeColor="text1"/>
        </w:rPr>
        <w:t xml:space="preserve"> </w:t>
      </w:r>
      <w:r w:rsidRPr="00D26728">
        <w:rPr>
          <w:rFonts w:ascii="Calibri" w:eastAsia="Calibri" w:hAnsi="Calibri" w:cs="Times New Roman"/>
          <w:color w:val="000000" w:themeColor="text1"/>
        </w:rPr>
        <w:t>Linearity of peak amplitude of ORN ratio difference spectra to the corresponding concentrations of ORN (3 - 30 µg/mL) at 292 and 315 nm in Methanol using (4 µg/mL) OFL as a divisor.</w:t>
      </w:r>
    </w:p>
    <w:p w14:paraId="76EB2326" w14:textId="77777777" w:rsidR="009C7B21" w:rsidRPr="00D26728" w:rsidRDefault="009C7B21" w:rsidP="009C7B21">
      <w:pPr>
        <w:tabs>
          <w:tab w:val="left" w:pos="1170"/>
        </w:tabs>
        <w:rPr>
          <w:rFonts w:ascii="Calibri" w:eastAsia="Calibri" w:hAnsi="Calibri" w:cs="Times New Roman"/>
          <w:color w:val="000000" w:themeColor="text1"/>
        </w:rPr>
      </w:pPr>
    </w:p>
    <w:p w14:paraId="00558526" w14:textId="77777777" w:rsidR="008B6070" w:rsidRPr="00D26728" w:rsidRDefault="008B6070" w:rsidP="008B6070">
      <w:pPr>
        <w:tabs>
          <w:tab w:val="left" w:pos="1170"/>
        </w:tabs>
        <w:rPr>
          <w:rFonts w:ascii="Calibri" w:eastAsia="Calibri" w:hAnsi="Calibri" w:cs="Times New Roman"/>
          <w:color w:val="000000" w:themeColor="text1"/>
        </w:rPr>
      </w:pPr>
    </w:p>
    <w:p w14:paraId="5C8B33EE" w14:textId="7EB9BEAF" w:rsidR="009C7B21" w:rsidRPr="00D26728" w:rsidRDefault="00112097" w:rsidP="009C7B21">
      <w:pPr>
        <w:tabs>
          <w:tab w:val="left" w:pos="1170"/>
        </w:tabs>
        <w:jc w:val="center"/>
        <w:rPr>
          <w:rFonts w:ascii="Calibri" w:eastAsia="Calibri" w:hAnsi="Calibri" w:cs="Times New Roman"/>
          <w:color w:val="000000" w:themeColor="text1"/>
        </w:rPr>
      </w:pPr>
      <w:r w:rsidRPr="00D26728">
        <w:rPr>
          <w:rFonts w:ascii="Calibri" w:eastAsia="Calibri" w:hAnsi="Calibri" w:cs="Times New Roman"/>
          <w:noProof/>
          <w:color w:val="000000" w:themeColor="text1"/>
          <w:lang w:val="en-IN" w:eastAsia="en-IN"/>
        </w:rPr>
        <w:drawing>
          <wp:inline distT="0" distB="0" distL="0" distR="0" wp14:anchorId="60FDAD6A" wp14:editId="7EF2B483">
            <wp:extent cx="4572000" cy="2743200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Start w:id="4" w:name="_Hlk103901346"/>
    </w:p>
    <w:p w14:paraId="0E1E4B95" w14:textId="0BD61460" w:rsidR="00112097" w:rsidRPr="00D26728" w:rsidRDefault="00112097" w:rsidP="009C7B2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</w:pPr>
      <w:r w:rsidRPr="00D26728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Figure </w:t>
      </w:r>
      <w:r w:rsidR="009C7B21" w:rsidRPr="00D26728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S3</w:t>
      </w:r>
      <w:r w:rsidR="008B6070" w:rsidRPr="00D26728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.</w:t>
      </w:r>
      <w:r w:rsidRPr="00D26728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 w:rsidRPr="00D26728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>Linearity of peak amplitude of OFL mean centering of the ratio spectra in concentration range (2–15 µg/mL) at 296 nm in MeOH</w:t>
      </w:r>
      <w:r w:rsidRPr="00D267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using (5 </w:t>
      </w:r>
      <w:r w:rsidRPr="00D267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  <w:t>µg/mL) ORN as a divisor.</w:t>
      </w:r>
    </w:p>
    <w:bookmarkEnd w:id="4"/>
    <w:p w14:paraId="3B46440F" w14:textId="77777777" w:rsidR="00112097" w:rsidRPr="00D26728" w:rsidRDefault="00112097" w:rsidP="00112097">
      <w:pPr>
        <w:ind w:firstLine="720"/>
        <w:rPr>
          <w:rFonts w:ascii="Calibri" w:eastAsia="Calibri" w:hAnsi="Calibri" w:cs="Times New Roman"/>
          <w:color w:val="000000" w:themeColor="text1"/>
        </w:rPr>
      </w:pPr>
      <w:r w:rsidRPr="00D26728">
        <w:rPr>
          <w:rFonts w:ascii="Calibri" w:eastAsia="Calibri" w:hAnsi="Calibri" w:cs="Times New Roman"/>
          <w:noProof/>
          <w:color w:val="000000" w:themeColor="text1"/>
          <w:lang w:val="en-IN" w:eastAsia="en-IN"/>
        </w:rPr>
        <w:drawing>
          <wp:inline distT="0" distB="0" distL="0" distR="0" wp14:anchorId="40041334" wp14:editId="7761976A">
            <wp:extent cx="4572000" cy="2695575"/>
            <wp:effectExtent l="0" t="0" r="0" b="9525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1ADBE61" w14:textId="5A6C7132" w:rsidR="00112097" w:rsidRPr="00D26728" w:rsidRDefault="00112097" w:rsidP="009C7B2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</w:pPr>
      <w:r w:rsidRPr="00D26728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Figure </w:t>
      </w:r>
      <w:r w:rsidR="009C7B21" w:rsidRPr="00D26728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S4</w:t>
      </w:r>
      <w:r w:rsidR="008B6070" w:rsidRPr="00D26728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.</w:t>
      </w:r>
      <w:r w:rsidRPr="00D26728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 w:rsidRPr="00D26728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>Linearity of peak amplitude of ORN mean centering of the ratio spectra in concentration range (3–30 µg/mL) at 315 nm in MeOH</w:t>
      </w:r>
      <w:r w:rsidRPr="00D267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using (4 </w:t>
      </w:r>
      <w:r w:rsidRPr="00D267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  <w:t>µg/mL) OFL as a divisor.</w:t>
      </w:r>
    </w:p>
    <w:p w14:paraId="516D5B4A" w14:textId="77777777" w:rsidR="00112097" w:rsidRPr="00D26728" w:rsidRDefault="00112097" w:rsidP="00112097">
      <w:pPr>
        <w:tabs>
          <w:tab w:val="left" w:pos="1140"/>
        </w:tabs>
        <w:rPr>
          <w:rFonts w:ascii="Calibri" w:eastAsia="Calibri" w:hAnsi="Calibri" w:cs="Times New Roman"/>
          <w:color w:val="000000" w:themeColor="text1"/>
        </w:rPr>
      </w:pPr>
    </w:p>
    <w:p w14:paraId="6B540DBB" w14:textId="77777777" w:rsidR="00112097" w:rsidRPr="00D26728" w:rsidRDefault="00112097" w:rsidP="00112097">
      <w:pPr>
        <w:tabs>
          <w:tab w:val="left" w:pos="1140"/>
        </w:tabs>
        <w:rPr>
          <w:rFonts w:ascii="Calibri" w:eastAsia="Calibri" w:hAnsi="Calibri" w:cs="Times New Roman"/>
          <w:color w:val="000000" w:themeColor="text1"/>
        </w:rPr>
      </w:pPr>
    </w:p>
    <w:p w14:paraId="129FB5B3" w14:textId="77777777" w:rsidR="00112097" w:rsidRPr="00D26728" w:rsidRDefault="00112097" w:rsidP="00112097">
      <w:pPr>
        <w:tabs>
          <w:tab w:val="left" w:pos="1140"/>
        </w:tabs>
        <w:rPr>
          <w:rFonts w:ascii="Calibri" w:eastAsia="Calibri" w:hAnsi="Calibri" w:cs="Times New Roman"/>
          <w:color w:val="000000" w:themeColor="text1"/>
        </w:rPr>
      </w:pPr>
    </w:p>
    <w:p w14:paraId="2E1D91DA" w14:textId="77777777" w:rsidR="00112097" w:rsidRPr="00D26728" w:rsidRDefault="00112097" w:rsidP="00112097">
      <w:pPr>
        <w:tabs>
          <w:tab w:val="left" w:pos="1140"/>
        </w:tabs>
        <w:jc w:val="center"/>
        <w:rPr>
          <w:rFonts w:ascii="Calibri" w:eastAsia="Calibri" w:hAnsi="Calibri" w:cs="Times New Roman"/>
          <w:color w:val="000000" w:themeColor="text1"/>
        </w:rPr>
      </w:pPr>
      <w:r w:rsidRPr="00D26728">
        <w:rPr>
          <w:rFonts w:ascii="Calibri" w:eastAsia="Calibri" w:hAnsi="Calibri" w:cs="Times New Roman"/>
          <w:noProof/>
          <w:color w:val="000000" w:themeColor="text1"/>
          <w:lang w:val="en-IN" w:eastAsia="en-IN"/>
        </w:rPr>
        <w:drawing>
          <wp:inline distT="0" distB="0" distL="0" distR="0" wp14:anchorId="75FAC26D" wp14:editId="3001D8CB">
            <wp:extent cx="4572000" cy="27432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F711FE7" w14:textId="77777777" w:rsidR="00112097" w:rsidRPr="00D26728" w:rsidRDefault="00112097" w:rsidP="00112097">
      <w:pPr>
        <w:rPr>
          <w:rFonts w:ascii="Calibri" w:eastAsia="Calibri" w:hAnsi="Calibri" w:cs="Times New Roman"/>
          <w:color w:val="000000" w:themeColor="text1"/>
        </w:rPr>
      </w:pPr>
    </w:p>
    <w:p w14:paraId="71E1B43C" w14:textId="5DD574AB" w:rsidR="00112097" w:rsidRPr="00D26728" w:rsidRDefault="00112097" w:rsidP="00B1335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</w:pPr>
      <w:bookmarkStart w:id="5" w:name="_Hlk103901083"/>
      <w:r w:rsidRPr="00D267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 xml:space="preserve">Figure </w:t>
      </w:r>
      <w:r w:rsidR="00B1335E" w:rsidRPr="00D267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>S5</w:t>
      </w:r>
      <w:r w:rsidR="008B6070" w:rsidRPr="00D267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>.</w:t>
      </w:r>
      <w:r w:rsidRPr="00D267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  <w:t xml:space="preserve"> Linearity of peak amplitude of OFL continuous wavelet transform spectra in concentration range (2–15 µg/mL) at 285 nm in MeOH using (5 µg/mL) </w:t>
      </w:r>
      <w:proofErr w:type="spellStart"/>
      <w:r w:rsidRPr="00D267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  <w:t>ORNas</w:t>
      </w:r>
      <w:proofErr w:type="spellEnd"/>
      <w:r w:rsidRPr="00D267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  <w:t xml:space="preserve"> a divisor.</w:t>
      </w:r>
      <w:r w:rsidRPr="00D267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 xml:space="preserve"> </w:t>
      </w:r>
    </w:p>
    <w:p w14:paraId="71D51D41" w14:textId="3CDA6C81" w:rsidR="009C7B21" w:rsidRPr="00D26728" w:rsidRDefault="009C7B21" w:rsidP="008B607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</w:pPr>
    </w:p>
    <w:p w14:paraId="150176AF" w14:textId="77777777" w:rsidR="009C7B21" w:rsidRPr="00D26728" w:rsidRDefault="009C7B21" w:rsidP="008B607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</w:pPr>
    </w:p>
    <w:bookmarkEnd w:id="5"/>
    <w:p w14:paraId="7ACC6166" w14:textId="77777777" w:rsidR="00112097" w:rsidRPr="00D26728" w:rsidRDefault="00112097" w:rsidP="00112097">
      <w:pPr>
        <w:ind w:firstLine="720"/>
        <w:rPr>
          <w:rFonts w:ascii="Calibri" w:eastAsia="Calibri" w:hAnsi="Calibri" w:cs="Times New Roman"/>
          <w:color w:val="000000" w:themeColor="text1"/>
        </w:rPr>
      </w:pPr>
      <w:r w:rsidRPr="00D26728">
        <w:rPr>
          <w:rFonts w:ascii="Calibri" w:eastAsia="Calibri" w:hAnsi="Calibri" w:cs="Times New Roman"/>
          <w:noProof/>
          <w:color w:val="000000" w:themeColor="text1"/>
          <w:lang w:val="en-IN" w:eastAsia="en-IN"/>
        </w:rPr>
        <w:drawing>
          <wp:inline distT="0" distB="0" distL="0" distR="0" wp14:anchorId="51E6ADB3" wp14:editId="19A29095">
            <wp:extent cx="4572000" cy="27432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DFD9884" w14:textId="08DBB916" w:rsidR="00E24F64" w:rsidRPr="00D26728" w:rsidRDefault="008B6070" w:rsidP="00B1335E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color w:val="000000" w:themeColor="text1"/>
        </w:rPr>
      </w:pPr>
      <w:r w:rsidRPr="00D267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 xml:space="preserve">Figure </w:t>
      </w:r>
      <w:r w:rsidR="00B1335E" w:rsidRPr="00D267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>S6</w:t>
      </w:r>
      <w:r w:rsidRPr="00D267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>.</w:t>
      </w:r>
      <w:r w:rsidR="00112097" w:rsidRPr="00D267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ar-EG"/>
        </w:rPr>
        <w:t xml:space="preserve"> </w:t>
      </w:r>
      <w:r w:rsidR="00112097" w:rsidRPr="00D267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  <w:t xml:space="preserve">Linearity of peak amplitude of ORN continuous wavelet transform spectra in concentration range (3–30 µg/mL) at 306 nm in MeOH using (4 µg/mL) OFL as a divisor. </w:t>
      </w:r>
    </w:p>
    <w:sectPr w:rsidR="00E24F64" w:rsidRPr="00D26728" w:rsidSect="00D26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charset w:val="86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41"/>
    <w:rsid w:val="00112097"/>
    <w:rsid w:val="0081198D"/>
    <w:rsid w:val="008B6070"/>
    <w:rsid w:val="008E34F5"/>
    <w:rsid w:val="009C7B21"/>
    <w:rsid w:val="00B1335E"/>
    <w:rsid w:val="00D06141"/>
    <w:rsid w:val="00D26728"/>
    <w:rsid w:val="00E2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4D9A0"/>
  <w15:chartTrackingRefBased/>
  <w15:docId w15:val="{DE5E521E-BCAC-4D22-AABC-0BF8861E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9C7B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hyperlink" Target="mailto:amr.bekhet@pharma.cu.edu.eg" TargetMode="External"/><Relationship Id="rId10" Type="http://schemas.openxmlformats.org/officeDocument/2006/relationships/chart" Target="charts/chart5.xml"/><Relationship Id="rId4" Type="http://schemas.openxmlformats.org/officeDocument/2006/relationships/hyperlink" Target="mailto:khadiga.elkilany@pharma.cu.edu.eg" TargetMode="Externa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9428126039433"/>
          <c:y val="4.7466182111851399E-2"/>
          <c:w val="0.84734951881014897"/>
          <c:h val="0.74915135608048999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/>
            </c:spPr>
          </c:marker>
          <c:trendline>
            <c:spPr>
              <a:ln w="15875" cap="rnd">
                <a:solidFill>
                  <a:schemeClr val="dk1">
                    <a:tint val="88500"/>
                  </a:schemeClr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21884396952924101"/>
                  <c:y val="0.37190274996113298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lang="en-US"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900" b="1" baseline="0">
                        <a:solidFill>
                          <a:sysClr val="windowText" lastClr="000000"/>
                        </a:solidFill>
                      </a:rPr>
                      <a:t>y = 0.3361x + 0.112</a:t>
                    </a:r>
                    <a:br>
                      <a:rPr lang="en-US" sz="900" b="1" baseline="0">
                        <a:solidFill>
                          <a:sysClr val="windowText" lastClr="000000"/>
                        </a:solidFill>
                      </a:rPr>
                    </a:br>
                    <a:r>
                      <a:rPr lang="en-US" sz="900" b="1" baseline="0">
                        <a:solidFill>
                          <a:sysClr val="windowText" lastClr="000000"/>
                        </a:solidFill>
                      </a:rPr>
                      <a:t>R² = 0.9999</a:t>
                    </a:r>
                    <a:endParaRPr lang="en-US" sz="900" b="1">
                      <a:solidFill>
                        <a:sysClr val="windowText" lastClr="000000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lang="en-US"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'OFL new'!$D$7:$D$13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15</c:v>
                </c:pt>
              </c:numCache>
            </c:numRef>
          </c:xVal>
          <c:yVal>
            <c:numRef>
              <c:f>'OFL new'!$E$7:$E$13</c:f>
              <c:numCache>
                <c:formatCode>General</c:formatCode>
                <c:ptCount val="7"/>
                <c:pt idx="0">
                  <c:v>0.77800000000000002</c:v>
                </c:pt>
                <c:pt idx="1">
                  <c:v>1.456</c:v>
                </c:pt>
                <c:pt idx="2">
                  <c:v>2.133</c:v>
                </c:pt>
                <c:pt idx="3">
                  <c:v>2.8170000000000002</c:v>
                </c:pt>
                <c:pt idx="4">
                  <c:v>3.45</c:v>
                </c:pt>
                <c:pt idx="5">
                  <c:v>4.16</c:v>
                </c:pt>
                <c:pt idx="6">
                  <c:v>5.1470000000000002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EB9-4C80-9B65-58362B0AC1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1095296"/>
        <c:axId val="111099648"/>
      </c:scatterChart>
      <c:valAx>
        <c:axId val="1110952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</a:rPr>
                  <a:t>Concentration(</a:t>
                </a:r>
                <a:r>
                  <a:rPr lang="en-US" sz="1000" baseline="0">
                    <a:solidFill>
                      <a:sysClr val="windowText" lastClr="000000"/>
                    </a:solidFill>
                  </a:rPr>
                  <a:t> </a:t>
                </a:r>
                <a:r>
                  <a:rPr lang="en-US" sz="1000" baseline="0">
                    <a:solidFill>
                      <a:sysClr val="windowText" lastClr="000000"/>
                    </a:solidFill>
                    <a:latin typeface="Calibri" panose="020F0502020204030204" charset="0"/>
                    <a:cs typeface="Calibri" panose="020F0502020204030204" charset="0"/>
                  </a:rPr>
                  <a:t>µg/ml)</a:t>
                </a:r>
                <a:endParaRPr lang="en-US" sz="1000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099648"/>
        <c:crosses val="autoZero"/>
        <c:crossBetween val="midCat"/>
      </c:valAx>
      <c:valAx>
        <c:axId val="1110996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</a:rPr>
                  <a:t>Amplitude</a:t>
                </a:r>
                <a:r>
                  <a:rPr lang="en-US" sz="1000" baseline="0">
                    <a:solidFill>
                      <a:sysClr val="windowText" lastClr="000000"/>
                    </a:solidFill>
                  </a:rPr>
                  <a:t> Difference</a:t>
                </a:r>
                <a:endParaRPr lang="en-US" sz="1000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09529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5875" cap="flat" cmpd="sng" algn="ctr">
      <a:solidFill>
        <a:schemeClr val="tx1"/>
      </a:solidFill>
      <a:round/>
    </a:ln>
    <a:effectLst/>
  </c:spPr>
  <c:txPr>
    <a:bodyPr/>
    <a:lstStyle/>
    <a:p>
      <a:pPr>
        <a:defRPr lang="en-US"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2206036745407"/>
          <c:y val="5.0925925925925902E-2"/>
          <c:w val="0.84734951881014897"/>
          <c:h val="0.74915135608048999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dk1">
                    <a:tint val="88500"/>
                  </a:schemeClr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8820067752495101"/>
                  <c:y val="0.46556453312035401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lang="en-US"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900" b="1" baseline="0">
                        <a:solidFill>
                          <a:sysClr val="windowText" lastClr="000000"/>
                        </a:solidFill>
                      </a:rPr>
                      <a:t>y = 0.1751x + 0.0139</a:t>
                    </a:r>
                    <a:br>
                      <a:rPr lang="en-US" sz="900" b="1" baseline="0">
                        <a:solidFill>
                          <a:sysClr val="windowText" lastClr="000000"/>
                        </a:solidFill>
                      </a:rPr>
                    </a:br>
                    <a:r>
                      <a:rPr lang="en-US" sz="900" b="1" baseline="0">
                        <a:solidFill>
                          <a:sysClr val="windowText" lastClr="000000"/>
                        </a:solidFill>
                      </a:rPr>
                      <a:t>R² = 0.9998</a:t>
                    </a:r>
                    <a:endParaRPr lang="en-US" sz="900" b="1">
                      <a:solidFill>
                        <a:sysClr val="windowText" lastClr="000000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lang="en-US"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ORN!$D$4:$D$10</c:f>
              <c:numCache>
                <c:formatCode>General</c:formatCode>
                <c:ptCount val="7"/>
                <c:pt idx="0">
                  <c:v>3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xVal>
          <c:yVal>
            <c:numRef>
              <c:f>ORN!$E$4:$E$10</c:f>
              <c:numCache>
                <c:formatCode>General</c:formatCode>
                <c:ptCount val="7"/>
                <c:pt idx="0">
                  <c:v>0.53100000000000003</c:v>
                </c:pt>
                <c:pt idx="1">
                  <c:v>0.878</c:v>
                </c:pt>
                <c:pt idx="2">
                  <c:v>1.7569999999999999</c:v>
                </c:pt>
                <c:pt idx="3">
                  <c:v>2.6829999999999998</c:v>
                </c:pt>
                <c:pt idx="4">
                  <c:v>3.5139999999999998</c:v>
                </c:pt>
                <c:pt idx="5">
                  <c:v>4.407</c:v>
                </c:pt>
                <c:pt idx="6">
                  <c:v>5.242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298-489A-8A08-4161D3CE60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1101824"/>
        <c:axId val="111099104"/>
      </c:scatterChart>
      <c:valAx>
        <c:axId val="11110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</a:rPr>
                  <a:t>Concentration</a:t>
                </a:r>
                <a:r>
                  <a:rPr lang="en-US" sz="1000" baseline="0">
                    <a:solidFill>
                      <a:sysClr val="windowText" lastClr="000000"/>
                    </a:solidFill>
                  </a:rPr>
                  <a:t> (µg/ml)</a:t>
                </a:r>
                <a:endParaRPr lang="en-US" sz="1000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099104"/>
        <c:crosses val="autoZero"/>
        <c:crossBetween val="midCat"/>
      </c:valAx>
      <c:valAx>
        <c:axId val="11109910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</a:rPr>
                  <a:t>Amplitude</a:t>
                </a:r>
                <a:r>
                  <a:rPr lang="en-US" sz="1000" baseline="0">
                    <a:solidFill>
                      <a:sysClr val="windowText" lastClr="000000"/>
                    </a:solidFill>
                  </a:rPr>
                  <a:t> Difference</a:t>
                </a:r>
                <a:endParaRPr lang="en-US" sz="1000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1018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5875" cap="flat" cmpd="sng" algn="ctr">
      <a:solidFill>
        <a:schemeClr val="tx1"/>
      </a:solidFill>
      <a:round/>
    </a:ln>
    <a:effectLst/>
  </c:spPr>
  <c:txPr>
    <a:bodyPr/>
    <a:lstStyle/>
    <a:p>
      <a:pPr>
        <a:defRPr lang="en-US"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413648293963299"/>
          <c:y val="7.8703703703703706E-2"/>
          <c:w val="0.81819685039370105"/>
          <c:h val="0.73218394575678003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dk1">
                    <a:tint val="88500"/>
                  </a:schemeClr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1.4067804024496901E-2"/>
                  <c:y val="0.25265128317293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lang="en-US"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 baseline="0">
                        <a:solidFill>
                          <a:sysClr val="windowText" lastClr="000000"/>
                        </a:solidFill>
                      </a:rPr>
                      <a:t>y = 0.133x + 0.016</a:t>
                    </a:r>
                    <a:br>
                      <a:rPr lang="en-US" b="1" baseline="0">
                        <a:solidFill>
                          <a:sysClr val="windowText" lastClr="000000"/>
                        </a:solidFill>
                      </a:rPr>
                    </a:br>
                    <a:r>
                      <a:rPr lang="en-US" b="1" baseline="0">
                        <a:solidFill>
                          <a:sysClr val="windowText" lastClr="000000"/>
                        </a:solidFill>
                      </a:rPr>
                      <a:t>R² = 0.9997</a:t>
                    </a:r>
                    <a:endParaRPr lang="en-US" b="1">
                      <a:solidFill>
                        <a:sysClr val="windowText" lastClr="000000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lang="en-US"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'OFL MEAN CENT.'!$D$5:$D$11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15</c:v>
                </c:pt>
              </c:numCache>
            </c:numRef>
          </c:xVal>
          <c:yVal>
            <c:numRef>
              <c:f>'OFL MEAN CENT.'!$E$5:$E$11</c:f>
              <c:numCache>
                <c:formatCode>General</c:formatCode>
                <c:ptCount val="7"/>
                <c:pt idx="0">
                  <c:v>0.28000000000000003</c:v>
                </c:pt>
                <c:pt idx="1">
                  <c:v>0.55000000000000004</c:v>
                </c:pt>
                <c:pt idx="2">
                  <c:v>0.80300000000000005</c:v>
                </c:pt>
                <c:pt idx="3">
                  <c:v>1.0900000000000001</c:v>
                </c:pt>
                <c:pt idx="4">
                  <c:v>1.3360000000000001</c:v>
                </c:pt>
                <c:pt idx="5">
                  <c:v>1.6</c:v>
                </c:pt>
                <c:pt idx="6">
                  <c:v>2.0219999999999998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C36-4912-8F15-CB4E473747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1101280"/>
        <c:axId val="111096384"/>
      </c:scatterChart>
      <c:valAx>
        <c:axId val="1111012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</a:rPr>
                  <a:t>Concentration( µg/ml)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096384"/>
        <c:crosses val="autoZero"/>
        <c:crossBetween val="midCat"/>
      </c:valAx>
      <c:valAx>
        <c:axId val="11109638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</a:rPr>
                  <a:t>Peak</a:t>
                </a:r>
                <a:r>
                  <a:rPr lang="en-US" sz="1200" baseline="0">
                    <a:solidFill>
                      <a:sysClr val="windowText" lastClr="000000"/>
                    </a:solidFill>
                  </a:rPr>
                  <a:t> Amplitude</a:t>
                </a:r>
                <a:endParaRPr lang="en-US" sz="1200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solidFill>
                <a:schemeClr val="tx1"/>
              </a:solidFill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1012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413648293963299"/>
          <c:y val="9.7222222222222196E-2"/>
          <c:w val="0.81819685039370105"/>
          <c:h val="0.73218394575678003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dk1">
                    <a:tint val="88500"/>
                  </a:schemeClr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0792672790901101"/>
                  <c:y val="0.2778160542432199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lang="en-US"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'ORN mean cent.'!$C$5:$C$11</c:f>
              <c:numCache>
                <c:formatCode>General</c:formatCode>
                <c:ptCount val="7"/>
                <c:pt idx="0">
                  <c:v>3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xVal>
          <c:yVal>
            <c:numRef>
              <c:f>'ORN mean cent.'!$D$5:$D$11</c:f>
              <c:numCache>
                <c:formatCode>General</c:formatCode>
                <c:ptCount val="7"/>
                <c:pt idx="0">
                  <c:v>0.22</c:v>
                </c:pt>
                <c:pt idx="1">
                  <c:v>0.35680000000000001</c:v>
                </c:pt>
                <c:pt idx="2">
                  <c:v>0.69899999999999995</c:v>
                </c:pt>
                <c:pt idx="3">
                  <c:v>1.0609999999999999</c:v>
                </c:pt>
                <c:pt idx="4">
                  <c:v>1.3939999999999999</c:v>
                </c:pt>
                <c:pt idx="5">
                  <c:v>1.74</c:v>
                </c:pt>
                <c:pt idx="6">
                  <c:v>2.0750000000000002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260-4D06-8E14-FF53F4DC4C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1100192"/>
        <c:axId val="111097472"/>
      </c:scatterChart>
      <c:valAx>
        <c:axId val="1111001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</a:rPr>
                  <a:t>Concentration(µg/ml)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097472"/>
        <c:crosses val="autoZero"/>
        <c:crossBetween val="midCat"/>
      </c:valAx>
      <c:valAx>
        <c:axId val="1110974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</a:rPr>
                  <a:t>Peak Amplitude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100192"/>
        <c:crosses val="autoZero"/>
        <c:crossBetween val="midCat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  <a:endParaRPr lang="en-U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/>
            </c:spPr>
          </c:marker>
          <c:trendline>
            <c:spPr>
              <a:ln w="15875" cap="rnd">
                <a:solidFill>
                  <a:schemeClr val="dk1">
                    <a:tint val="88500"/>
                  </a:schemeClr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4.4956692913385797E-2"/>
                  <c:y val="0.29919145523476198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lang="en-US"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100" b="1" baseline="0">
                        <a:solidFill>
                          <a:schemeClr val="tx1"/>
                        </a:solidFill>
                      </a:rPr>
                      <a:t>y = 0.1636x + 0.021</a:t>
                    </a:r>
                    <a:br>
                      <a:rPr lang="en-US" sz="1100" b="1" baseline="0">
                        <a:solidFill>
                          <a:schemeClr val="tx1"/>
                        </a:solidFill>
                      </a:rPr>
                    </a:br>
                    <a:r>
                      <a:rPr lang="en-US" sz="1100" b="1" baseline="0">
                        <a:solidFill>
                          <a:schemeClr val="tx1"/>
                        </a:solidFill>
                      </a:rPr>
                      <a:t>R² = 0.9997</a:t>
                    </a:r>
                    <a:endParaRPr lang="en-US" sz="1100" b="1">
                      <a:solidFill>
                        <a:schemeClr val="tx1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lang="en-US"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'OFL linearity cont.wavlet'!$C$7:$C$13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15</c:v>
                </c:pt>
              </c:numCache>
            </c:numRef>
          </c:xVal>
          <c:yVal>
            <c:numRef>
              <c:f>'OFL linearity cont.wavlet'!$D$7:$D$13</c:f>
              <c:numCache>
                <c:formatCode>General</c:formatCode>
                <c:ptCount val="7"/>
                <c:pt idx="0">
                  <c:v>0.35</c:v>
                </c:pt>
                <c:pt idx="1">
                  <c:v>0.69</c:v>
                </c:pt>
                <c:pt idx="2">
                  <c:v>0.995</c:v>
                </c:pt>
                <c:pt idx="3">
                  <c:v>1.3109999999999999</c:v>
                </c:pt>
                <c:pt idx="4">
                  <c:v>1.65</c:v>
                </c:pt>
                <c:pt idx="5">
                  <c:v>2.0009999999999999</c:v>
                </c:pt>
                <c:pt idx="6">
                  <c:v>2.4750000000000001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00D-45D5-9D0E-C7D04C2049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1102368"/>
        <c:axId val="111098016"/>
      </c:scatterChart>
      <c:valAx>
        <c:axId val="1111023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chemeClr val="tx1"/>
                    </a:solidFill>
                  </a:rPr>
                  <a:t>Concentration</a:t>
                </a:r>
                <a:r>
                  <a:rPr lang="en-US" sz="1200" baseline="0">
                    <a:solidFill>
                      <a:schemeClr val="tx1"/>
                    </a:solidFill>
                  </a:rPr>
                  <a:t> (µg/ml)</a:t>
                </a:r>
                <a:endParaRPr lang="en-US" sz="1200">
                  <a:solidFill>
                    <a:schemeClr val="tx1"/>
                  </a:solidFill>
                </a:endParaRPr>
              </a:p>
            </c:rich>
          </c:tx>
          <c:layout>
            <c:manualLayout>
              <c:xMode val="edge"/>
              <c:yMode val="edge"/>
              <c:x val="0.38454724409448798"/>
              <c:y val="0.8673611111111110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098016"/>
        <c:crosses val="autoZero"/>
        <c:crossBetween val="midCat"/>
      </c:valAx>
      <c:valAx>
        <c:axId val="1110980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ysClr val="windowText" lastClr="000000"/>
                    </a:solidFill>
                  </a:rPr>
                  <a:t>peak Amplitude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102368"/>
        <c:crosses val="autoZero"/>
        <c:crossBetween val="midCat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dk1">
                    <a:tint val="88500"/>
                  </a:schemeClr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8.6674978127734004E-2"/>
                  <c:y val="0.3703703703703700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lang="en-US"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100" b="1" baseline="0">
                        <a:solidFill>
                          <a:sysClr val="windowText" lastClr="000000"/>
                        </a:solidFill>
                      </a:rPr>
                      <a:t>y = 0.1083x + 0.0262</a:t>
                    </a:r>
                    <a:br>
                      <a:rPr lang="en-US" sz="1100" b="1" baseline="0">
                        <a:solidFill>
                          <a:sysClr val="windowText" lastClr="000000"/>
                        </a:solidFill>
                      </a:rPr>
                    </a:br>
                    <a:r>
                      <a:rPr lang="en-US" sz="1100" b="1" baseline="0">
                        <a:solidFill>
                          <a:sysClr val="windowText" lastClr="000000"/>
                        </a:solidFill>
                      </a:rPr>
                      <a:t>R² = 0.9998</a:t>
                    </a:r>
                    <a:endParaRPr lang="en-US" sz="1100" b="1">
                      <a:solidFill>
                        <a:sysClr val="windowText" lastClr="000000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lang="en-US"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'ORN cont.wavelet'!$C$6:$C$12</c:f>
              <c:numCache>
                <c:formatCode>General</c:formatCode>
                <c:ptCount val="7"/>
                <c:pt idx="0">
                  <c:v>3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xVal>
          <c:yVal>
            <c:numRef>
              <c:f>'ORN cont.wavelet'!$D$6:$D$12</c:f>
              <c:numCache>
                <c:formatCode>General</c:formatCode>
                <c:ptCount val="7"/>
                <c:pt idx="0">
                  <c:v>0.34499999999999997</c:v>
                </c:pt>
                <c:pt idx="1">
                  <c:v>0.5635</c:v>
                </c:pt>
                <c:pt idx="2">
                  <c:v>1.105</c:v>
                </c:pt>
                <c:pt idx="3">
                  <c:v>1.6679999999999999</c:v>
                </c:pt>
                <c:pt idx="4">
                  <c:v>2.19</c:v>
                </c:pt>
                <c:pt idx="5">
                  <c:v>2.76</c:v>
                </c:pt>
                <c:pt idx="6">
                  <c:v>3.25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E7D-4D90-A66D-F36F9C1A18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1100736"/>
        <c:axId val="1033718768"/>
      </c:scatterChart>
      <c:valAx>
        <c:axId val="1111007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</a:rPr>
                  <a:t>concentration (µg/ml)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33718768"/>
        <c:crosses val="autoZero"/>
        <c:crossBetween val="midCat"/>
      </c:valAx>
      <c:valAx>
        <c:axId val="10337187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</a:rPr>
                  <a:t> Peak Amplitude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1007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asmaa gamal</dc:creator>
  <cp:keywords/>
  <dc:description/>
  <cp:lastModifiedBy>Chandravadhana Ramesh</cp:lastModifiedBy>
  <cp:revision>5</cp:revision>
  <dcterms:created xsi:type="dcterms:W3CDTF">2022-06-13T11:01:00Z</dcterms:created>
  <dcterms:modified xsi:type="dcterms:W3CDTF">2023-03-02T10:35:00Z</dcterms:modified>
</cp:coreProperties>
</file>