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C4ABB" w14:textId="77777777" w:rsidR="00384904" w:rsidRPr="007A13F3" w:rsidRDefault="00384904" w:rsidP="0038490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A13F3">
        <w:rPr>
          <w:rFonts w:asciiTheme="majorBidi" w:hAnsiTheme="majorBidi" w:cstheme="majorBidi"/>
          <w:b/>
          <w:bCs/>
          <w:sz w:val="28"/>
          <w:szCs w:val="28"/>
        </w:rPr>
        <w:t>Introducing the Carbon Footprint Reduction Index (</w:t>
      </w:r>
      <w:proofErr w:type="spellStart"/>
      <w:r w:rsidRPr="007A13F3">
        <w:rPr>
          <w:rFonts w:asciiTheme="majorBidi" w:hAnsiTheme="majorBidi" w:cstheme="majorBidi"/>
          <w:b/>
          <w:bCs/>
          <w:sz w:val="28"/>
          <w:szCs w:val="28"/>
        </w:rPr>
        <w:t>CaFRI</w:t>
      </w:r>
      <w:proofErr w:type="spellEnd"/>
      <w:r w:rsidRPr="007A13F3">
        <w:rPr>
          <w:rFonts w:asciiTheme="majorBidi" w:hAnsiTheme="majorBidi" w:cstheme="majorBidi"/>
          <w:b/>
          <w:bCs/>
          <w:sz w:val="28"/>
          <w:szCs w:val="28"/>
        </w:rPr>
        <w:t>) as a Software-Supported Tool for Greener Laboratories in Chemical Analysis</w:t>
      </w:r>
    </w:p>
    <w:p w14:paraId="02ACF236" w14:textId="77777777" w:rsidR="00384904" w:rsidRPr="008D295C" w:rsidRDefault="00384904" w:rsidP="00384904">
      <w:pPr>
        <w:suppressLineNumbers/>
        <w:spacing w:after="0" w:line="36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val="pl-PL"/>
        </w:rPr>
      </w:pPr>
      <w:r w:rsidRPr="008D295C">
        <w:rPr>
          <w:rFonts w:ascii="Times New Roman" w:eastAsia="Calibri" w:hAnsi="Times New Roman" w:cs="Times New Roman"/>
          <w:i/>
          <w:color w:val="000000"/>
          <w:sz w:val="24"/>
          <w:szCs w:val="24"/>
          <w:lang w:val="pl-PL"/>
        </w:rPr>
        <w:t>Fotouh R. Mansour</w:t>
      </w:r>
      <w:r w:rsidRPr="008D295C">
        <w:rPr>
          <w:rFonts w:ascii="Times New Roman" w:eastAsia="Calibri" w:hAnsi="Times New Roman" w:cs="Times New Roman"/>
          <w:i/>
          <w:color w:val="000000"/>
          <w:sz w:val="24"/>
          <w:szCs w:val="24"/>
          <w:vertAlign w:val="superscript"/>
          <w:lang w:val="pl-PL"/>
        </w:rPr>
        <w:t>1</w:t>
      </w:r>
      <w:r w:rsidRPr="008D295C">
        <w:rPr>
          <w:rFonts w:ascii="Times New Roman" w:eastAsia="Calibri" w:hAnsi="Times New Roman" w:cs="Times New Roman"/>
          <w:i/>
          <w:color w:val="000000"/>
          <w:sz w:val="24"/>
          <w:szCs w:val="24"/>
          <w:lang w:val="pl-PL"/>
        </w:rPr>
        <w:t>*, Paweł Mateusz Nowak</w:t>
      </w:r>
      <w:r w:rsidRPr="008D295C">
        <w:rPr>
          <w:rFonts w:ascii="Times New Roman" w:eastAsia="Calibri" w:hAnsi="Times New Roman" w:cs="Times New Roman"/>
          <w:i/>
          <w:color w:val="000000"/>
          <w:sz w:val="24"/>
          <w:szCs w:val="24"/>
          <w:vertAlign w:val="superscript"/>
          <w:lang w:val="pl-PL"/>
        </w:rPr>
        <w:t>2</w:t>
      </w:r>
    </w:p>
    <w:p w14:paraId="3FD4BDC9" w14:textId="77777777" w:rsidR="00384904" w:rsidRDefault="00384904" w:rsidP="00384904">
      <w:pPr>
        <w:suppressLineNumbers/>
        <w:spacing w:after="0" w:line="360" w:lineRule="auto"/>
        <w:jc w:val="center"/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</w:pPr>
      <w:hyperlink r:id="rId5" w:tgtFrame="_blank" w:history="1">
        <w:r w:rsidRPr="00054434">
          <w:rPr>
            <w:rStyle w:val="Hyperlink"/>
            <w:rFonts w:ascii="Times New Roman" w:eastAsia="Calibri" w:hAnsi="Times New Roman" w:cs="Times New Roman"/>
            <w:i/>
            <w:sz w:val="24"/>
            <w:szCs w:val="24"/>
            <w:lang w:val="en-GB"/>
          </w:rPr>
          <w:br/>
        </w:r>
      </w:hyperlink>
      <w:r w:rsidRPr="0036454D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vertAlign w:val="superscript"/>
        </w:rPr>
        <w:t xml:space="preserve">1 </w:t>
      </w:r>
      <w:r w:rsidRPr="0036454D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Department of Pharmaceutical Analytical Chemistry, Faculty of Pharmacy, Tanta University, Tanta 31111, Egypt</w:t>
      </w:r>
    </w:p>
    <w:p w14:paraId="5F819C64" w14:textId="77777777" w:rsidR="00384904" w:rsidRPr="00FC0A36" w:rsidRDefault="00384904" w:rsidP="00384904">
      <w:pPr>
        <w:suppressLineNumbers/>
        <w:spacing w:after="0" w:line="360" w:lineRule="auto"/>
        <w:jc w:val="center"/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</w:pPr>
      <w:hyperlink r:id="rId6" w:tgtFrame="_blank" w:history="1">
        <w:r w:rsidRPr="008D295C">
          <w:rPr>
            <w:rStyle w:val="Hyperlink"/>
            <w:rFonts w:ascii="Times New Roman" w:eastAsia="Calibri" w:hAnsi="Times New Roman" w:cs="Times New Roman"/>
            <w:bCs/>
            <w:i/>
            <w:iCs/>
            <w:sz w:val="36"/>
            <w:szCs w:val="36"/>
          </w:rPr>
          <w:br/>
        </w:r>
      </w:hyperlink>
      <w:r w:rsidRPr="00FC0A36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vertAlign w:val="superscript"/>
        </w:rPr>
        <w:t>2</w:t>
      </w:r>
      <w:r w:rsidRPr="008D295C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 w:rsidRPr="00A06E6F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Department of Analytical Chemistry</w:t>
      </w:r>
      <w:r w:rsidRPr="008D295C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, Faculty of Chemistry,</w:t>
      </w:r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 w:rsidRPr="00A06E6F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Jagiellonian University in Kraków</w:t>
      </w:r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,</w:t>
      </w:r>
      <w:r w:rsidRPr="008D295C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8D295C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Gronostajowa</w:t>
      </w:r>
      <w:proofErr w:type="spellEnd"/>
      <w:r w:rsidRPr="008D295C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 St. 2, 30-387 Kraków, Poland</w:t>
      </w:r>
    </w:p>
    <w:p w14:paraId="0B1AA7BF" w14:textId="7CBA1CEC" w:rsidR="00731B84" w:rsidRDefault="00384904" w:rsidP="0038490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84904">
        <w:rPr>
          <w:rFonts w:asciiTheme="majorBidi" w:hAnsiTheme="majorBidi" w:cstheme="majorBidi"/>
          <w:b/>
          <w:bCs/>
          <w:sz w:val="24"/>
          <w:szCs w:val="24"/>
        </w:rPr>
        <w:t>Supplementary materials</w:t>
      </w:r>
    </w:p>
    <w:p w14:paraId="57ECFD4F" w14:textId="77777777" w:rsidR="007759C1" w:rsidRDefault="007759C1">
      <w:pPr>
        <w:spacing w:line="278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4B35CCB3" w14:textId="2EFDC0A2" w:rsidR="007759C1" w:rsidRPr="007759C1" w:rsidRDefault="007759C1" w:rsidP="007759C1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7759C1">
        <w:rPr>
          <w:rFonts w:asciiTheme="majorBidi" w:hAnsiTheme="majorBidi" w:cstheme="majorBidi"/>
          <w:sz w:val="24"/>
          <w:szCs w:val="24"/>
        </w:rPr>
        <w:lastRenderedPageBreak/>
        <w:t xml:space="preserve">The work of Challenger et al. </w:t>
      </w:r>
      <w:r>
        <w:rPr>
          <w:rFonts w:asciiTheme="majorBidi" w:hAnsiTheme="majorBidi" w:cstheme="majorBidi"/>
          <w:sz w:val="24"/>
          <w:szCs w:val="24"/>
        </w:rPr>
        <w:fldChar w:fldCharType="begin" w:fldLock="1"/>
      </w:r>
      <w:r>
        <w:rPr>
          <w:rFonts w:asciiTheme="majorBidi" w:hAnsiTheme="majorBidi" w:cstheme="majorBidi"/>
          <w:sz w:val="24"/>
          <w:szCs w:val="24"/>
        </w:rPr>
        <w:instrText>ADDIN CSL_CITATION {"citationItems":[{"id":"ITEM-1","itemData":{"DOI":"10.1016/j.jpba.2023.115436","ISSN":"07317085","author":[{"dropping-particle":"","family":"Challenger","given":"Elizabeth","non-dropping-particle":"","parse-names":false,"suffix":""},{"dropping-particle":"","family":"Penchala","given":"Sujan Dilly","non-dropping-particle":"","parse-names":false,"suffix":""},{"dropping-particle":"","family":"Hale","given":"Colin","non-dropping-particle":"","parse-names":false,"suffix":""},{"dropping-particle":"","family":"Fitzgerald","given":"Richard","non-dropping-particle":"","parse-names":false,"suffix":""},{"dropping-particle":"","family":"Walker","given":"Lauren","non-dropping-particle":"","parse-names":false,"suffix":""},{"dropping-particle":"","family":"Reynolds","given":"Helen","non-dropping-particle":"","parse-names":false,"suffix":""},{"dropping-particle":"","family":"Chiong","given":"Justin","non-dropping-particle":"","parse-names":false,"suffix":""},{"dropping-particle":"","family":"Fletcher","given":"Tom","non-dropping-particle":"","parse-names":false,"suffix":""},{"dropping-particle":"","family":"Khoo","given":"Saye","non-dropping-particle":"","parse-names":false,"suffix":""},{"dropping-particle":"","family":"Else","given":"Laura","non-dropping-particle":"","parse-names":false,"suffix":""}],"container-title":"Journal of Pharmaceutical and Biomedical Analysis","id":"ITEM-1","issued":{"date-parts":[["2023","9"]]},"page":"115436","title":"Development and validation of an LC-MS/MS method for quantification of favipiravir in human plasma","type":"article-journal","volume":"233"},"uris":["http://www.mendeley.com/documents/?uuid=d5dba75f-a151-434f-9dab-ec8189aa0d7e"]}],"mendeley":{"formattedCitation":"[1]","plainTextFormattedCitation":"[1]","previouslyFormattedCitation":"[1]"},"properties":{"noteIndex":0},"schema":"https://github.com/citation-style-language/schema/raw/master/csl-citation.json"}</w:instrText>
      </w:r>
      <w:r>
        <w:rPr>
          <w:rFonts w:asciiTheme="majorBidi" w:hAnsiTheme="majorBidi" w:cstheme="majorBidi"/>
          <w:sz w:val="24"/>
          <w:szCs w:val="24"/>
        </w:rPr>
        <w:fldChar w:fldCharType="separate"/>
      </w:r>
      <w:r w:rsidRPr="007759C1">
        <w:rPr>
          <w:rFonts w:asciiTheme="majorBidi" w:hAnsiTheme="majorBidi" w:cstheme="majorBidi"/>
          <w:noProof/>
          <w:sz w:val="24"/>
          <w:szCs w:val="24"/>
        </w:rPr>
        <w:t>[1]</w:t>
      </w:r>
      <w:r>
        <w:rPr>
          <w:rFonts w:asciiTheme="majorBidi" w:hAnsiTheme="majorBidi" w:cstheme="majorBidi"/>
          <w:sz w:val="24"/>
          <w:szCs w:val="24"/>
        </w:rPr>
        <w:fldChar w:fldCharType="end"/>
      </w:r>
      <w:r w:rsidRPr="007759C1">
        <w:rPr>
          <w:rFonts w:asciiTheme="majorBidi" w:hAnsiTheme="majorBidi" w:cstheme="majorBidi"/>
          <w:sz w:val="24"/>
          <w:szCs w:val="24"/>
        </w:rPr>
        <w:t xml:space="preserve"> on the determination of favipiravir was evaluated using the </w:t>
      </w:r>
      <w:proofErr w:type="spellStart"/>
      <w:r w:rsidRPr="007759C1">
        <w:rPr>
          <w:rFonts w:asciiTheme="majorBidi" w:hAnsiTheme="majorBidi" w:cstheme="majorBidi"/>
          <w:sz w:val="24"/>
          <w:szCs w:val="24"/>
        </w:rPr>
        <w:t>CaFRI</w:t>
      </w:r>
      <w:proofErr w:type="spellEnd"/>
      <w:r w:rsidRPr="007759C1">
        <w:rPr>
          <w:rFonts w:asciiTheme="majorBidi" w:hAnsiTheme="majorBidi" w:cstheme="majorBidi"/>
          <w:sz w:val="24"/>
          <w:szCs w:val="24"/>
        </w:rPr>
        <w:t xml:space="preserve"> framework, demonstrating moderate environmental considerations alongside key sustainability gaps. The method involved high energy consumption (&gt;1.5 kW) and likely relied on energy-intensive equipment such as fume hoods and air conditioning, with no available data on carbon footprint measurement or emission factors. Samples required storage at -80 °C and short-distance transport (&lt;10 miles) within Liverpool. Waste generation was minimal (&lt;10 mL per sample); however, no recycling of reagents or solvents was reported. The method was semiautomated, required 2–3 personnel, and involved moderate use of hazardous solvents, indicating opportunities for greener optimization.</w:t>
      </w:r>
    </w:p>
    <w:p w14:paraId="1BA7D2F9" w14:textId="5B172DA4" w:rsidR="007759C1" w:rsidRPr="00C57E4E" w:rsidRDefault="007759C1" w:rsidP="007759C1">
      <w:pPr>
        <w:widowControl w:val="0"/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fldChar w:fldCharType="begin" w:fldLock="1"/>
      </w:r>
      <w:r>
        <w:rPr>
          <w:rFonts w:asciiTheme="majorBidi" w:hAnsiTheme="majorBidi" w:cstheme="majorBidi"/>
          <w:sz w:val="24"/>
          <w:szCs w:val="24"/>
        </w:rPr>
        <w:instrText xml:space="preserve">ADDIN Mendeley Bibliography CSL_BIBLIOGRAPHY </w:instrText>
      </w:r>
      <w:r>
        <w:rPr>
          <w:rFonts w:asciiTheme="majorBidi" w:hAnsiTheme="majorBidi" w:cstheme="majorBidi"/>
          <w:sz w:val="24"/>
          <w:szCs w:val="24"/>
        </w:rPr>
        <w:fldChar w:fldCharType="separate"/>
      </w:r>
      <w:r>
        <w:rPr>
          <w:rFonts w:asciiTheme="majorBidi" w:hAnsiTheme="majorBidi" w:cstheme="majorBidi"/>
          <w:sz w:val="24"/>
          <w:szCs w:val="24"/>
        </w:rPr>
        <w:fldChar w:fldCharType="end"/>
      </w:r>
      <w:r w:rsidRPr="00384904">
        <w:rPr>
          <w:noProof/>
        </w:rPr>
        <w:drawing>
          <wp:inline distT="0" distB="0" distL="0" distR="0" wp14:anchorId="73C77DD8" wp14:editId="18B9991A">
            <wp:extent cx="2406650" cy="4658030"/>
            <wp:effectExtent l="0" t="0" r="0" b="9525"/>
            <wp:docPr id="511557053" name="Picture 1" descr="A close-up of a fo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063958" name="Picture 1" descr="A close-up of a foo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17728" cy="467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0ED4E" w14:textId="5EE3723A" w:rsidR="00730A09" w:rsidRDefault="007759C1" w:rsidP="007759C1">
      <w:pPr>
        <w:rPr>
          <w:rFonts w:asciiTheme="majorBidi" w:hAnsiTheme="majorBidi" w:cstheme="majorBidi"/>
          <w:sz w:val="24"/>
          <w:szCs w:val="24"/>
        </w:rPr>
      </w:pPr>
      <w:r w:rsidRPr="007759C1">
        <w:rPr>
          <w:rFonts w:asciiTheme="majorBidi" w:hAnsiTheme="majorBidi" w:cstheme="majorBidi"/>
          <w:b/>
          <w:bCs/>
          <w:sz w:val="24"/>
          <w:szCs w:val="24"/>
        </w:rPr>
        <w:t>Figure S1</w:t>
      </w:r>
      <w:r w:rsidRPr="007759C1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CaFRI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assessment of the determination of favipiravir in human plasma by LC-MS/MS.</w:t>
      </w:r>
      <w:r w:rsidRPr="007759C1">
        <w:rPr>
          <w:rFonts w:asciiTheme="majorBidi" w:hAnsiTheme="majorBidi" w:cstheme="majorBidi"/>
          <w:sz w:val="24"/>
          <w:szCs w:val="24"/>
        </w:rPr>
        <w:t xml:space="preserve"> </w:t>
      </w:r>
    </w:p>
    <w:p w14:paraId="56A202D8" w14:textId="77777777" w:rsidR="00730A09" w:rsidRDefault="00730A09">
      <w:pPr>
        <w:spacing w:line="278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0FF9028C" w14:textId="41059709" w:rsidR="007759C1" w:rsidRDefault="00730A09" w:rsidP="007759C1">
      <w:pPr>
        <w:rPr>
          <w:rFonts w:asciiTheme="majorBidi" w:hAnsiTheme="majorBidi" w:cstheme="majorBidi"/>
          <w:sz w:val="24"/>
          <w:szCs w:val="24"/>
        </w:rPr>
      </w:pPr>
      <w:r w:rsidRPr="00730A09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S1:</w:t>
      </w:r>
      <w:r>
        <w:rPr>
          <w:rFonts w:asciiTheme="majorBidi" w:hAnsiTheme="majorBidi" w:cstheme="majorBidi"/>
          <w:sz w:val="24"/>
          <w:szCs w:val="24"/>
        </w:rPr>
        <w:t xml:space="preserve"> Comparison between </w:t>
      </w:r>
      <w:proofErr w:type="spellStart"/>
      <w:r>
        <w:rPr>
          <w:rFonts w:asciiTheme="majorBidi" w:hAnsiTheme="majorBidi" w:cstheme="majorBidi"/>
          <w:sz w:val="24"/>
          <w:szCs w:val="24"/>
        </w:rPr>
        <w:t>CaFRI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</w:t>
      </w:r>
      <w:r w:rsidRPr="00730A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30A09">
        <w:rPr>
          <w:rFonts w:asciiTheme="majorBidi" w:hAnsiTheme="majorBidi" w:cstheme="majorBidi"/>
          <w:sz w:val="24"/>
          <w:szCs w:val="24"/>
        </w:rPr>
        <w:t>Labos</w:t>
      </w:r>
      <w:proofErr w:type="spellEnd"/>
      <w:r w:rsidRPr="00730A09">
        <w:rPr>
          <w:rFonts w:asciiTheme="majorBidi" w:hAnsiTheme="majorBidi" w:cstheme="majorBidi"/>
          <w:sz w:val="24"/>
          <w:szCs w:val="24"/>
        </w:rPr>
        <w:t xml:space="preserve"> </w:t>
      </w:r>
      <w:r w:rsidRPr="00730A09">
        <w:rPr>
          <w:rFonts w:asciiTheme="majorBidi" w:hAnsiTheme="majorBidi" w:cstheme="majorBidi"/>
          <w:sz w:val="24"/>
          <w:szCs w:val="24"/>
        </w:rPr>
        <w:t>1point5</w:t>
      </w:r>
      <w:r w:rsidRPr="00730A09">
        <w:rPr>
          <w:rFonts w:asciiTheme="majorBidi" w:hAnsiTheme="majorBidi" w:cstheme="majorBidi"/>
          <w:sz w:val="24"/>
          <w:szCs w:val="24"/>
        </w:rPr>
        <w:t>.</w:t>
      </w:r>
    </w:p>
    <w:tbl>
      <w:tblPr>
        <w:tblW w:w="0" w:type="auto"/>
        <w:tblCellSpacing w:w="15" w:type="dxa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1"/>
        <w:gridCol w:w="4275"/>
        <w:gridCol w:w="3574"/>
      </w:tblGrid>
      <w:tr w:rsidR="00730A09" w:rsidRPr="00730A09" w14:paraId="2AE15E55" w14:textId="77777777" w:rsidTr="00730A09">
        <w:trPr>
          <w:tblHeader/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vAlign w:val="center"/>
            <w:hideMark/>
          </w:tcPr>
          <w:p w14:paraId="068DDF73" w14:textId="77777777" w:rsidR="00730A09" w:rsidRPr="00730A09" w:rsidRDefault="00730A09" w:rsidP="00730A0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30A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Feature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vAlign w:val="center"/>
            <w:hideMark/>
          </w:tcPr>
          <w:p w14:paraId="0BC1F148" w14:textId="77777777" w:rsidR="00730A09" w:rsidRPr="00730A09" w:rsidRDefault="00730A09" w:rsidP="00730A0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730A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CaFRI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vAlign w:val="center"/>
            <w:hideMark/>
          </w:tcPr>
          <w:p w14:paraId="2A521AF8" w14:textId="77777777" w:rsidR="00730A09" w:rsidRPr="00730A09" w:rsidRDefault="00730A09" w:rsidP="00730A0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730A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Labos</w:t>
            </w:r>
            <w:proofErr w:type="spellEnd"/>
            <w:r w:rsidRPr="00730A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1point5</w:t>
            </w:r>
          </w:p>
        </w:tc>
      </w:tr>
      <w:tr w:rsidR="00730A09" w:rsidRPr="00730A09" w14:paraId="4E4FBEA9" w14:textId="77777777" w:rsidTr="00730A0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2ECAC3C" w14:textId="77777777" w:rsidR="00730A09" w:rsidRPr="00730A09" w:rsidRDefault="00730A09" w:rsidP="0073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bookmarkStart w:id="0" w:name="_Hlk195254876"/>
            <w:r w:rsidRPr="00730A09">
              <w:rPr>
                <w:rFonts w:asciiTheme="majorBidi" w:hAnsiTheme="majorBidi" w:cstheme="majorBidi"/>
                <w:sz w:val="24"/>
                <w:szCs w:val="24"/>
              </w:rPr>
              <w:t>Scope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C984CF7" w14:textId="77777777" w:rsidR="00730A09" w:rsidRPr="00730A09" w:rsidRDefault="00730A09" w:rsidP="0073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30A09">
              <w:rPr>
                <w:rFonts w:asciiTheme="majorBidi" w:hAnsiTheme="majorBidi" w:cstheme="majorBidi"/>
                <w:sz w:val="24"/>
                <w:szCs w:val="24"/>
              </w:rPr>
              <w:t>Individual analytical method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9CD9166" w14:textId="77777777" w:rsidR="00730A09" w:rsidRPr="00730A09" w:rsidRDefault="00730A09" w:rsidP="0073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30A09">
              <w:rPr>
                <w:rFonts w:asciiTheme="majorBidi" w:hAnsiTheme="majorBidi" w:cstheme="majorBidi"/>
                <w:sz w:val="24"/>
                <w:szCs w:val="24"/>
              </w:rPr>
              <w:t>Entire lab or institution</w:t>
            </w:r>
          </w:p>
        </w:tc>
      </w:tr>
      <w:tr w:rsidR="00730A09" w:rsidRPr="00730A09" w14:paraId="1EC0ACCA" w14:textId="77777777" w:rsidTr="00730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52339B" w14:textId="77777777" w:rsidR="00730A09" w:rsidRPr="00730A09" w:rsidRDefault="00730A09" w:rsidP="0073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30A09">
              <w:rPr>
                <w:rFonts w:asciiTheme="majorBidi" w:hAnsiTheme="majorBidi" w:cstheme="majorBidi"/>
                <w:sz w:val="24"/>
                <w:szCs w:val="24"/>
              </w:rPr>
              <w:t>Functional unit</w:t>
            </w:r>
          </w:p>
        </w:tc>
        <w:tc>
          <w:tcPr>
            <w:tcW w:w="0" w:type="auto"/>
            <w:vAlign w:val="center"/>
            <w:hideMark/>
          </w:tcPr>
          <w:p w14:paraId="4092B5D3" w14:textId="77777777" w:rsidR="00730A09" w:rsidRPr="00730A09" w:rsidRDefault="00730A09" w:rsidP="0073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30A09">
              <w:rPr>
                <w:rFonts w:asciiTheme="majorBidi" w:hAnsiTheme="majorBidi" w:cstheme="majorBidi"/>
                <w:sz w:val="24"/>
                <w:szCs w:val="24"/>
              </w:rPr>
              <w:t>One analysis of a specific analyte in matrix</w:t>
            </w:r>
          </w:p>
        </w:tc>
        <w:tc>
          <w:tcPr>
            <w:tcW w:w="0" w:type="auto"/>
            <w:vAlign w:val="center"/>
            <w:hideMark/>
          </w:tcPr>
          <w:p w14:paraId="5756246F" w14:textId="77777777" w:rsidR="00730A09" w:rsidRPr="00730A09" w:rsidRDefault="00730A09" w:rsidP="0073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30A09">
              <w:rPr>
                <w:rFonts w:asciiTheme="majorBidi" w:hAnsiTheme="majorBidi" w:cstheme="majorBidi"/>
                <w:sz w:val="24"/>
                <w:szCs w:val="24"/>
              </w:rPr>
              <w:t xml:space="preserve">Yearly operation of </w:t>
            </w:r>
            <w:proofErr w:type="spellStart"/>
            <w:r w:rsidRPr="00730A09">
              <w:rPr>
                <w:rFonts w:asciiTheme="majorBidi" w:hAnsiTheme="majorBidi" w:cstheme="majorBidi"/>
                <w:sz w:val="24"/>
                <w:szCs w:val="24"/>
              </w:rPr>
              <w:t>lab or</w:t>
            </w:r>
            <w:proofErr w:type="spellEnd"/>
            <w:r w:rsidRPr="00730A09">
              <w:rPr>
                <w:rFonts w:asciiTheme="majorBidi" w:hAnsiTheme="majorBidi" w:cstheme="majorBidi"/>
                <w:sz w:val="24"/>
                <w:szCs w:val="24"/>
              </w:rPr>
              <w:t xml:space="preserve"> department</w:t>
            </w:r>
          </w:p>
        </w:tc>
      </w:tr>
      <w:tr w:rsidR="00730A09" w:rsidRPr="00730A09" w14:paraId="23CC45F2" w14:textId="77777777" w:rsidTr="00730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17B87" w14:textId="77777777" w:rsidR="00730A09" w:rsidRPr="00730A09" w:rsidRDefault="00730A09" w:rsidP="0073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30A09">
              <w:rPr>
                <w:rFonts w:asciiTheme="majorBidi" w:hAnsiTheme="majorBidi" w:cstheme="majorBidi"/>
                <w:sz w:val="24"/>
                <w:szCs w:val="24"/>
              </w:rPr>
              <w:t>Output</w:t>
            </w:r>
          </w:p>
        </w:tc>
        <w:tc>
          <w:tcPr>
            <w:tcW w:w="0" w:type="auto"/>
            <w:vAlign w:val="center"/>
            <w:hideMark/>
          </w:tcPr>
          <w:p w14:paraId="13DCC216" w14:textId="77777777" w:rsidR="00730A09" w:rsidRPr="00730A09" w:rsidRDefault="00730A09" w:rsidP="0073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30A09">
              <w:rPr>
                <w:rFonts w:asciiTheme="majorBidi" w:hAnsiTheme="majorBidi" w:cstheme="majorBidi"/>
                <w:sz w:val="24"/>
                <w:szCs w:val="24"/>
              </w:rPr>
              <w:t>Qualitative score (precautionary effort)</w:t>
            </w:r>
          </w:p>
        </w:tc>
        <w:tc>
          <w:tcPr>
            <w:tcW w:w="0" w:type="auto"/>
            <w:vAlign w:val="center"/>
            <w:hideMark/>
          </w:tcPr>
          <w:p w14:paraId="170E89E1" w14:textId="77777777" w:rsidR="00730A09" w:rsidRPr="00730A09" w:rsidRDefault="00730A09" w:rsidP="0073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30A09">
              <w:rPr>
                <w:rFonts w:asciiTheme="majorBidi" w:hAnsiTheme="majorBidi" w:cstheme="majorBidi"/>
                <w:sz w:val="24"/>
                <w:szCs w:val="24"/>
              </w:rPr>
              <w:t xml:space="preserve">Quantitative </w:t>
            </w:r>
            <w:proofErr w:type="spellStart"/>
            <w:r w:rsidRPr="00730A09">
              <w:rPr>
                <w:rFonts w:asciiTheme="majorBidi" w:hAnsiTheme="majorBidi" w:cstheme="majorBidi"/>
                <w:sz w:val="24"/>
                <w:szCs w:val="24"/>
              </w:rPr>
              <w:t>CO₂e</w:t>
            </w:r>
            <w:proofErr w:type="spellEnd"/>
            <w:r w:rsidRPr="00730A09">
              <w:rPr>
                <w:rFonts w:asciiTheme="majorBidi" w:hAnsiTheme="majorBidi" w:cstheme="majorBidi"/>
                <w:sz w:val="24"/>
                <w:szCs w:val="24"/>
              </w:rPr>
              <w:t xml:space="preserve"> emissions</w:t>
            </w:r>
          </w:p>
        </w:tc>
      </w:tr>
      <w:tr w:rsidR="00730A09" w:rsidRPr="00730A09" w14:paraId="4E04A57B" w14:textId="77777777" w:rsidTr="00730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A41A25" w14:textId="77777777" w:rsidR="00730A09" w:rsidRPr="00730A09" w:rsidRDefault="00730A09" w:rsidP="0073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30A09">
              <w:rPr>
                <w:rFonts w:asciiTheme="majorBidi" w:hAnsiTheme="majorBidi" w:cstheme="majorBidi"/>
                <w:sz w:val="24"/>
                <w:szCs w:val="24"/>
              </w:rPr>
              <w:t>Use case</w:t>
            </w:r>
          </w:p>
        </w:tc>
        <w:tc>
          <w:tcPr>
            <w:tcW w:w="0" w:type="auto"/>
            <w:vAlign w:val="center"/>
            <w:hideMark/>
          </w:tcPr>
          <w:p w14:paraId="288BF75A" w14:textId="77777777" w:rsidR="00730A09" w:rsidRPr="00730A09" w:rsidRDefault="00730A09" w:rsidP="0073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30A09">
              <w:rPr>
                <w:rFonts w:asciiTheme="majorBidi" w:hAnsiTheme="majorBidi" w:cstheme="majorBidi"/>
                <w:sz w:val="24"/>
                <w:szCs w:val="24"/>
              </w:rPr>
              <w:t>Awareness and guidance for greener methods</w:t>
            </w:r>
          </w:p>
        </w:tc>
        <w:tc>
          <w:tcPr>
            <w:tcW w:w="0" w:type="auto"/>
            <w:vAlign w:val="center"/>
            <w:hideMark/>
          </w:tcPr>
          <w:p w14:paraId="1C9CFF8E" w14:textId="77777777" w:rsidR="00730A09" w:rsidRPr="00730A09" w:rsidRDefault="00730A09" w:rsidP="0073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30A09">
              <w:rPr>
                <w:rFonts w:asciiTheme="majorBidi" w:hAnsiTheme="majorBidi" w:cstheme="majorBidi"/>
                <w:sz w:val="24"/>
                <w:szCs w:val="24"/>
              </w:rPr>
              <w:t>Carbon reporting and management</w:t>
            </w:r>
          </w:p>
        </w:tc>
      </w:tr>
      <w:bookmarkEnd w:id="0"/>
    </w:tbl>
    <w:p w14:paraId="4C3458D2" w14:textId="77777777" w:rsidR="00730A09" w:rsidRDefault="00730A09" w:rsidP="007759C1">
      <w:pPr>
        <w:rPr>
          <w:rFonts w:asciiTheme="majorBidi" w:hAnsiTheme="majorBidi" w:cstheme="majorBidi"/>
          <w:sz w:val="24"/>
          <w:szCs w:val="24"/>
        </w:rPr>
      </w:pPr>
    </w:p>
    <w:p w14:paraId="081CDF27" w14:textId="77777777" w:rsidR="004073B0" w:rsidRDefault="004073B0" w:rsidP="007759C1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6B2ECC8" w14:textId="69E8193B" w:rsidR="007759C1" w:rsidRPr="00730A09" w:rsidRDefault="007759C1" w:rsidP="007759C1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30A09">
        <w:rPr>
          <w:rFonts w:asciiTheme="majorBidi" w:hAnsiTheme="majorBidi" w:cstheme="majorBidi"/>
          <w:b/>
          <w:bCs/>
          <w:sz w:val="24"/>
          <w:szCs w:val="24"/>
        </w:rPr>
        <w:t>References</w:t>
      </w:r>
    </w:p>
    <w:p w14:paraId="3B3D5DCF" w14:textId="596F2CAE" w:rsidR="007759C1" w:rsidRPr="007759C1" w:rsidRDefault="007759C1" w:rsidP="007759C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noProof/>
          <w:sz w:val="24"/>
        </w:rPr>
      </w:pPr>
      <w:r w:rsidRPr="007759C1">
        <w:rPr>
          <w:rFonts w:ascii="Times New Roman" w:hAnsi="Times New Roman" w:cs="Times New Roman"/>
          <w:noProof/>
          <w:sz w:val="24"/>
        </w:rPr>
        <w:t>1. Challenger E, Penchala SD, Hale C, Fitzgerald R, Walker L, Reynolds H, et al. Development and validation of an LC-MS/MS method for quantification of favipiravir in human plasma. J Pharm Biomed Anal. 2023;233:115436.</w:t>
      </w:r>
    </w:p>
    <w:sectPr w:rsidR="007759C1" w:rsidRPr="007759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904"/>
    <w:rsid w:val="001E472D"/>
    <w:rsid w:val="002F4E20"/>
    <w:rsid w:val="00384904"/>
    <w:rsid w:val="004073B0"/>
    <w:rsid w:val="006946F3"/>
    <w:rsid w:val="00730A09"/>
    <w:rsid w:val="00731B84"/>
    <w:rsid w:val="007759C1"/>
    <w:rsid w:val="00914539"/>
    <w:rsid w:val="00962F64"/>
    <w:rsid w:val="00B043CD"/>
    <w:rsid w:val="00C57E4E"/>
    <w:rsid w:val="00C6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A231B"/>
  <w15:chartTrackingRefBased/>
  <w15:docId w15:val="{1C91D92C-3345-429B-B1FF-BE53B7677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90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49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49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90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90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90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90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90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90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90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4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4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9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9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9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9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9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9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4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84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90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84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490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849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490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849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9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9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49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8490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84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75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4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0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48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810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scopus.com/authid/detail.uri?authorId=56981758200" TargetMode="External"/><Relationship Id="rId5" Type="http://schemas.openxmlformats.org/officeDocument/2006/relationships/hyperlink" Target="https://www.scopus.com/authid/detail.uri?authorId=569817582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5ABC6-63A3-4BDF-A6AE-DFAAD8728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Fotouh Rashed</dc:creator>
  <cp:keywords/>
  <dc:description/>
  <cp:lastModifiedBy>Fotouh Rashed</cp:lastModifiedBy>
  <cp:revision>2</cp:revision>
  <dcterms:created xsi:type="dcterms:W3CDTF">2025-04-11T07:27:00Z</dcterms:created>
  <dcterms:modified xsi:type="dcterms:W3CDTF">2025-04-11T07:27:00Z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http://www.zotero.org/styles/bmc-cancer</vt:lpwstr>
  </property>
  <property fmtid="{D5CDD505-2E9C-101B-9397-08002B2CF9AE}" pid="5" name="Mendeley Recent Style Name 1_1">
    <vt:lpwstr>BMC Cancer</vt:lpwstr>
  </property>
  <property fmtid="{D5CDD505-2E9C-101B-9397-08002B2CF9AE}" pid="6" name="Mendeley Recent Style Id 2_1">
    <vt:lpwstr>http://www.zotero.org/styles/comprehensive-reviews-in-food-science-and-food-safety</vt:lpwstr>
  </property>
  <property fmtid="{D5CDD505-2E9C-101B-9397-08002B2CF9AE}" pid="7" name="Mendeley Recent Style Name 2_1">
    <vt:lpwstr>Comprehensive Reviews in Food Science and Food Safety</vt:lpwstr>
  </property>
  <property fmtid="{D5CDD505-2E9C-101B-9397-08002B2CF9AE}" pid="8" name="Mendeley Recent Style Id 3_1">
    <vt:lpwstr>http://www.zotero.org/styles/journal-of-pharmaceutical-and-biomedical-analysis</vt:lpwstr>
  </property>
  <property fmtid="{D5CDD505-2E9C-101B-9397-08002B2CF9AE}" pid="9" name="Mendeley Recent Style Name 3_1">
    <vt:lpwstr>Journal of Pharmaceutical and Biomedical Analysis</vt:lpwstr>
  </property>
  <property fmtid="{D5CDD505-2E9C-101B-9397-08002B2CF9AE}" pid="10" name="Mendeley Recent Style Id 4_1">
    <vt:lpwstr>http://www.zotero.org/styles/microchemical-journal</vt:lpwstr>
  </property>
  <property fmtid="{D5CDD505-2E9C-101B-9397-08002B2CF9AE}" pid="11" name="Mendeley Recent Style Name 4_1">
    <vt:lpwstr>Microchemical Journal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4th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9th edition</vt:lpwstr>
  </property>
  <property fmtid="{D5CDD505-2E9C-101B-9397-08002B2CF9AE}" pid="16" name="Mendeley Recent Style Id 7_1">
    <vt:lpwstr>http://www.zotero.org/styles/scientific-reports</vt:lpwstr>
  </property>
  <property fmtid="{D5CDD505-2E9C-101B-9397-08002B2CF9AE}" pid="17" name="Mendeley Recent Style Name 7_1">
    <vt:lpwstr>Scientific Reports</vt:lpwstr>
  </property>
  <property fmtid="{D5CDD505-2E9C-101B-9397-08002B2CF9AE}" pid="18" name="Mendeley Recent Style Id 8_1">
    <vt:lpwstr>http://www.zotero.org/styles/spectrochimica-acta-part-a-molecular-and-biomolecular-spectroscopy</vt:lpwstr>
  </property>
  <property fmtid="{D5CDD505-2E9C-101B-9397-08002B2CF9AE}" pid="19" name="Mendeley Recent Style Name 8_1">
    <vt:lpwstr>Spectrochimica Acta Part A: Molecular and Biomolecular Spectroscopy</vt:lpwstr>
  </property>
  <property fmtid="{D5CDD505-2E9C-101B-9397-08002B2CF9AE}" pid="20" name="Mendeley Recent Style Id 9_1">
    <vt:lpwstr>http://www.zotero.org/styles/talanta</vt:lpwstr>
  </property>
  <property fmtid="{D5CDD505-2E9C-101B-9397-08002B2CF9AE}" pid="21" name="Mendeley Recent Style Name 9_1">
    <vt:lpwstr>Talanta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3b018cbe-f0d3-36a7-a305-994c160d0c16</vt:lpwstr>
  </property>
  <property fmtid="{D5CDD505-2E9C-101B-9397-08002B2CF9AE}" pid="24" name="Mendeley Citation Style_1">
    <vt:lpwstr>http://www.zotero.org/styles/bmc-cancer</vt:lpwstr>
  </property>
</Properties>
</file>