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E41910" w14:textId="0A127F35" w:rsidR="006E35B0" w:rsidRPr="00766354" w:rsidRDefault="0010516C" w:rsidP="00766354">
      <w:pPr>
        <w:spacing w:line="360" w:lineRule="auto"/>
        <w:rPr>
          <w:rFonts w:ascii="Arial" w:hAnsi="Arial"/>
          <w:b/>
          <w:bCs/>
          <w:sz w:val="28"/>
          <w:szCs w:val="28"/>
        </w:rPr>
      </w:pPr>
      <w:r>
        <w:rPr>
          <w:rFonts w:ascii="Arial" w:hAnsi="Arial"/>
          <w:b/>
          <w:bCs/>
          <w:sz w:val="28"/>
          <w:szCs w:val="28"/>
        </w:rPr>
        <w:t>Additional file 1</w:t>
      </w:r>
    </w:p>
    <w:p w14:paraId="37C763FB" w14:textId="77777777" w:rsidR="00766354" w:rsidRPr="00766354" w:rsidRDefault="00766354" w:rsidP="00766354">
      <w:pPr>
        <w:spacing w:line="360" w:lineRule="auto"/>
        <w:rPr>
          <w:rFonts w:ascii="Arial" w:hAnsi="Arial"/>
          <w:b/>
          <w:bCs/>
          <w:sz w:val="24"/>
          <w:szCs w:val="24"/>
        </w:rPr>
      </w:pPr>
      <w:r w:rsidRPr="00766354">
        <w:rPr>
          <w:rFonts w:ascii="Arial" w:hAnsi="Arial"/>
          <w:b/>
          <w:bCs/>
          <w:sz w:val="24"/>
          <w:szCs w:val="24"/>
        </w:rPr>
        <w:t xml:space="preserve">Computational Inference of the Structure and Regulation of the </w:t>
      </w:r>
    </w:p>
    <w:p w14:paraId="77535990" w14:textId="77777777" w:rsidR="00766354" w:rsidRPr="00766354" w:rsidRDefault="00766354" w:rsidP="00766354">
      <w:pPr>
        <w:spacing w:line="360" w:lineRule="auto"/>
        <w:rPr>
          <w:rFonts w:ascii="Arial" w:hAnsi="Arial"/>
          <w:b/>
          <w:bCs/>
          <w:sz w:val="24"/>
          <w:szCs w:val="24"/>
        </w:rPr>
      </w:pPr>
      <w:r w:rsidRPr="00766354">
        <w:rPr>
          <w:rFonts w:ascii="Arial" w:hAnsi="Arial"/>
          <w:b/>
          <w:bCs/>
          <w:sz w:val="24"/>
          <w:szCs w:val="24"/>
        </w:rPr>
        <w:t>Lignin Pathway in </w:t>
      </w:r>
      <w:proofErr w:type="spellStart"/>
      <w:r w:rsidRPr="00766354">
        <w:rPr>
          <w:rFonts w:ascii="Arial" w:hAnsi="Arial"/>
          <w:b/>
          <w:bCs/>
          <w:i/>
          <w:iCs/>
          <w:sz w:val="24"/>
          <w:szCs w:val="24"/>
        </w:rPr>
        <w:t>Panicum</w:t>
      </w:r>
      <w:proofErr w:type="spellEnd"/>
      <w:r w:rsidRPr="00766354">
        <w:rPr>
          <w:rFonts w:ascii="Arial" w:hAnsi="Arial"/>
          <w:b/>
          <w:bCs/>
          <w:i/>
          <w:iCs/>
          <w:sz w:val="24"/>
          <w:szCs w:val="24"/>
        </w:rPr>
        <w:t xml:space="preserve"> </w:t>
      </w:r>
      <w:proofErr w:type="spellStart"/>
      <w:r w:rsidRPr="00766354">
        <w:rPr>
          <w:rFonts w:ascii="Arial" w:hAnsi="Arial"/>
          <w:b/>
          <w:bCs/>
          <w:i/>
          <w:iCs/>
          <w:sz w:val="24"/>
          <w:szCs w:val="24"/>
        </w:rPr>
        <w:t>virgatum</w:t>
      </w:r>
      <w:proofErr w:type="spellEnd"/>
    </w:p>
    <w:p w14:paraId="4B566A3B" w14:textId="6776186B" w:rsidR="00766354" w:rsidRPr="003C43F3" w:rsidRDefault="00766354" w:rsidP="00766354">
      <w:pPr>
        <w:spacing w:line="360" w:lineRule="auto"/>
        <w:rPr>
          <w:rFonts w:ascii="Arial" w:hAnsi="Arial"/>
          <w:lang w:val="de-DE"/>
        </w:rPr>
      </w:pPr>
      <w:proofErr w:type="spellStart"/>
      <w:r w:rsidRPr="00370128">
        <w:rPr>
          <w:rFonts w:ascii="Arial" w:hAnsi="Arial"/>
        </w:rPr>
        <w:t>Mo</w:t>
      </w:r>
      <w:r>
        <w:rPr>
          <w:rFonts w:ascii="Arial" w:hAnsi="Arial"/>
        </w:rPr>
        <w:t>j</w:t>
      </w:r>
      <w:r w:rsidRPr="00370128">
        <w:rPr>
          <w:rFonts w:ascii="Arial" w:hAnsi="Arial"/>
        </w:rPr>
        <w:t>deh</w:t>
      </w:r>
      <w:proofErr w:type="spellEnd"/>
      <w:r w:rsidRPr="00370128">
        <w:rPr>
          <w:rFonts w:ascii="Arial" w:hAnsi="Arial"/>
        </w:rPr>
        <w:t xml:space="preserve"> </w:t>
      </w:r>
      <w:proofErr w:type="spellStart"/>
      <w:r w:rsidRPr="00370128">
        <w:rPr>
          <w:rFonts w:ascii="Arial" w:hAnsi="Arial"/>
        </w:rPr>
        <w:t>Faraji</w:t>
      </w:r>
      <w:proofErr w:type="spellEnd"/>
      <w:r w:rsidRPr="00370128">
        <w:rPr>
          <w:rFonts w:ascii="Arial" w:hAnsi="Arial"/>
        </w:rPr>
        <w:t xml:space="preserve">, Luis L. Fonseca, Luis </w:t>
      </w:r>
      <w:proofErr w:type="spellStart"/>
      <w:r w:rsidRPr="00370128">
        <w:rPr>
          <w:rFonts w:ascii="Arial" w:hAnsi="Arial"/>
        </w:rPr>
        <w:t>Escamilla-Treviño</w:t>
      </w:r>
      <w:proofErr w:type="spellEnd"/>
      <w:r w:rsidRPr="00370128">
        <w:rPr>
          <w:rFonts w:ascii="Arial" w:hAnsi="Arial"/>
        </w:rPr>
        <w:t xml:space="preserve">, </w:t>
      </w:r>
      <w:r w:rsidRPr="003C43F3">
        <w:rPr>
          <w:rFonts w:ascii="Arial" w:hAnsi="Arial"/>
          <w:lang w:val="de-DE"/>
        </w:rPr>
        <w:t>Richard A. Dixon, Eberhard O. Voit</w:t>
      </w:r>
    </w:p>
    <w:p w14:paraId="40E5D496" w14:textId="77777777" w:rsidR="00766354" w:rsidRDefault="00766354" w:rsidP="006E35B0">
      <w:pPr>
        <w:spacing w:line="360" w:lineRule="auto"/>
        <w:rPr>
          <w:rFonts w:ascii="Arial" w:hAnsi="Arial"/>
          <w:b/>
          <w:bCs/>
        </w:rPr>
      </w:pPr>
    </w:p>
    <w:p w14:paraId="74A23A6C" w14:textId="49600B08" w:rsidR="006E35B0" w:rsidRDefault="006E35B0" w:rsidP="006E35B0">
      <w:pPr>
        <w:spacing w:line="360" w:lineRule="auto"/>
        <w:rPr>
          <w:rFonts w:ascii="Arial" w:hAnsi="Arial"/>
          <w:b/>
          <w:bCs/>
        </w:rPr>
      </w:pPr>
      <w:proofErr w:type="gramStart"/>
      <w:r>
        <w:rPr>
          <w:rFonts w:ascii="Arial" w:hAnsi="Arial"/>
          <w:b/>
          <w:bCs/>
        </w:rPr>
        <w:t>Text S</w:t>
      </w:r>
      <w:r w:rsidR="0010516C">
        <w:rPr>
          <w:rFonts w:ascii="Arial" w:hAnsi="Arial"/>
          <w:b/>
          <w:bCs/>
        </w:rPr>
        <w:t>1</w:t>
      </w:r>
      <w:r>
        <w:rPr>
          <w:rFonts w:ascii="Arial" w:hAnsi="Arial"/>
          <w:b/>
          <w:bCs/>
        </w:rPr>
        <w:t>.</w:t>
      </w:r>
      <w:proofErr w:type="gramEnd"/>
      <w:r>
        <w:rPr>
          <w:rFonts w:ascii="Arial" w:hAnsi="Arial"/>
          <w:b/>
          <w:bCs/>
        </w:rPr>
        <w:t xml:space="preserve"> Analysis of the Lignin Pathway with Inclusion of </w:t>
      </w:r>
      <w:proofErr w:type="spellStart"/>
      <w:r>
        <w:rPr>
          <w:rFonts w:ascii="Arial" w:hAnsi="Arial"/>
          <w:b/>
          <w:bCs/>
        </w:rPr>
        <w:t>Caffeyl</w:t>
      </w:r>
      <w:proofErr w:type="spellEnd"/>
      <w:r>
        <w:rPr>
          <w:rFonts w:ascii="Arial" w:hAnsi="Arial"/>
          <w:b/>
          <w:bCs/>
        </w:rPr>
        <w:t xml:space="preserve"> Aldehyde.</w:t>
      </w:r>
    </w:p>
    <w:p w14:paraId="0EA8499B" w14:textId="77777777" w:rsidR="006E35B0" w:rsidRDefault="006E35B0" w:rsidP="006E35B0">
      <w:pPr>
        <w:spacing w:line="360" w:lineRule="auto"/>
        <w:rPr>
          <w:rFonts w:ascii="Arial" w:hAnsi="Arial"/>
        </w:rPr>
      </w:pPr>
      <w:r>
        <w:rPr>
          <w:rFonts w:ascii="Arial" w:hAnsi="Arial"/>
        </w:rPr>
        <w:t xml:space="preserve">The lignin pathway in switchgrass is still not entirely understood. In particular, some species synthesize </w:t>
      </w:r>
      <w:proofErr w:type="spellStart"/>
      <w:r>
        <w:rPr>
          <w:rFonts w:ascii="Arial" w:hAnsi="Arial"/>
        </w:rPr>
        <w:t>caffeyl</w:t>
      </w:r>
      <w:proofErr w:type="spellEnd"/>
      <w:r>
        <w:rPr>
          <w:rFonts w:ascii="Arial" w:hAnsi="Arial"/>
        </w:rPr>
        <w:t xml:space="preserve"> aldehyde, but this does not seem to be the case in switchgrass. The account for this intermediate metabolite complicates the structural analysis, which is discussed in the following, because many more topological pathway configurations are possible.</w:t>
      </w:r>
    </w:p>
    <w:p w14:paraId="691C8943" w14:textId="6D64AC80" w:rsidR="006E35B0" w:rsidRDefault="006E35B0" w:rsidP="009022B6">
      <w:pPr>
        <w:spacing w:line="360" w:lineRule="auto"/>
        <w:rPr>
          <w:rFonts w:ascii="Arial" w:hAnsi="Arial"/>
        </w:rPr>
      </w:pPr>
      <w:r>
        <w:rPr>
          <w:rFonts w:ascii="Arial" w:hAnsi="Arial"/>
        </w:rPr>
        <w:t xml:space="preserve">Recent enzyme kinetic experiments suggest that a reaction catalyzed by CCR1 with </w:t>
      </w:r>
      <w:proofErr w:type="spellStart"/>
      <w:r>
        <w:rPr>
          <w:rFonts w:ascii="Arial" w:hAnsi="Arial"/>
        </w:rPr>
        <w:t>caffeoyl</w:t>
      </w:r>
      <w:proofErr w:type="spellEnd"/>
      <w:r>
        <w:rPr>
          <w:rFonts w:ascii="Arial" w:hAnsi="Arial"/>
        </w:rPr>
        <w:t xml:space="preserve"> CoA as substrate is not likely to occur in switchgrass. The </w:t>
      </w:r>
      <w:proofErr w:type="spellStart"/>
      <w:r w:rsidRPr="0063540C">
        <w:rPr>
          <w:rFonts w:ascii="Arial" w:hAnsi="Arial"/>
          <w:i/>
        </w:rPr>
        <w:t>K</w:t>
      </w:r>
      <w:r w:rsidRPr="0063540C">
        <w:rPr>
          <w:rFonts w:ascii="Arial" w:hAnsi="Arial"/>
          <w:i/>
          <w:vertAlign w:val="subscript"/>
        </w:rPr>
        <w:t>cat</w:t>
      </w:r>
      <w:proofErr w:type="spellEnd"/>
      <w:r>
        <w:rPr>
          <w:rFonts w:ascii="Arial" w:hAnsi="Arial"/>
        </w:rPr>
        <w:t>/</w:t>
      </w:r>
      <w:r w:rsidRPr="0063540C">
        <w:rPr>
          <w:rFonts w:ascii="Arial" w:hAnsi="Arial"/>
          <w:i/>
        </w:rPr>
        <w:t>K</w:t>
      </w:r>
      <w:r w:rsidRPr="0063540C">
        <w:rPr>
          <w:rFonts w:ascii="Arial" w:hAnsi="Arial"/>
          <w:i/>
          <w:vertAlign w:val="subscript"/>
        </w:rPr>
        <w:t>M</w:t>
      </w:r>
      <w:r>
        <w:rPr>
          <w:rFonts w:ascii="Arial" w:hAnsi="Arial"/>
        </w:rPr>
        <w:t xml:space="preserve"> values are up to 10 times higher for </w:t>
      </w:r>
      <w:proofErr w:type="spellStart"/>
      <w:r>
        <w:rPr>
          <w:rFonts w:ascii="Arial" w:hAnsi="Arial"/>
        </w:rPr>
        <w:t>feruloyl</w:t>
      </w:r>
      <w:proofErr w:type="spellEnd"/>
      <w:r>
        <w:rPr>
          <w:rFonts w:ascii="Arial" w:hAnsi="Arial"/>
        </w:rPr>
        <w:t xml:space="preserve"> CoA compared to </w:t>
      </w:r>
      <w:proofErr w:type="spellStart"/>
      <w:r>
        <w:rPr>
          <w:rFonts w:ascii="Arial" w:hAnsi="Arial"/>
        </w:rPr>
        <w:t>caffeoyl</w:t>
      </w:r>
      <w:proofErr w:type="spellEnd"/>
      <w:r>
        <w:rPr>
          <w:rFonts w:ascii="Arial" w:hAnsi="Arial"/>
        </w:rPr>
        <w:t xml:space="preserve"> CoA</w:t>
      </w:r>
      <w:r w:rsidR="009022B6">
        <w:rPr>
          <w:rFonts w:ascii="Arial" w:hAnsi="Arial"/>
        </w:rPr>
        <w:t xml:space="preserve"> </w:t>
      </w:r>
      <w:r w:rsidR="009022B6">
        <w:rPr>
          <w:rFonts w:ascii="Arial" w:hAnsi="Arial"/>
        </w:rPr>
        <w:fldChar w:fldCharType="begin">
          <w:fldData xml:space="preserve">PEVuZE5vdGU+PENpdGU+PEF1dGhvcj5aaG91PC9BdXRob3I+PFllYXI+MjAxMDwvWWVhcj48UmVj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</w:fldData>
        </w:fldChar>
      </w:r>
      <w:r w:rsidR="009022B6">
        <w:rPr>
          <w:rFonts w:ascii="Arial" w:hAnsi="Arial"/>
        </w:rPr>
        <w:instrText xml:space="preserve"> ADDIN EN.CITE </w:instrText>
      </w:r>
      <w:r w:rsidR="009022B6">
        <w:rPr>
          <w:rFonts w:ascii="Arial" w:hAnsi="Arial"/>
        </w:rPr>
        <w:fldChar w:fldCharType="begin">
          <w:fldData xml:space="preserve">PEVuZE5vdGU+PENpdGU+PEF1dGhvcj5aaG91PC9BdXRob3I+PFllYXI+MjAxMDwvWWVhcj48UmVj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</w:fldData>
        </w:fldChar>
      </w:r>
      <w:r w:rsidR="009022B6">
        <w:rPr>
          <w:rFonts w:ascii="Arial" w:hAnsi="Arial"/>
        </w:rPr>
        <w:instrText xml:space="preserve"> ADDIN EN.CITE.DATA </w:instrText>
      </w:r>
      <w:r w:rsidR="009022B6">
        <w:rPr>
          <w:rFonts w:ascii="Arial" w:hAnsi="Arial"/>
        </w:rPr>
      </w:r>
      <w:r w:rsidR="009022B6">
        <w:rPr>
          <w:rFonts w:ascii="Arial" w:hAnsi="Arial"/>
        </w:rPr>
        <w:fldChar w:fldCharType="end"/>
      </w:r>
      <w:r w:rsidR="009022B6">
        <w:rPr>
          <w:rFonts w:ascii="Arial" w:hAnsi="Arial"/>
        </w:rPr>
      </w:r>
      <w:r w:rsidR="009022B6">
        <w:rPr>
          <w:rFonts w:ascii="Arial" w:hAnsi="Arial"/>
        </w:rPr>
        <w:fldChar w:fldCharType="separate"/>
      </w:r>
      <w:r w:rsidR="009022B6">
        <w:rPr>
          <w:rFonts w:ascii="Arial" w:hAnsi="Arial"/>
          <w:noProof/>
        </w:rPr>
        <w:t>[</w:t>
      </w:r>
      <w:hyperlink w:anchor="_ENREF_1" w:tooltip="Zhou, 2010 #51" w:history="1">
        <w:r w:rsidR="009022B6">
          <w:rPr>
            <w:rFonts w:ascii="Arial" w:hAnsi="Arial"/>
            <w:noProof/>
          </w:rPr>
          <w:t>1</w:t>
        </w:r>
      </w:hyperlink>
      <w:r w:rsidR="009022B6">
        <w:rPr>
          <w:rFonts w:ascii="Arial" w:hAnsi="Arial"/>
          <w:noProof/>
        </w:rPr>
        <w:t>]</w:t>
      </w:r>
      <w:r w:rsidR="009022B6">
        <w:rPr>
          <w:rFonts w:ascii="Arial" w:hAnsi="Arial"/>
        </w:rPr>
        <w:fldChar w:fldCharType="end"/>
      </w:r>
      <w:r>
        <w:rPr>
          <w:rFonts w:ascii="Arial" w:hAnsi="Arial"/>
        </w:rPr>
        <w:t xml:space="preserve">. </w:t>
      </w:r>
      <w:r w:rsidRPr="0032038C">
        <w:rPr>
          <w:rFonts w:ascii="Arial" w:hAnsi="Arial"/>
        </w:rPr>
        <w:t>However</w:t>
      </w:r>
      <w:r>
        <w:rPr>
          <w:rFonts w:ascii="Arial" w:hAnsi="Arial"/>
        </w:rPr>
        <w:t xml:space="preserve">, because the </w:t>
      </w:r>
      <w:r w:rsidRPr="00E953E2">
        <w:rPr>
          <w:rFonts w:ascii="Arial" w:hAnsi="Arial"/>
          <w:i/>
          <w:iCs/>
        </w:rPr>
        <w:t>in vivo</w:t>
      </w:r>
      <w:r>
        <w:rPr>
          <w:rFonts w:ascii="Arial" w:hAnsi="Arial"/>
        </w:rPr>
        <w:t xml:space="preserve"> concentration of </w:t>
      </w:r>
      <w:proofErr w:type="spellStart"/>
      <w:r>
        <w:rPr>
          <w:rFonts w:ascii="Arial" w:hAnsi="Arial"/>
        </w:rPr>
        <w:t>caffeoyl</w:t>
      </w:r>
      <w:proofErr w:type="spellEnd"/>
      <w:r>
        <w:rPr>
          <w:rFonts w:ascii="Arial" w:hAnsi="Arial"/>
        </w:rPr>
        <w:t xml:space="preserve"> CoA is unknown, the reaction could be plausible. The reason is that a higher steady-state concentration of </w:t>
      </w:r>
      <w:proofErr w:type="spellStart"/>
      <w:r>
        <w:rPr>
          <w:rFonts w:ascii="Arial" w:hAnsi="Arial"/>
        </w:rPr>
        <w:t>caffeoyl</w:t>
      </w:r>
      <w:proofErr w:type="spellEnd"/>
      <w:r>
        <w:rPr>
          <w:rFonts w:ascii="Arial" w:hAnsi="Arial"/>
        </w:rPr>
        <w:t xml:space="preserve"> CoA would compensate for the lower </w:t>
      </w:r>
      <w:proofErr w:type="spellStart"/>
      <w:r w:rsidRPr="00FC3B6E">
        <w:rPr>
          <w:rFonts w:ascii="Arial" w:hAnsi="Arial"/>
          <w:i/>
        </w:rPr>
        <w:t>K</w:t>
      </w:r>
      <w:r w:rsidRPr="00FC3B6E">
        <w:rPr>
          <w:rFonts w:ascii="Arial" w:hAnsi="Arial"/>
          <w:i/>
          <w:vertAlign w:val="subscript"/>
        </w:rPr>
        <w:t>cat</w:t>
      </w:r>
      <w:proofErr w:type="spellEnd"/>
      <w:r>
        <w:rPr>
          <w:rFonts w:ascii="Arial" w:hAnsi="Arial"/>
        </w:rPr>
        <w:t>/</w:t>
      </w:r>
      <w:r w:rsidRPr="00FC3B6E">
        <w:rPr>
          <w:rFonts w:ascii="Arial" w:hAnsi="Arial"/>
          <w:i/>
        </w:rPr>
        <w:t>K</w:t>
      </w:r>
      <w:r w:rsidRPr="00FC3B6E">
        <w:rPr>
          <w:rFonts w:ascii="Arial" w:hAnsi="Arial"/>
          <w:i/>
          <w:vertAlign w:val="subscript"/>
        </w:rPr>
        <w:t>M</w:t>
      </w:r>
      <w:r>
        <w:rPr>
          <w:rFonts w:ascii="Arial" w:hAnsi="Arial"/>
        </w:rPr>
        <w:t xml:space="preserve"> ratio, and a new metabolite, </w:t>
      </w:r>
      <w:proofErr w:type="spellStart"/>
      <w:r>
        <w:rPr>
          <w:rFonts w:ascii="Arial" w:hAnsi="Arial"/>
        </w:rPr>
        <w:t>caffeyl</w:t>
      </w:r>
      <w:proofErr w:type="spellEnd"/>
      <w:r>
        <w:rPr>
          <w:rFonts w:ascii="Arial" w:hAnsi="Arial"/>
        </w:rPr>
        <w:t xml:space="preserve"> aldehyde, would have to become a component of the pathway. </w:t>
      </w:r>
    </w:p>
    <w:p w14:paraId="475A991B" w14:textId="785527A3" w:rsidR="009022B6" w:rsidRPr="002A75EC" w:rsidRDefault="006E35B0" w:rsidP="0010516C">
      <w:pPr>
        <w:spacing w:line="360" w:lineRule="auto"/>
        <w:rPr>
          <w:rFonts w:ascii="Arial" w:hAnsi="Arial"/>
        </w:rPr>
      </w:pPr>
      <w:r>
        <w:rPr>
          <w:rFonts w:ascii="Arial" w:hAnsi="Arial"/>
        </w:rPr>
        <w:t>The most significant change in comparison with the results of the main text is that the</w:t>
      </w:r>
      <w:r w:rsidRPr="00726897">
        <w:rPr>
          <w:rFonts w:ascii="Arial" w:hAnsi="Arial"/>
        </w:rPr>
        <w:t xml:space="preserve"> </w:t>
      </w:r>
      <w:r>
        <w:rPr>
          <w:rFonts w:ascii="Arial" w:hAnsi="Arial"/>
        </w:rPr>
        <w:t xml:space="preserve">COMT/F5H complex could constitute a second functional channel. As a consequence, the number of candidates for topological configurations jumps to 19, and large-scale simulations confirm that 12 among these are compatible with experimental data. Between the 12, four configuration are significantly more abundant in parameter space. Interestingly, all four include at least one channel. Results for the pathway containing </w:t>
      </w:r>
      <w:proofErr w:type="spellStart"/>
      <w:r>
        <w:rPr>
          <w:rFonts w:ascii="Arial" w:hAnsi="Arial"/>
        </w:rPr>
        <w:t>caffeyl</w:t>
      </w:r>
      <w:proofErr w:type="spellEnd"/>
      <w:r>
        <w:rPr>
          <w:rFonts w:ascii="Arial" w:hAnsi="Arial"/>
        </w:rPr>
        <w:t xml:space="preserve"> aldehyde are shown in Figures S</w:t>
      </w:r>
      <w:r w:rsidR="0010516C">
        <w:rPr>
          <w:rFonts w:ascii="Arial" w:hAnsi="Arial"/>
        </w:rPr>
        <w:t>1</w:t>
      </w:r>
      <w:r>
        <w:rPr>
          <w:rFonts w:ascii="Arial" w:hAnsi="Arial"/>
        </w:rPr>
        <w:t>- S</w:t>
      </w:r>
      <w:r w:rsidR="003B1024">
        <w:rPr>
          <w:rFonts w:ascii="Arial" w:hAnsi="Arial"/>
        </w:rPr>
        <w:t>5</w:t>
      </w:r>
      <w:r>
        <w:rPr>
          <w:rFonts w:ascii="Arial" w:hAnsi="Arial"/>
        </w:rPr>
        <w:t xml:space="preserve">. They correspond to the main result figures in the text. In addition, all theoretically admissible pathway configurations that include </w:t>
      </w:r>
      <w:proofErr w:type="spellStart"/>
      <w:r>
        <w:rPr>
          <w:rFonts w:ascii="Arial" w:hAnsi="Arial"/>
        </w:rPr>
        <w:t>caffeyl</w:t>
      </w:r>
      <w:proofErr w:type="spellEnd"/>
      <w:r>
        <w:rPr>
          <w:rFonts w:ascii="Arial" w:hAnsi="Arial"/>
        </w:rPr>
        <w:t xml:space="preserve"> aldehyde can be mapped according to their total numbers of reaction steps (Fig. S</w:t>
      </w:r>
      <w:r w:rsidR="003B1024">
        <w:rPr>
          <w:rFonts w:ascii="Arial" w:hAnsi="Arial"/>
        </w:rPr>
        <w:t>6</w:t>
      </w:r>
      <w:bookmarkStart w:id="0" w:name="_GoBack"/>
      <w:bookmarkEnd w:id="0"/>
      <w:r>
        <w:rPr>
          <w:rFonts w:ascii="Arial" w:hAnsi="Arial"/>
        </w:rPr>
        <w:t>). It is interesting to note that in this type of representation the compatible configurations are closely clustered, considering that the order of configurations in the second and third</w:t>
      </w:r>
      <w:r w:rsidR="002A75EC">
        <w:rPr>
          <w:rFonts w:ascii="Arial" w:hAnsi="Arial"/>
        </w:rPr>
        <w:t xml:space="preserve"> row is more or less arbitrary.</w:t>
      </w:r>
    </w:p>
    <w:p w14:paraId="4F32BC28" w14:textId="77777777" w:rsidR="002A75EC" w:rsidRDefault="002A75EC">
      <w:pPr>
        <w:rPr>
          <w:rFonts w:ascii="Arial" w:hAnsi="Arial"/>
          <w:b/>
          <w:bCs/>
          <w:sz w:val="24"/>
          <w:szCs w:val="24"/>
        </w:rPr>
      </w:pPr>
    </w:p>
    <w:p w14:paraId="13056C32" w14:textId="52F4A850" w:rsidR="00682121" w:rsidRDefault="003B1024" w:rsidP="009022B6"/>
    <w:p w14:paraId="4E216DC8" w14:textId="77777777" w:rsidR="002A75EC" w:rsidRDefault="002A75EC" w:rsidP="002A75EC">
      <w:pPr>
        <w:spacing w:line="360" w:lineRule="auto"/>
        <w:jc w:val="center"/>
        <w:rPr>
          <w:rFonts w:ascii="Arial" w:hAnsi="Arial"/>
        </w:rPr>
      </w:pPr>
      <w:r w:rsidRPr="005C63BD">
        <w:rPr>
          <w:noProof/>
        </w:rPr>
        <w:drawing>
          <wp:inline distT="0" distB="0" distL="0" distR="0" wp14:anchorId="36BAB759" wp14:editId="3418A806">
            <wp:extent cx="5943600" cy="488696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886960"/>
                    </a:xfrm>
                    <a:prstGeom prst="rect">
                      <a:avLst/>
                    </a:prstGeom>
                    <a:noFill/>
                    <a:ln>
                      <a:noFill/>
                    </a:ln>
                  </pic:spPr>
                </pic:pic>
              </a:graphicData>
            </a:graphic>
          </wp:inline>
        </w:drawing>
      </w:r>
    </w:p>
    <w:p w14:paraId="737D7D2D" w14:textId="11E1E829" w:rsidR="002A75EC" w:rsidRDefault="002A75EC" w:rsidP="002A75EC">
      <w:pPr>
        <w:spacing w:after="0" w:line="240" w:lineRule="auto"/>
        <w:jc w:val="both"/>
        <w:rPr>
          <w:rFonts w:ascii="Arial" w:hAnsi="Arial"/>
          <w:bCs/>
          <w:sz w:val="20"/>
          <w:szCs w:val="20"/>
        </w:rPr>
      </w:pPr>
      <w:r w:rsidRPr="00565376">
        <w:rPr>
          <w:rFonts w:ascii="Arial" w:hAnsi="Arial"/>
          <w:b/>
          <w:sz w:val="20"/>
          <w:szCs w:val="20"/>
        </w:rPr>
        <w:t xml:space="preserve">Figure </w:t>
      </w:r>
      <w:r>
        <w:rPr>
          <w:rFonts w:ascii="Arial" w:hAnsi="Arial"/>
          <w:b/>
          <w:sz w:val="20"/>
          <w:szCs w:val="20"/>
        </w:rPr>
        <w:t>S</w:t>
      </w:r>
      <w:r w:rsidR="0010516C">
        <w:rPr>
          <w:rFonts w:ascii="Arial" w:hAnsi="Arial"/>
          <w:b/>
          <w:sz w:val="20"/>
          <w:szCs w:val="20"/>
        </w:rPr>
        <w:t>1</w:t>
      </w:r>
      <w:r w:rsidRPr="00565376">
        <w:rPr>
          <w:rFonts w:ascii="Arial" w:hAnsi="Arial"/>
          <w:b/>
          <w:sz w:val="20"/>
          <w:szCs w:val="20"/>
        </w:rPr>
        <w:t>. Topological Configurations.</w:t>
      </w:r>
      <w:r w:rsidRPr="0022056D">
        <w:rPr>
          <w:rFonts w:ascii="Arial" w:hAnsi="Arial"/>
          <w:b/>
          <w:sz w:val="20"/>
          <w:szCs w:val="20"/>
        </w:rPr>
        <w:t xml:space="preserve"> </w:t>
      </w:r>
      <w:r w:rsidRPr="00415CF5">
        <w:rPr>
          <w:rFonts w:ascii="Arial" w:hAnsi="Arial"/>
          <w:bCs/>
          <w:sz w:val="20"/>
          <w:szCs w:val="20"/>
        </w:rPr>
        <w:t xml:space="preserve">A set of 19 structures is plausible </w:t>
      </w:r>
      <w:r>
        <w:rPr>
          <w:rFonts w:ascii="Arial" w:hAnsi="Arial"/>
          <w:bCs/>
          <w:sz w:val="20"/>
          <w:szCs w:val="20"/>
        </w:rPr>
        <w:t xml:space="preserve">when </w:t>
      </w:r>
      <w:r w:rsidRPr="00415CF5">
        <w:rPr>
          <w:rFonts w:ascii="Arial" w:hAnsi="Arial"/>
          <w:bCs/>
          <w:sz w:val="20"/>
          <w:szCs w:val="20"/>
        </w:rPr>
        <w:t>CCR1/CAD and COMT/F5H channels</w:t>
      </w:r>
      <w:r>
        <w:rPr>
          <w:rFonts w:ascii="Arial" w:hAnsi="Arial"/>
          <w:bCs/>
          <w:sz w:val="20"/>
          <w:szCs w:val="20"/>
        </w:rPr>
        <w:t xml:space="preserve"> are considered</w:t>
      </w:r>
      <w:r w:rsidRPr="00415CF5">
        <w:rPr>
          <w:rFonts w:ascii="Arial" w:hAnsi="Arial"/>
          <w:bCs/>
          <w:sz w:val="20"/>
          <w:szCs w:val="20"/>
        </w:rPr>
        <w:t xml:space="preserve">. </w:t>
      </w:r>
      <w:r>
        <w:rPr>
          <w:rFonts w:ascii="Arial" w:hAnsi="Arial"/>
          <w:bCs/>
          <w:sz w:val="20"/>
          <w:szCs w:val="20"/>
        </w:rPr>
        <w:t xml:space="preserve">Only </w:t>
      </w:r>
      <w:r w:rsidRPr="00415CF5">
        <w:rPr>
          <w:rFonts w:ascii="Arial" w:hAnsi="Arial"/>
          <w:bCs/>
          <w:sz w:val="20"/>
          <w:szCs w:val="20"/>
        </w:rPr>
        <w:t xml:space="preserve">Configuration 16 lacks both channels. Other configurations represent different </w:t>
      </w:r>
      <w:r>
        <w:rPr>
          <w:rFonts w:ascii="Arial" w:hAnsi="Arial"/>
          <w:bCs/>
          <w:sz w:val="20"/>
          <w:szCs w:val="20"/>
        </w:rPr>
        <w:t>combinations of the absence and presence</w:t>
      </w:r>
      <w:r w:rsidRPr="00415CF5">
        <w:rPr>
          <w:rFonts w:ascii="Arial" w:hAnsi="Arial"/>
          <w:bCs/>
          <w:sz w:val="20"/>
          <w:szCs w:val="20"/>
        </w:rPr>
        <w:t xml:space="preserve"> of channels.   </w:t>
      </w:r>
    </w:p>
    <w:p w14:paraId="27250F15" w14:textId="77777777" w:rsidR="00766354" w:rsidRDefault="00766354" w:rsidP="002A75EC">
      <w:pPr>
        <w:spacing w:after="0" w:line="240" w:lineRule="auto"/>
        <w:jc w:val="both"/>
        <w:rPr>
          <w:rFonts w:ascii="Arial" w:hAnsi="Arial"/>
          <w:bCs/>
          <w:sz w:val="20"/>
          <w:szCs w:val="20"/>
        </w:rPr>
      </w:pPr>
    </w:p>
    <w:p w14:paraId="53C0717E" w14:textId="77777777" w:rsidR="00766354" w:rsidRDefault="00766354" w:rsidP="002A75EC">
      <w:pPr>
        <w:spacing w:after="0" w:line="240" w:lineRule="auto"/>
        <w:jc w:val="both"/>
        <w:rPr>
          <w:rFonts w:ascii="Arial" w:hAnsi="Arial"/>
          <w:bCs/>
          <w:sz w:val="20"/>
          <w:szCs w:val="20"/>
        </w:rPr>
      </w:pPr>
    </w:p>
    <w:p w14:paraId="18CED8F3" w14:textId="77777777" w:rsidR="00766354" w:rsidRDefault="00766354" w:rsidP="002A75EC">
      <w:pPr>
        <w:spacing w:after="0" w:line="240" w:lineRule="auto"/>
        <w:jc w:val="both"/>
        <w:rPr>
          <w:rFonts w:ascii="Arial" w:hAnsi="Arial"/>
          <w:bCs/>
          <w:sz w:val="20"/>
          <w:szCs w:val="20"/>
        </w:rPr>
      </w:pPr>
    </w:p>
    <w:p w14:paraId="30381A4A" w14:textId="77777777" w:rsidR="002A75EC" w:rsidRDefault="002A75EC" w:rsidP="002A75EC">
      <w:pPr>
        <w:spacing w:after="0" w:line="360" w:lineRule="auto"/>
        <w:rPr>
          <w:rFonts w:ascii="Arial" w:hAnsi="Arial"/>
          <w:bCs/>
          <w:sz w:val="20"/>
          <w:szCs w:val="20"/>
        </w:rPr>
      </w:pPr>
      <w:r w:rsidRPr="00415CF5">
        <w:rPr>
          <w:rFonts w:ascii="Arial" w:hAnsi="Arial"/>
          <w:bCs/>
          <w:sz w:val="20"/>
          <w:szCs w:val="20"/>
        </w:rPr>
        <w:t xml:space="preserve">     </w:t>
      </w:r>
    </w:p>
    <w:p w14:paraId="735554EF" w14:textId="77777777" w:rsidR="002A75EC" w:rsidRDefault="002A75EC" w:rsidP="002A75EC">
      <w:pPr>
        <w:spacing w:after="0" w:line="360" w:lineRule="auto"/>
        <w:jc w:val="center"/>
        <w:rPr>
          <w:rFonts w:ascii="Arial" w:hAnsi="Arial"/>
          <w:bCs/>
          <w:sz w:val="24"/>
          <w:szCs w:val="24"/>
        </w:rPr>
      </w:pPr>
      <w:r>
        <w:rPr>
          <w:noProof/>
        </w:rPr>
        <w:drawing>
          <wp:inline distT="0" distB="0" distL="0" distR="0" wp14:anchorId="30F2CE17" wp14:editId="6DD90F03">
            <wp:extent cx="3753016" cy="85413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99463" cy="887461"/>
                    </a:xfrm>
                    <a:prstGeom prst="rect">
                      <a:avLst/>
                    </a:prstGeom>
                    <a:noFill/>
                    <a:ln>
                      <a:noFill/>
                    </a:ln>
                  </pic:spPr>
                </pic:pic>
              </a:graphicData>
            </a:graphic>
          </wp:inline>
        </w:drawing>
      </w:r>
    </w:p>
    <w:p w14:paraId="2BA83CAD" w14:textId="2790CF59" w:rsidR="002A75EC" w:rsidRDefault="002A75EC" w:rsidP="002A75EC">
      <w:pPr>
        <w:spacing w:after="0" w:line="240" w:lineRule="auto"/>
        <w:jc w:val="both"/>
        <w:rPr>
          <w:rFonts w:ascii="Arial" w:hAnsi="Arial"/>
          <w:sz w:val="20"/>
          <w:szCs w:val="20"/>
        </w:rPr>
      </w:pPr>
      <w:r w:rsidRPr="00560861">
        <w:rPr>
          <w:rFonts w:ascii="Arial" w:hAnsi="Arial"/>
          <w:b/>
          <w:sz w:val="20"/>
          <w:szCs w:val="20"/>
        </w:rPr>
        <w:t xml:space="preserve">Figure </w:t>
      </w:r>
      <w:r>
        <w:rPr>
          <w:rFonts w:ascii="Arial" w:hAnsi="Arial"/>
          <w:b/>
          <w:sz w:val="20"/>
          <w:szCs w:val="20"/>
        </w:rPr>
        <w:t>S</w:t>
      </w:r>
      <w:r w:rsidR="0010516C">
        <w:rPr>
          <w:rFonts w:ascii="Arial" w:hAnsi="Arial"/>
          <w:b/>
          <w:sz w:val="20"/>
          <w:szCs w:val="20"/>
        </w:rPr>
        <w:t>2</w:t>
      </w:r>
      <w:r w:rsidRPr="00560861">
        <w:rPr>
          <w:rFonts w:ascii="Arial" w:hAnsi="Arial"/>
          <w:b/>
          <w:sz w:val="20"/>
          <w:szCs w:val="20"/>
        </w:rPr>
        <w:t xml:space="preserve">. Topological configurations that are </w:t>
      </w:r>
      <w:r>
        <w:rPr>
          <w:rFonts w:ascii="Arial" w:hAnsi="Arial"/>
          <w:b/>
          <w:sz w:val="20"/>
          <w:szCs w:val="20"/>
        </w:rPr>
        <w:t xml:space="preserve">best </w:t>
      </w:r>
      <w:r w:rsidRPr="00560861">
        <w:rPr>
          <w:rFonts w:ascii="Arial" w:hAnsi="Arial"/>
          <w:b/>
          <w:sz w:val="20"/>
          <w:szCs w:val="20"/>
        </w:rPr>
        <w:t xml:space="preserve">compatible with </w:t>
      </w:r>
      <w:r>
        <w:rPr>
          <w:rFonts w:ascii="Arial" w:hAnsi="Arial"/>
          <w:b/>
          <w:sz w:val="20"/>
          <w:szCs w:val="20"/>
        </w:rPr>
        <w:t>all available</w:t>
      </w:r>
      <w:r w:rsidRPr="00560861">
        <w:rPr>
          <w:rFonts w:ascii="Arial" w:hAnsi="Arial"/>
          <w:b/>
          <w:sz w:val="20"/>
          <w:szCs w:val="20"/>
        </w:rPr>
        <w:t xml:space="preserve"> experimental data.</w:t>
      </w:r>
      <w:r w:rsidRPr="0091347E">
        <w:rPr>
          <w:rFonts w:ascii="Arial" w:hAnsi="Arial"/>
          <w:b/>
          <w:sz w:val="20"/>
          <w:szCs w:val="20"/>
        </w:rPr>
        <w:t xml:space="preserve"> </w:t>
      </w:r>
      <w:r>
        <w:rPr>
          <w:rFonts w:ascii="Arial" w:hAnsi="Arial"/>
          <w:sz w:val="20"/>
          <w:szCs w:val="20"/>
        </w:rPr>
        <w:t>M</w:t>
      </w:r>
      <w:r w:rsidRPr="00415CF5">
        <w:rPr>
          <w:rFonts w:ascii="Arial" w:hAnsi="Arial"/>
          <w:sz w:val="20"/>
          <w:szCs w:val="20"/>
        </w:rPr>
        <w:t>odel</w:t>
      </w:r>
      <w:r>
        <w:rPr>
          <w:rFonts w:ascii="Arial" w:hAnsi="Arial"/>
          <w:sz w:val="20"/>
          <w:szCs w:val="20"/>
        </w:rPr>
        <w:t>s with any of these topologies, which in addition account for</w:t>
      </w:r>
      <w:r w:rsidRPr="00415CF5">
        <w:rPr>
          <w:rFonts w:ascii="Arial" w:hAnsi="Arial"/>
          <w:sz w:val="20"/>
          <w:szCs w:val="20"/>
        </w:rPr>
        <w:t xml:space="preserve"> product inhibition and competitive inhibition</w:t>
      </w:r>
      <w:r>
        <w:rPr>
          <w:rFonts w:ascii="Arial" w:hAnsi="Arial"/>
          <w:sz w:val="20"/>
          <w:szCs w:val="20"/>
        </w:rPr>
        <w:t xml:space="preserve"> for CCR1,</w:t>
      </w:r>
      <w:r w:rsidRPr="00415CF5">
        <w:rPr>
          <w:rFonts w:ascii="Arial" w:hAnsi="Arial"/>
          <w:sz w:val="20"/>
          <w:szCs w:val="20"/>
        </w:rPr>
        <w:t xml:space="preserve"> </w:t>
      </w:r>
      <w:r>
        <w:rPr>
          <w:rFonts w:ascii="Arial" w:hAnsi="Arial"/>
          <w:sz w:val="20"/>
          <w:szCs w:val="20"/>
        </w:rPr>
        <w:t xml:space="preserve">are able to reproduce all available </w:t>
      </w:r>
      <w:r w:rsidRPr="00415CF5">
        <w:rPr>
          <w:rFonts w:ascii="Arial" w:hAnsi="Arial"/>
          <w:sz w:val="20"/>
          <w:szCs w:val="20"/>
        </w:rPr>
        <w:t xml:space="preserve">experimental results. </w:t>
      </w:r>
      <w:r>
        <w:rPr>
          <w:rFonts w:ascii="Arial" w:hAnsi="Arial"/>
          <w:sz w:val="20"/>
          <w:szCs w:val="20"/>
        </w:rPr>
        <w:t>Note that a</w:t>
      </w:r>
      <w:r w:rsidRPr="00415CF5">
        <w:rPr>
          <w:rFonts w:ascii="Arial" w:hAnsi="Arial"/>
          <w:sz w:val="20"/>
          <w:szCs w:val="20"/>
        </w:rPr>
        <w:t>t least one channel is present in all configurations.</w:t>
      </w:r>
    </w:p>
    <w:p w14:paraId="67C47FB5" w14:textId="77777777" w:rsidR="002A75EC" w:rsidRDefault="002A75EC" w:rsidP="002A75EC">
      <w:pPr>
        <w:spacing w:after="0" w:line="360" w:lineRule="auto"/>
        <w:jc w:val="center"/>
        <w:rPr>
          <w:rFonts w:ascii="Arial" w:hAnsi="Arial"/>
          <w:bCs/>
          <w:sz w:val="24"/>
          <w:szCs w:val="24"/>
        </w:rPr>
      </w:pPr>
      <w:r>
        <w:rPr>
          <w:rFonts w:ascii="Arial" w:hAnsi="Arial"/>
          <w:bCs/>
          <w:noProof/>
          <w:sz w:val="24"/>
          <w:szCs w:val="24"/>
        </w:rPr>
        <w:lastRenderedPageBreak/>
        <w:drawing>
          <wp:inline distT="0" distB="0" distL="0" distR="0" wp14:anchorId="3B21CAF2" wp14:editId="1A736C46">
            <wp:extent cx="5943600" cy="1741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3.png"/>
                    <pic:cNvPicPr/>
                  </pic:nvPicPr>
                  <pic:blipFill>
                    <a:blip r:embed="rId7">
                      <a:extLst>
                        <a:ext uri="{28A0092B-C50C-407E-A947-70E740481C1C}">
                          <a14:useLocalDpi xmlns:a14="http://schemas.microsoft.com/office/drawing/2010/main" val="0"/>
                        </a:ext>
                      </a:extLst>
                    </a:blip>
                    <a:stretch>
                      <a:fillRect/>
                    </a:stretch>
                  </pic:blipFill>
                  <pic:spPr>
                    <a:xfrm>
                      <a:off x="0" y="0"/>
                      <a:ext cx="5943600" cy="1741170"/>
                    </a:xfrm>
                    <a:prstGeom prst="rect">
                      <a:avLst/>
                    </a:prstGeom>
                  </pic:spPr>
                </pic:pic>
              </a:graphicData>
            </a:graphic>
          </wp:inline>
        </w:drawing>
      </w:r>
    </w:p>
    <w:p w14:paraId="78644247" w14:textId="40FA43A2" w:rsidR="002A75EC" w:rsidRPr="00157360" w:rsidRDefault="002A75EC" w:rsidP="0010516C">
      <w:pPr>
        <w:spacing w:line="240" w:lineRule="auto"/>
        <w:jc w:val="both"/>
        <w:rPr>
          <w:rFonts w:asciiTheme="minorBidi" w:hAnsiTheme="minorBidi" w:cstheme="minorBidi"/>
        </w:rPr>
      </w:pPr>
      <w:r w:rsidRPr="006D79F1">
        <w:rPr>
          <w:rFonts w:ascii="Arial" w:hAnsi="Arial"/>
          <w:b/>
          <w:sz w:val="20"/>
          <w:szCs w:val="20"/>
        </w:rPr>
        <w:t>Figure S</w:t>
      </w:r>
      <w:r w:rsidR="0010516C">
        <w:rPr>
          <w:rFonts w:ascii="Arial" w:hAnsi="Arial"/>
          <w:b/>
          <w:sz w:val="20"/>
          <w:szCs w:val="20"/>
        </w:rPr>
        <w:t>3</w:t>
      </w:r>
      <w:r w:rsidRPr="006D79F1">
        <w:rPr>
          <w:rFonts w:ascii="Arial" w:hAnsi="Arial"/>
          <w:b/>
          <w:sz w:val="20"/>
          <w:szCs w:val="20"/>
        </w:rPr>
        <w:t xml:space="preserve">. Parameter distribution along the principal components of the parameter space. </w:t>
      </w:r>
      <w:r w:rsidRPr="006D79F1">
        <w:rPr>
          <w:rFonts w:ascii="Arial" w:hAnsi="Arial"/>
          <w:bCs/>
          <w:sz w:val="20"/>
          <w:szCs w:val="20"/>
        </w:rPr>
        <w:t>From the</w:t>
      </w:r>
      <w:r w:rsidRPr="002B5696">
        <w:rPr>
          <w:rFonts w:ascii="Arial" w:hAnsi="Arial"/>
          <w:sz w:val="24"/>
          <w:szCs w:val="24"/>
        </w:rPr>
        <w:t xml:space="preserve"> </w:t>
      </w:r>
      <w:r w:rsidRPr="00A03425">
        <w:rPr>
          <w:rFonts w:ascii="Arial" w:hAnsi="Arial"/>
          <w:sz w:val="20"/>
          <w:szCs w:val="20"/>
        </w:rPr>
        <w:t>init</w:t>
      </w:r>
      <w:r w:rsidRPr="00D77F62">
        <w:rPr>
          <w:rFonts w:ascii="Arial" w:hAnsi="Arial"/>
          <w:sz w:val="20"/>
          <w:szCs w:val="20"/>
        </w:rPr>
        <w:t>ial random sampling</w:t>
      </w:r>
      <w:r>
        <w:rPr>
          <w:rFonts w:ascii="Arial" w:hAnsi="Arial"/>
          <w:sz w:val="20"/>
          <w:szCs w:val="20"/>
        </w:rPr>
        <w:t xml:space="preserve"> in the original parameter space, simulations led to only a limited number of points that successfully satisfied the model criteria. Using PCA, principal directions of the admissible points were identified and used to resample the space (red points). A second round of simulations filtered the randomly generated points</w:t>
      </w:r>
      <w:r w:rsidRPr="00A4022F">
        <w:rPr>
          <w:rFonts w:ascii="Arial" w:hAnsi="Arial"/>
          <w:sz w:val="20"/>
          <w:szCs w:val="20"/>
        </w:rPr>
        <w:t xml:space="preserve"> </w:t>
      </w:r>
      <w:r>
        <w:rPr>
          <w:rFonts w:ascii="Arial" w:hAnsi="Arial"/>
          <w:sz w:val="20"/>
          <w:szCs w:val="20"/>
        </w:rPr>
        <w:t>again to insure that the model criteria were satisfied. The result is a set of fully admissible parameter values (green point).</w:t>
      </w:r>
    </w:p>
    <w:p w14:paraId="394FA3D7" w14:textId="77777777" w:rsidR="002A75EC" w:rsidRDefault="002A75EC" w:rsidP="002A75EC">
      <w:pPr>
        <w:spacing w:after="0" w:line="360" w:lineRule="auto"/>
        <w:rPr>
          <w:rFonts w:ascii="Arial" w:hAnsi="Arial"/>
          <w:bCs/>
          <w:sz w:val="24"/>
          <w:szCs w:val="24"/>
        </w:rPr>
      </w:pPr>
      <w:r>
        <w:rPr>
          <w:rFonts w:ascii="Arial" w:hAnsi="Arial"/>
          <w:sz w:val="24"/>
          <w:szCs w:val="24"/>
        </w:rPr>
        <w:t xml:space="preserve"> </w:t>
      </w:r>
    </w:p>
    <w:p w14:paraId="3F4D474C" w14:textId="77777777" w:rsidR="002A75EC" w:rsidRDefault="002A75EC" w:rsidP="002A75EC">
      <w:pPr>
        <w:spacing w:after="0" w:line="360" w:lineRule="auto"/>
        <w:rPr>
          <w:rFonts w:ascii="Arial" w:hAnsi="Arial"/>
        </w:rPr>
      </w:pPr>
    </w:p>
    <w:p w14:paraId="12B5006F" w14:textId="77777777" w:rsidR="002A75EC" w:rsidRDefault="002A75EC" w:rsidP="002A75EC">
      <w:pPr>
        <w:spacing w:after="0" w:line="360" w:lineRule="auto"/>
        <w:rPr>
          <w:rFonts w:ascii="Arial" w:hAnsi="Arial"/>
          <w:b/>
          <w:bCs/>
          <w:sz w:val="20"/>
          <w:szCs w:val="20"/>
        </w:rPr>
      </w:pPr>
      <w:r>
        <w:rPr>
          <w:rFonts w:ascii="Arial" w:hAnsi="Arial"/>
          <w:b/>
          <w:bCs/>
          <w:sz w:val="20"/>
          <w:szCs w:val="20"/>
        </w:rPr>
        <w:tab/>
      </w:r>
      <w:r>
        <w:rPr>
          <w:rFonts w:ascii="Arial" w:hAnsi="Arial"/>
          <w:b/>
          <w:bCs/>
          <w:sz w:val="20"/>
          <w:szCs w:val="20"/>
        </w:rPr>
        <w:tab/>
      </w:r>
    </w:p>
    <w:p w14:paraId="44DE6349" w14:textId="77777777" w:rsidR="002A75EC" w:rsidRDefault="002A75EC" w:rsidP="002A75EC">
      <w:pPr>
        <w:spacing w:line="360" w:lineRule="auto"/>
        <w:ind w:right="-450"/>
        <w:rPr>
          <w:rFonts w:ascii="Arial" w:hAnsi="Arial"/>
          <w:b/>
          <w:bCs/>
          <w:sz w:val="20"/>
          <w:szCs w:val="20"/>
        </w:rPr>
      </w:pPr>
      <w:r>
        <w:rPr>
          <w:rFonts w:ascii="Arial" w:hAnsi="Arial"/>
          <w:b/>
          <w:bCs/>
          <w:sz w:val="20"/>
          <w:szCs w:val="20"/>
        </w:rPr>
        <w:t xml:space="preserve">     </w:t>
      </w:r>
      <w:r>
        <w:rPr>
          <w:rFonts w:ascii="Arial" w:hAnsi="Arial"/>
          <w:b/>
          <w:bCs/>
          <w:noProof/>
          <w:sz w:val="20"/>
          <w:szCs w:val="20"/>
        </w:rPr>
        <w:drawing>
          <wp:inline distT="0" distB="0" distL="0" distR="0" wp14:anchorId="590D8269" wp14:editId="7650CCD5">
            <wp:extent cx="5943600" cy="25882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4.png"/>
                    <pic:cNvPicPr/>
                  </pic:nvPicPr>
                  <pic:blipFill>
                    <a:blip r:embed="rId8">
                      <a:extLst>
                        <a:ext uri="{28A0092B-C50C-407E-A947-70E740481C1C}">
                          <a14:useLocalDpi xmlns:a14="http://schemas.microsoft.com/office/drawing/2010/main" val="0"/>
                        </a:ext>
                      </a:extLst>
                    </a:blip>
                    <a:stretch>
                      <a:fillRect/>
                    </a:stretch>
                  </pic:blipFill>
                  <pic:spPr>
                    <a:xfrm>
                      <a:off x="0" y="0"/>
                      <a:ext cx="5943600" cy="2588260"/>
                    </a:xfrm>
                    <a:prstGeom prst="rect">
                      <a:avLst/>
                    </a:prstGeom>
                  </pic:spPr>
                </pic:pic>
              </a:graphicData>
            </a:graphic>
          </wp:inline>
        </w:drawing>
      </w:r>
    </w:p>
    <w:p w14:paraId="2293D3DE" w14:textId="3C4036AB" w:rsidR="002A75EC" w:rsidRDefault="002A75EC" w:rsidP="0010516C">
      <w:pPr>
        <w:spacing w:line="240" w:lineRule="auto"/>
        <w:jc w:val="both"/>
        <w:rPr>
          <w:rFonts w:ascii="Arial" w:hAnsi="Arial"/>
          <w:bCs/>
          <w:sz w:val="20"/>
          <w:szCs w:val="20"/>
        </w:rPr>
      </w:pPr>
      <w:r w:rsidRPr="00B95C3F">
        <w:rPr>
          <w:rFonts w:ascii="Arial" w:hAnsi="Arial"/>
          <w:b/>
          <w:bCs/>
          <w:sz w:val="20"/>
          <w:szCs w:val="20"/>
        </w:rPr>
        <w:t xml:space="preserve">Figure </w:t>
      </w:r>
      <w:r>
        <w:rPr>
          <w:rFonts w:ascii="Arial" w:hAnsi="Arial"/>
          <w:b/>
          <w:bCs/>
          <w:sz w:val="20"/>
          <w:szCs w:val="20"/>
        </w:rPr>
        <w:t>S</w:t>
      </w:r>
      <w:r w:rsidR="0010516C">
        <w:rPr>
          <w:rFonts w:ascii="Arial" w:hAnsi="Arial"/>
          <w:b/>
          <w:bCs/>
          <w:sz w:val="20"/>
          <w:szCs w:val="20"/>
        </w:rPr>
        <w:t>4</w:t>
      </w:r>
      <w:r w:rsidRPr="00B95C3F">
        <w:rPr>
          <w:rFonts w:ascii="Arial" w:hAnsi="Arial"/>
          <w:b/>
          <w:bCs/>
          <w:sz w:val="20"/>
          <w:szCs w:val="20"/>
        </w:rPr>
        <w:t xml:space="preserve">. </w:t>
      </w:r>
      <w:r>
        <w:rPr>
          <w:rFonts w:ascii="Arial" w:hAnsi="Arial"/>
          <w:b/>
          <w:bCs/>
          <w:sz w:val="20"/>
          <w:szCs w:val="20"/>
        </w:rPr>
        <w:t xml:space="preserve">Fold changes in lignin monomer concentrations in PvMYB4 transgenic plants. </w:t>
      </w:r>
      <w:r>
        <w:rPr>
          <w:rFonts w:ascii="Arial" w:hAnsi="Arial"/>
          <w:bCs/>
          <w:sz w:val="20"/>
          <w:szCs w:val="20"/>
        </w:rPr>
        <w:t>The top row represents the average of experimental data normalized with respect to the average of the control plants. Other rows represent the perturbed for PvMYB4 model results normalized with respect to wild type model results in compatible topological configurations. Wild type is set to white in the color bar. H lignin only counts for 3% of total lignin and is not shown in here. (a) The same common parameters are used for all configurations. (b) Best results, where each configuration is simulated using a separate, optimized parameter set.</w:t>
      </w:r>
    </w:p>
    <w:p w14:paraId="1C33B827" w14:textId="77777777" w:rsidR="002A75EC" w:rsidRDefault="002A75EC" w:rsidP="002A75EC">
      <w:pPr>
        <w:spacing w:after="0" w:line="360" w:lineRule="auto"/>
        <w:jc w:val="center"/>
        <w:rPr>
          <w:rFonts w:ascii="Arial" w:hAnsi="Arial"/>
          <w:bCs/>
          <w:sz w:val="24"/>
          <w:szCs w:val="24"/>
        </w:rPr>
      </w:pPr>
      <w:r>
        <w:rPr>
          <w:rFonts w:asciiTheme="minorBidi" w:hAnsiTheme="minorBidi" w:cstheme="minorBidi"/>
          <w:bCs/>
          <w:noProof/>
        </w:rPr>
        <w:lastRenderedPageBreak/>
        <mc:AlternateContent>
          <mc:Choice Requires="wps">
            <w:drawing>
              <wp:anchor distT="45720" distB="45720" distL="114300" distR="114300" simplePos="0" relativeHeight="251659264" behindDoc="0" locked="0" layoutInCell="1" allowOverlap="1" wp14:anchorId="14CF0DA7" wp14:editId="664B8653">
                <wp:simplePos x="0" y="0"/>
                <wp:positionH relativeFrom="margin">
                  <wp:posOffset>2052955</wp:posOffset>
                </wp:positionH>
                <wp:positionV relativeFrom="paragraph">
                  <wp:posOffset>2717165</wp:posOffset>
                </wp:positionV>
                <wp:extent cx="6338570" cy="1404620"/>
                <wp:effectExtent l="0" t="2858" r="2223" b="2222"/>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338570" cy="1404620"/>
                        </a:xfrm>
                        <a:prstGeom prst="rect">
                          <a:avLst/>
                        </a:prstGeom>
                        <a:solidFill>
                          <a:srgbClr val="FFFFFF"/>
                        </a:solidFill>
                        <a:ln w="9525">
                          <a:noFill/>
                          <a:miter lim="800000"/>
                          <a:headEnd/>
                          <a:tailEnd/>
                        </a:ln>
                      </wps:spPr>
                      <wps:txbx>
                        <w:txbxContent>
                          <w:p w14:paraId="33BF54B5" w14:textId="2C536218" w:rsidR="002A75EC" w:rsidRPr="00A52CBF" w:rsidRDefault="002A75EC" w:rsidP="002A75EC">
                            <w:pPr>
                              <w:spacing w:line="240" w:lineRule="auto"/>
                              <w:jc w:val="both"/>
                              <w:rPr>
                                <w:rFonts w:ascii="Arial" w:hAnsi="Arial"/>
                              </w:rPr>
                            </w:pPr>
                            <w:r w:rsidRPr="00A52CBF">
                              <w:rPr>
                                <w:rFonts w:ascii="Arial" w:hAnsi="Arial"/>
                                <w:b/>
                                <w:bCs/>
                              </w:rPr>
                              <w:t xml:space="preserve">Figure </w:t>
                            </w:r>
                            <w:r>
                              <w:rPr>
                                <w:rFonts w:ascii="Arial" w:hAnsi="Arial"/>
                                <w:b/>
                                <w:bCs/>
                              </w:rPr>
                              <w:t>S</w:t>
                            </w:r>
                            <w:r w:rsidR="0010516C">
                              <w:rPr>
                                <w:rFonts w:ascii="Arial" w:hAnsi="Arial"/>
                                <w:b/>
                                <w:bCs/>
                              </w:rPr>
                              <w:t>5</w:t>
                            </w:r>
                            <w:r w:rsidRPr="00A52CBF">
                              <w:rPr>
                                <w:rFonts w:ascii="Arial" w:hAnsi="Arial"/>
                                <w:b/>
                                <w:bCs/>
                              </w:rPr>
                              <w:t>.</w:t>
                            </w:r>
                            <w:r w:rsidRPr="00A52CBF">
                              <w:rPr>
                                <w:rFonts w:ascii="Arial" w:hAnsi="Arial"/>
                              </w:rPr>
                              <w:t xml:space="preserve"> </w:t>
                            </w:r>
                            <w:r>
                              <w:rPr>
                                <w:rFonts w:ascii="Arial" w:hAnsi="Arial"/>
                              </w:rPr>
                              <w:t>Predicted s</w:t>
                            </w:r>
                            <w:r w:rsidRPr="00A52CBF">
                              <w:rPr>
                                <w:rFonts w:ascii="Arial" w:hAnsi="Arial"/>
                              </w:rPr>
                              <w:t>teady</w:t>
                            </w:r>
                            <w:r>
                              <w:rPr>
                                <w:rFonts w:ascii="Arial" w:hAnsi="Arial"/>
                              </w:rPr>
                              <w:t>-</w:t>
                            </w:r>
                            <w:r w:rsidRPr="00A52CBF">
                              <w:rPr>
                                <w:rFonts w:ascii="Arial" w:hAnsi="Arial"/>
                              </w:rPr>
                              <w:t>state profile</w:t>
                            </w:r>
                            <w:r>
                              <w:rPr>
                                <w:rFonts w:ascii="Arial" w:hAnsi="Arial"/>
                              </w:rPr>
                              <w:t>s</w:t>
                            </w:r>
                            <w:r w:rsidRPr="00A52CBF">
                              <w:rPr>
                                <w:rFonts w:ascii="Arial" w:hAnsi="Arial"/>
                              </w:rPr>
                              <w:t xml:space="preserve"> of </w:t>
                            </w:r>
                            <w:r>
                              <w:rPr>
                                <w:rFonts w:ascii="Arial" w:hAnsi="Arial"/>
                              </w:rPr>
                              <w:t>key</w:t>
                            </w:r>
                            <w:r w:rsidRPr="00A52CBF">
                              <w:rPr>
                                <w:rFonts w:ascii="Arial" w:hAnsi="Arial"/>
                              </w:rPr>
                              <w:t xml:space="preserve"> pathway metabolites</w:t>
                            </w:r>
                            <w:r w:rsidRPr="00A52CBF">
                              <w:rPr>
                                <w:rFonts w:ascii="Arial" w:hAnsi="Arial"/>
                                <w:sz w:val="20"/>
                                <w:szCs w:val="20"/>
                              </w:rPr>
                              <w:t xml:space="preserve"> </w:t>
                            </w:r>
                            <w:r>
                              <w:rPr>
                                <w:rFonts w:ascii="Arial" w:hAnsi="Arial"/>
                                <w:sz w:val="20"/>
                                <w:szCs w:val="20"/>
                              </w:rPr>
                              <w:t>in</w:t>
                            </w:r>
                            <w:r w:rsidRPr="00A52CBF">
                              <w:rPr>
                                <w:rFonts w:ascii="Arial" w:hAnsi="Arial"/>
                                <w:sz w:val="20"/>
                                <w:szCs w:val="20"/>
                              </w:rPr>
                              <w:t xml:space="preserve"> the wild type and </w:t>
                            </w:r>
                            <w:r>
                              <w:rPr>
                                <w:rFonts w:ascii="Arial" w:hAnsi="Arial"/>
                                <w:sz w:val="20"/>
                                <w:szCs w:val="20"/>
                              </w:rPr>
                              <w:t xml:space="preserve">in </w:t>
                            </w:r>
                            <w:r w:rsidRPr="00C24F14">
                              <w:rPr>
                                <w:rFonts w:ascii="Arial" w:hAnsi="Arial"/>
                                <w:sz w:val="20"/>
                                <w:szCs w:val="20"/>
                              </w:rPr>
                              <w:t>single knockdowns and PvMYB4</w:t>
                            </w:r>
                            <w:r>
                              <w:rPr>
                                <w:rFonts w:ascii="Arial" w:hAnsi="Arial"/>
                                <w:sz w:val="20"/>
                                <w:szCs w:val="20"/>
                              </w:rPr>
                              <w:t xml:space="preserve"> overexpression as predicted by the model</w:t>
                            </w:r>
                            <w:r w:rsidRPr="00A52CBF">
                              <w:rPr>
                                <w:rFonts w:ascii="Arial" w:hAnsi="Arial"/>
                                <w:sz w:val="20"/>
                                <w:szCs w:val="20"/>
                              </w:rPr>
                              <w:t>. Concentrations are normalized and the base value is set to 100</w:t>
                            </w:r>
                            <w:r>
                              <w:rPr>
                                <w:rFonts w:ascii="Arial" w:hAnsi="Arial"/>
                                <w:sz w:val="20"/>
                                <w:szCs w:val="20"/>
                              </w:rPr>
                              <w:t>, which corresponds</w:t>
                            </w:r>
                            <w:r w:rsidRPr="00A52CBF">
                              <w:rPr>
                                <w:rFonts w:ascii="Arial" w:hAnsi="Arial"/>
                                <w:sz w:val="20"/>
                                <w:szCs w:val="20"/>
                              </w:rPr>
                              <w:t xml:space="preserve"> </w:t>
                            </w:r>
                            <w:r>
                              <w:rPr>
                                <w:rFonts w:ascii="Arial" w:hAnsi="Arial"/>
                                <w:sz w:val="20"/>
                                <w:szCs w:val="20"/>
                              </w:rPr>
                              <w:t xml:space="preserve">to </w:t>
                            </w:r>
                            <w:r w:rsidRPr="00A52CBF">
                              <w:rPr>
                                <w:rFonts w:ascii="Arial" w:hAnsi="Arial"/>
                                <w:sz w:val="20"/>
                                <w:szCs w:val="20"/>
                              </w:rPr>
                              <w:t>white</w:t>
                            </w:r>
                            <w:r>
                              <w:rPr>
                                <w:rFonts w:ascii="Arial" w:hAnsi="Arial"/>
                                <w:sz w:val="20"/>
                                <w:szCs w:val="20"/>
                              </w:rPr>
                              <w:t xml:space="preserve"> in the color bar</w:t>
                            </w:r>
                            <w:r w:rsidRPr="00A52CBF">
                              <w:rPr>
                                <w:rFonts w:ascii="Arial" w:hAnsi="Arial"/>
                                <w:sz w:val="20"/>
                                <w:szCs w:val="20"/>
                              </w:rPr>
                              <w:t xml:space="preserve">. </w:t>
                            </w:r>
                            <w:r>
                              <w:rPr>
                                <w:rFonts w:ascii="Arial" w:hAnsi="Arial"/>
                                <w:sz w:val="20"/>
                                <w:szCs w:val="20"/>
                              </w:rPr>
                              <w:t>A</w:t>
                            </w:r>
                            <w:r w:rsidRPr="00A52CBF">
                              <w:rPr>
                                <w:rFonts w:ascii="Arial" w:hAnsi="Arial"/>
                                <w:sz w:val="20"/>
                                <w:szCs w:val="20"/>
                              </w:rPr>
                              <w:t>ny increase</w:t>
                            </w:r>
                            <w:r>
                              <w:rPr>
                                <w:rFonts w:ascii="Arial" w:hAnsi="Arial"/>
                                <w:sz w:val="20"/>
                                <w:szCs w:val="20"/>
                              </w:rPr>
                              <w:t>s</w:t>
                            </w:r>
                            <w:r w:rsidRPr="00A52CBF">
                              <w:rPr>
                                <w:rFonts w:ascii="Arial" w:hAnsi="Arial"/>
                                <w:sz w:val="20"/>
                                <w:szCs w:val="20"/>
                              </w:rPr>
                              <w:t xml:space="preserve"> with respect to the wild type steady state </w:t>
                            </w:r>
                            <w:r>
                              <w:rPr>
                                <w:rFonts w:ascii="Arial" w:hAnsi="Arial"/>
                                <w:sz w:val="20"/>
                                <w:szCs w:val="20"/>
                              </w:rPr>
                              <w:t>are reflected</w:t>
                            </w:r>
                            <w:r w:rsidRPr="00A52CBF">
                              <w:rPr>
                                <w:rFonts w:ascii="Arial" w:hAnsi="Arial"/>
                                <w:sz w:val="20"/>
                                <w:szCs w:val="20"/>
                              </w:rPr>
                              <w:t xml:space="preserve"> in </w:t>
                            </w:r>
                            <w:r>
                              <w:rPr>
                                <w:rFonts w:ascii="Arial" w:hAnsi="Arial"/>
                                <w:sz w:val="20"/>
                                <w:szCs w:val="20"/>
                              </w:rPr>
                              <w:t xml:space="preserve">the </w:t>
                            </w:r>
                            <w:r w:rsidRPr="00A52CBF">
                              <w:rPr>
                                <w:rFonts w:ascii="Arial" w:hAnsi="Arial"/>
                                <w:sz w:val="20"/>
                                <w:szCs w:val="20"/>
                              </w:rPr>
                              <w:t>red spectrum and any decrease</w:t>
                            </w:r>
                            <w:r>
                              <w:rPr>
                                <w:rFonts w:ascii="Arial" w:hAnsi="Arial"/>
                                <w:sz w:val="20"/>
                                <w:szCs w:val="20"/>
                              </w:rPr>
                              <w:t>s</w:t>
                            </w:r>
                            <w:r w:rsidRPr="00A52CBF">
                              <w:rPr>
                                <w:rFonts w:ascii="Arial" w:hAnsi="Arial"/>
                                <w:sz w:val="20"/>
                                <w:szCs w:val="20"/>
                              </w:rPr>
                              <w:t xml:space="preserve"> in </w:t>
                            </w:r>
                            <w:r>
                              <w:rPr>
                                <w:rFonts w:ascii="Arial" w:hAnsi="Arial"/>
                                <w:sz w:val="20"/>
                                <w:szCs w:val="20"/>
                              </w:rPr>
                              <w:t xml:space="preserve">the </w:t>
                            </w:r>
                            <w:r w:rsidRPr="00A52CBF">
                              <w:rPr>
                                <w:rFonts w:ascii="Arial" w:hAnsi="Arial"/>
                                <w:sz w:val="20"/>
                                <w:szCs w:val="20"/>
                              </w:rPr>
                              <w:t>blue spectrum.</w:t>
                            </w:r>
                            <w:r>
                              <w:rPr>
                                <w:rFonts w:ascii="Arial" w:hAnsi="Arial"/>
                                <w:sz w:val="20"/>
                                <w:szCs w:val="20"/>
                              </w:rPr>
                              <w:t xml:space="preserve"> It is quite evident that the specific model configuration has no significant effect on the predictions.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1.65pt;margin-top:213.95pt;width:499.1pt;height:110.6pt;rotation:-90;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" stroked="f">
                <v:textbox style="mso-fit-shape-to-text:t">
                  <w:txbxContent>
                    <w:p w14:paraId="33BF54B5" w14:textId="2C536218" w:rsidR="002A75EC" w:rsidRPr="00A52CBF" w:rsidRDefault="002A75EC" w:rsidP="002A75EC">
                      <w:pPr>
                        <w:spacing w:line="240" w:lineRule="auto"/>
                        <w:jc w:val="both"/>
                        <w:rPr>
                          <w:rFonts w:ascii="Arial" w:hAnsi="Arial"/>
                        </w:rPr>
                      </w:pPr>
                      <w:r w:rsidRPr="00A52CBF">
                        <w:rPr>
                          <w:rFonts w:ascii="Arial" w:hAnsi="Arial"/>
                          <w:b/>
                          <w:bCs/>
                        </w:rPr>
                        <w:t xml:space="preserve">Figure </w:t>
                      </w:r>
                      <w:r>
                        <w:rPr>
                          <w:rFonts w:ascii="Arial" w:hAnsi="Arial"/>
                          <w:b/>
                          <w:bCs/>
                        </w:rPr>
                        <w:t>S</w:t>
                      </w:r>
                      <w:r w:rsidR="0010516C">
                        <w:rPr>
                          <w:rFonts w:ascii="Arial" w:hAnsi="Arial"/>
                          <w:b/>
                          <w:bCs/>
                        </w:rPr>
                        <w:t>5</w:t>
                      </w:r>
                      <w:r w:rsidRPr="00A52CBF">
                        <w:rPr>
                          <w:rFonts w:ascii="Arial" w:hAnsi="Arial"/>
                          <w:b/>
                          <w:bCs/>
                        </w:rPr>
                        <w:t>.</w:t>
                      </w:r>
                      <w:r w:rsidRPr="00A52CBF">
                        <w:rPr>
                          <w:rFonts w:ascii="Arial" w:hAnsi="Arial"/>
                        </w:rPr>
                        <w:t xml:space="preserve"> </w:t>
                      </w:r>
                      <w:r>
                        <w:rPr>
                          <w:rFonts w:ascii="Arial" w:hAnsi="Arial"/>
                        </w:rPr>
                        <w:t>Predicted s</w:t>
                      </w:r>
                      <w:r w:rsidRPr="00A52CBF">
                        <w:rPr>
                          <w:rFonts w:ascii="Arial" w:hAnsi="Arial"/>
                        </w:rPr>
                        <w:t>teady</w:t>
                      </w:r>
                      <w:r>
                        <w:rPr>
                          <w:rFonts w:ascii="Arial" w:hAnsi="Arial"/>
                        </w:rPr>
                        <w:t>-</w:t>
                      </w:r>
                      <w:r w:rsidRPr="00A52CBF">
                        <w:rPr>
                          <w:rFonts w:ascii="Arial" w:hAnsi="Arial"/>
                        </w:rPr>
                        <w:t>state profile</w:t>
                      </w:r>
                      <w:r>
                        <w:rPr>
                          <w:rFonts w:ascii="Arial" w:hAnsi="Arial"/>
                        </w:rPr>
                        <w:t>s</w:t>
                      </w:r>
                      <w:r w:rsidRPr="00A52CBF">
                        <w:rPr>
                          <w:rFonts w:ascii="Arial" w:hAnsi="Arial"/>
                        </w:rPr>
                        <w:t xml:space="preserve"> of </w:t>
                      </w:r>
                      <w:r>
                        <w:rPr>
                          <w:rFonts w:ascii="Arial" w:hAnsi="Arial"/>
                        </w:rPr>
                        <w:t>key</w:t>
                      </w:r>
                      <w:r w:rsidRPr="00A52CBF">
                        <w:rPr>
                          <w:rFonts w:ascii="Arial" w:hAnsi="Arial"/>
                        </w:rPr>
                        <w:t xml:space="preserve"> pathway metabolites</w:t>
                      </w:r>
                      <w:r w:rsidRPr="00A52CBF">
                        <w:rPr>
                          <w:rFonts w:ascii="Arial" w:hAnsi="Arial"/>
                          <w:sz w:val="20"/>
                          <w:szCs w:val="20"/>
                        </w:rPr>
                        <w:t xml:space="preserve"> </w:t>
                      </w:r>
                      <w:r>
                        <w:rPr>
                          <w:rFonts w:ascii="Arial" w:hAnsi="Arial"/>
                          <w:sz w:val="20"/>
                          <w:szCs w:val="20"/>
                        </w:rPr>
                        <w:t>in</w:t>
                      </w:r>
                      <w:r w:rsidRPr="00A52CBF">
                        <w:rPr>
                          <w:rFonts w:ascii="Arial" w:hAnsi="Arial"/>
                          <w:sz w:val="20"/>
                          <w:szCs w:val="20"/>
                        </w:rPr>
                        <w:t xml:space="preserve"> the wild type and </w:t>
                      </w:r>
                      <w:r>
                        <w:rPr>
                          <w:rFonts w:ascii="Arial" w:hAnsi="Arial"/>
                          <w:sz w:val="20"/>
                          <w:szCs w:val="20"/>
                        </w:rPr>
                        <w:t xml:space="preserve">in </w:t>
                      </w:r>
                      <w:r w:rsidRPr="00C24F14">
                        <w:rPr>
                          <w:rFonts w:ascii="Arial" w:hAnsi="Arial"/>
                          <w:sz w:val="20"/>
                          <w:szCs w:val="20"/>
                        </w:rPr>
                        <w:t>single knockdowns and PvMYB4</w:t>
                      </w:r>
                      <w:r>
                        <w:rPr>
                          <w:rFonts w:ascii="Arial" w:hAnsi="Arial"/>
                          <w:sz w:val="20"/>
                          <w:szCs w:val="20"/>
                        </w:rPr>
                        <w:t xml:space="preserve"> overexpression as predicted by the model</w:t>
                      </w:r>
                      <w:r w:rsidRPr="00A52CBF">
                        <w:rPr>
                          <w:rFonts w:ascii="Arial" w:hAnsi="Arial"/>
                          <w:sz w:val="20"/>
                          <w:szCs w:val="20"/>
                        </w:rPr>
                        <w:t>. Concentrations are normalized and the base value is set to 100</w:t>
                      </w:r>
                      <w:r>
                        <w:rPr>
                          <w:rFonts w:ascii="Arial" w:hAnsi="Arial"/>
                          <w:sz w:val="20"/>
                          <w:szCs w:val="20"/>
                        </w:rPr>
                        <w:t>, which corresponds</w:t>
                      </w:r>
                      <w:r w:rsidRPr="00A52CBF">
                        <w:rPr>
                          <w:rFonts w:ascii="Arial" w:hAnsi="Arial"/>
                          <w:sz w:val="20"/>
                          <w:szCs w:val="20"/>
                        </w:rPr>
                        <w:t xml:space="preserve"> </w:t>
                      </w:r>
                      <w:r>
                        <w:rPr>
                          <w:rFonts w:ascii="Arial" w:hAnsi="Arial"/>
                          <w:sz w:val="20"/>
                          <w:szCs w:val="20"/>
                        </w:rPr>
                        <w:t xml:space="preserve">to </w:t>
                      </w:r>
                      <w:r w:rsidRPr="00A52CBF">
                        <w:rPr>
                          <w:rFonts w:ascii="Arial" w:hAnsi="Arial"/>
                          <w:sz w:val="20"/>
                          <w:szCs w:val="20"/>
                        </w:rPr>
                        <w:t>white</w:t>
                      </w:r>
                      <w:r>
                        <w:rPr>
                          <w:rFonts w:ascii="Arial" w:hAnsi="Arial"/>
                          <w:sz w:val="20"/>
                          <w:szCs w:val="20"/>
                        </w:rPr>
                        <w:t xml:space="preserve"> in the color bar</w:t>
                      </w:r>
                      <w:r w:rsidRPr="00A52CBF">
                        <w:rPr>
                          <w:rFonts w:ascii="Arial" w:hAnsi="Arial"/>
                          <w:sz w:val="20"/>
                          <w:szCs w:val="20"/>
                        </w:rPr>
                        <w:t xml:space="preserve">. </w:t>
                      </w:r>
                      <w:r>
                        <w:rPr>
                          <w:rFonts w:ascii="Arial" w:hAnsi="Arial"/>
                          <w:sz w:val="20"/>
                          <w:szCs w:val="20"/>
                        </w:rPr>
                        <w:t>A</w:t>
                      </w:r>
                      <w:r w:rsidRPr="00A52CBF">
                        <w:rPr>
                          <w:rFonts w:ascii="Arial" w:hAnsi="Arial"/>
                          <w:sz w:val="20"/>
                          <w:szCs w:val="20"/>
                        </w:rPr>
                        <w:t>ny increase</w:t>
                      </w:r>
                      <w:r>
                        <w:rPr>
                          <w:rFonts w:ascii="Arial" w:hAnsi="Arial"/>
                          <w:sz w:val="20"/>
                          <w:szCs w:val="20"/>
                        </w:rPr>
                        <w:t>s</w:t>
                      </w:r>
                      <w:r w:rsidRPr="00A52CBF">
                        <w:rPr>
                          <w:rFonts w:ascii="Arial" w:hAnsi="Arial"/>
                          <w:sz w:val="20"/>
                          <w:szCs w:val="20"/>
                        </w:rPr>
                        <w:t xml:space="preserve"> with respect to the wild type steady state </w:t>
                      </w:r>
                      <w:r>
                        <w:rPr>
                          <w:rFonts w:ascii="Arial" w:hAnsi="Arial"/>
                          <w:sz w:val="20"/>
                          <w:szCs w:val="20"/>
                        </w:rPr>
                        <w:t>are reflected</w:t>
                      </w:r>
                      <w:r w:rsidRPr="00A52CBF">
                        <w:rPr>
                          <w:rFonts w:ascii="Arial" w:hAnsi="Arial"/>
                          <w:sz w:val="20"/>
                          <w:szCs w:val="20"/>
                        </w:rPr>
                        <w:t xml:space="preserve"> in </w:t>
                      </w:r>
                      <w:r>
                        <w:rPr>
                          <w:rFonts w:ascii="Arial" w:hAnsi="Arial"/>
                          <w:sz w:val="20"/>
                          <w:szCs w:val="20"/>
                        </w:rPr>
                        <w:t xml:space="preserve">the </w:t>
                      </w:r>
                      <w:r w:rsidRPr="00A52CBF">
                        <w:rPr>
                          <w:rFonts w:ascii="Arial" w:hAnsi="Arial"/>
                          <w:sz w:val="20"/>
                          <w:szCs w:val="20"/>
                        </w:rPr>
                        <w:t>red spectrum and any decrease</w:t>
                      </w:r>
                      <w:r>
                        <w:rPr>
                          <w:rFonts w:ascii="Arial" w:hAnsi="Arial"/>
                          <w:sz w:val="20"/>
                          <w:szCs w:val="20"/>
                        </w:rPr>
                        <w:t>s</w:t>
                      </w:r>
                      <w:r w:rsidRPr="00A52CBF">
                        <w:rPr>
                          <w:rFonts w:ascii="Arial" w:hAnsi="Arial"/>
                          <w:sz w:val="20"/>
                          <w:szCs w:val="20"/>
                        </w:rPr>
                        <w:t xml:space="preserve"> in </w:t>
                      </w:r>
                      <w:r>
                        <w:rPr>
                          <w:rFonts w:ascii="Arial" w:hAnsi="Arial"/>
                          <w:sz w:val="20"/>
                          <w:szCs w:val="20"/>
                        </w:rPr>
                        <w:t xml:space="preserve">the </w:t>
                      </w:r>
                      <w:r w:rsidRPr="00A52CBF">
                        <w:rPr>
                          <w:rFonts w:ascii="Arial" w:hAnsi="Arial"/>
                          <w:sz w:val="20"/>
                          <w:szCs w:val="20"/>
                        </w:rPr>
                        <w:t>blue spectrum.</w:t>
                      </w:r>
                      <w:r>
                        <w:rPr>
                          <w:rFonts w:ascii="Arial" w:hAnsi="Arial"/>
                          <w:sz w:val="20"/>
                          <w:szCs w:val="20"/>
                        </w:rPr>
                        <w:t xml:space="preserve"> It is quite evident that the specific model configuration has no significant effect on the predictions.</w:t>
                      </w:r>
                    </w:p>
                  </w:txbxContent>
                </v:textbox>
                <w10:wrap type="square" anchorx="margin"/>
              </v:shape>
            </w:pict>
          </mc:Fallback>
        </mc:AlternateContent>
      </w:r>
      <w:r>
        <w:rPr>
          <w:rFonts w:ascii="Arial" w:hAnsi="Arial"/>
          <w:bCs/>
          <w:noProof/>
          <w:sz w:val="24"/>
          <w:szCs w:val="24"/>
        </w:rPr>
        <w:drawing>
          <wp:inline distT="0" distB="0" distL="0" distR="0" wp14:anchorId="7A6D0301" wp14:editId="5A9EE05A">
            <wp:extent cx="7878975" cy="4381417"/>
            <wp:effectExtent l="0" t="3810" r="444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5.png"/>
                    <pic:cNvPicPr/>
                  </pic:nvPicPr>
                  <pic:blipFill>
                    <a:blip r:embed="rId9">
                      <a:extLst>
                        <a:ext uri="{28A0092B-C50C-407E-A947-70E740481C1C}">
                          <a14:useLocalDpi xmlns:a14="http://schemas.microsoft.com/office/drawing/2010/main" val="0"/>
                        </a:ext>
                      </a:extLst>
                    </a:blip>
                    <a:stretch>
                      <a:fillRect/>
                    </a:stretch>
                  </pic:blipFill>
                  <pic:spPr>
                    <a:xfrm rot="16200000">
                      <a:off x="0" y="0"/>
                      <a:ext cx="7963292" cy="4428305"/>
                    </a:xfrm>
                    <a:prstGeom prst="rect">
                      <a:avLst/>
                    </a:prstGeom>
                  </pic:spPr>
                </pic:pic>
              </a:graphicData>
            </a:graphic>
          </wp:inline>
        </w:drawing>
      </w:r>
    </w:p>
    <w:p w14:paraId="072C751B" w14:textId="77777777" w:rsidR="002A75EC" w:rsidRDefault="002A75EC" w:rsidP="002A75EC">
      <w:pPr>
        <w:spacing w:before="600" w:after="0" w:line="360" w:lineRule="auto"/>
        <w:rPr>
          <w:rFonts w:ascii="Arial" w:hAnsi="Arial"/>
          <w:sz w:val="24"/>
          <w:szCs w:val="24"/>
        </w:rPr>
      </w:pPr>
      <w:r>
        <w:rPr>
          <w:rFonts w:ascii="Arial" w:hAnsi="Arial"/>
          <w:noProof/>
          <w:sz w:val="24"/>
          <w:szCs w:val="24"/>
        </w:rPr>
        <w:lastRenderedPageBreak/>
        <w:drawing>
          <wp:inline distT="0" distB="0" distL="0" distR="0" wp14:anchorId="376A974F" wp14:editId="0F3B713E">
            <wp:extent cx="5944115" cy="3785944"/>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6.png"/>
                    <pic:cNvPicPr/>
                  </pic:nvPicPr>
                  <pic:blipFill>
                    <a:blip r:embed="rId10">
                      <a:extLst>
                        <a:ext uri="{28A0092B-C50C-407E-A947-70E740481C1C}">
                          <a14:useLocalDpi xmlns:a14="http://schemas.microsoft.com/office/drawing/2010/main" val="0"/>
                        </a:ext>
                      </a:extLst>
                    </a:blip>
                    <a:stretch>
                      <a:fillRect/>
                    </a:stretch>
                  </pic:blipFill>
                  <pic:spPr>
                    <a:xfrm>
                      <a:off x="0" y="0"/>
                      <a:ext cx="5944115" cy="3785944"/>
                    </a:xfrm>
                    <a:prstGeom prst="rect">
                      <a:avLst/>
                    </a:prstGeom>
                  </pic:spPr>
                </pic:pic>
              </a:graphicData>
            </a:graphic>
          </wp:inline>
        </w:drawing>
      </w:r>
    </w:p>
    <w:p w14:paraId="4F95447B" w14:textId="5BAB9DB0" w:rsidR="002A75EC" w:rsidRDefault="002A75EC" w:rsidP="002A75EC">
      <w:pPr>
        <w:spacing w:line="360" w:lineRule="auto"/>
        <w:rPr>
          <w:rFonts w:ascii="Arial" w:hAnsi="Arial"/>
          <w:bCs/>
          <w:sz w:val="20"/>
          <w:szCs w:val="20"/>
        </w:rPr>
      </w:pPr>
      <w:r w:rsidRPr="00B95C3F">
        <w:rPr>
          <w:rFonts w:ascii="Arial" w:hAnsi="Arial"/>
          <w:b/>
          <w:bCs/>
          <w:sz w:val="20"/>
          <w:szCs w:val="20"/>
        </w:rPr>
        <w:t xml:space="preserve">Figure </w:t>
      </w:r>
      <w:r>
        <w:rPr>
          <w:rFonts w:ascii="Arial" w:hAnsi="Arial"/>
          <w:b/>
          <w:bCs/>
          <w:sz w:val="20"/>
          <w:szCs w:val="20"/>
        </w:rPr>
        <w:t>S</w:t>
      </w:r>
      <w:r w:rsidR="0010516C">
        <w:rPr>
          <w:rFonts w:ascii="Arial" w:hAnsi="Arial"/>
          <w:b/>
          <w:bCs/>
          <w:sz w:val="20"/>
          <w:szCs w:val="20"/>
        </w:rPr>
        <w:t>6</w:t>
      </w:r>
      <w:r w:rsidRPr="00B95C3F">
        <w:rPr>
          <w:rFonts w:ascii="Arial" w:hAnsi="Arial"/>
          <w:b/>
          <w:bCs/>
          <w:sz w:val="20"/>
          <w:szCs w:val="20"/>
        </w:rPr>
        <w:t>. Map of connectedness of</w:t>
      </w:r>
      <w:r>
        <w:rPr>
          <w:rFonts w:ascii="Arial" w:hAnsi="Arial"/>
          <w:b/>
          <w:bCs/>
          <w:sz w:val="20"/>
          <w:szCs w:val="20"/>
        </w:rPr>
        <w:t xml:space="preserve"> admissible</w:t>
      </w:r>
      <w:r w:rsidRPr="00B95C3F">
        <w:rPr>
          <w:rFonts w:ascii="Arial" w:hAnsi="Arial"/>
          <w:b/>
          <w:bCs/>
          <w:sz w:val="20"/>
          <w:szCs w:val="20"/>
        </w:rPr>
        <w:t xml:space="preserve"> topological configurations. </w:t>
      </w:r>
      <w:r w:rsidRPr="00415CF5">
        <w:rPr>
          <w:rFonts w:ascii="Arial" w:hAnsi="Arial"/>
          <w:bCs/>
          <w:sz w:val="20"/>
          <w:szCs w:val="20"/>
        </w:rPr>
        <w:t xml:space="preserve">Two configurations are connected if they differ in only one edge. </w:t>
      </w:r>
      <w:r>
        <w:rPr>
          <w:rFonts w:ascii="Arial" w:hAnsi="Arial"/>
          <w:bCs/>
          <w:sz w:val="20"/>
          <w:szCs w:val="20"/>
        </w:rPr>
        <w:t>The best compatible configurations</w:t>
      </w:r>
      <w:r w:rsidRPr="00415CF5">
        <w:rPr>
          <w:rFonts w:ascii="Arial" w:hAnsi="Arial"/>
          <w:bCs/>
          <w:sz w:val="20"/>
          <w:szCs w:val="20"/>
        </w:rPr>
        <w:t xml:space="preserve"> (1, 4, </w:t>
      </w:r>
      <w:r>
        <w:rPr>
          <w:rFonts w:ascii="Arial" w:hAnsi="Arial"/>
          <w:bCs/>
          <w:sz w:val="20"/>
          <w:szCs w:val="20"/>
        </w:rPr>
        <w:t>6</w:t>
      </w:r>
      <w:r w:rsidRPr="00415CF5">
        <w:rPr>
          <w:rFonts w:ascii="Arial" w:hAnsi="Arial"/>
          <w:bCs/>
          <w:sz w:val="20"/>
          <w:szCs w:val="20"/>
        </w:rPr>
        <w:t>, 14</w:t>
      </w:r>
      <w:r>
        <w:rPr>
          <w:rFonts w:ascii="Arial" w:hAnsi="Arial"/>
          <w:bCs/>
          <w:sz w:val="20"/>
          <w:szCs w:val="20"/>
        </w:rPr>
        <w:t>; highlighted</w:t>
      </w:r>
      <w:r w:rsidRPr="00415CF5">
        <w:rPr>
          <w:rFonts w:ascii="Arial" w:hAnsi="Arial"/>
          <w:bCs/>
          <w:sz w:val="20"/>
          <w:szCs w:val="20"/>
        </w:rPr>
        <w:t xml:space="preserve"> in green</w:t>
      </w:r>
      <w:r>
        <w:rPr>
          <w:rFonts w:ascii="Arial" w:hAnsi="Arial"/>
          <w:bCs/>
          <w:sz w:val="20"/>
          <w:szCs w:val="20"/>
        </w:rPr>
        <w:t>)</w:t>
      </w:r>
      <w:r w:rsidRPr="00415CF5">
        <w:rPr>
          <w:rFonts w:ascii="Arial" w:hAnsi="Arial"/>
          <w:bCs/>
          <w:sz w:val="20"/>
          <w:szCs w:val="20"/>
        </w:rPr>
        <w:t xml:space="preserve"> are connected</w:t>
      </w:r>
      <w:r>
        <w:rPr>
          <w:rFonts w:ascii="Arial" w:hAnsi="Arial"/>
          <w:bCs/>
          <w:sz w:val="20"/>
          <w:szCs w:val="20"/>
        </w:rPr>
        <w:t>. The second best compatible configurations (2, 3, 7, 11; highlighted in blue)</w:t>
      </w:r>
      <w:r w:rsidRPr="00415CF5">
        <w:rPr>
          <w:rFonts w:ascii="Arial" w:hAnsi="Arial"/>
          <w:bCs/>
          <w:sz w:val="20"/>
          <w:szCs w:val="20"/>
        </w:rPr>
        <w:t xml:space="preserve"> </w:t>
      </w:r>
      <w:r>
        <w:rPr>
          <w:rFonts w:ascii="Arial" w:hAnsi="Arial"/>
          <w:bCs/>
          <w:sz w:val="20"/>
          <w:szCs w:val="20"/>
        </w:rPr>
        <w:t>are also connected. The rest of the compatible configurations (8, 9, 12, 16; highlighted in orange) represent the lease abundant configurations in the solution space. The compatible configurations</w:t>
      </w:r>
      <w:r w:rsidRPr="00415CF5">
        <w:rPr>
          <w:rFonts w:ascii="Arial" w:hAnsi="Arial"/>
          <w:bCs/>
          <w:sz w:val="20"/>
          <w:szCs w:val="20"/>
        </w:rPr>
        <w:t xml:space="preserve"> </w:t>
      </w:r>
      <w:r>
        <w:rPr>
          <w:rFonts w:ascii="Arial" w:hAnsi="Arial"/>
          <w:bCs/>
          <w:sz w:val="20"/>
          <w:szCs w:val="20"/>
        </w:rPr>
        <w:t>form a rather tight cluster</w:t>
      </w:r>
      <w:r w:rsidRPr="00415CF5">
        <w:rPr>
          <w:rFonts w:ascii="Arial" w:hAnsi="Arial"/>
          <w:bCs/>
          <w:sz w:val="20"/>
          <w:szCs w:val="20"/>
        </w:rPr>
        <w:t>.</w:t>
      </w:r>
    </w:p>
    <w:p w14:paraId="2C70FAF3" w14:textId="77777777" w:rsidR="002A75EC" w:rsidRPr="00DD57BB" w:rsidRDefault="002A75EC" w:rsidP="002A75EC">
      <w:pPr>
        <w:spacing w:line="360" w:lineRule="auto"/>
        <w:rPr>
          <w:rFonts w:ascii="Arial" w:hAnsi="Arial"/>
        </w:rPr>
      </w:pPr>
    </w:p>
    <w:p w14:paraId="05581512" w14:textId="77777777" w:rsidR="002A75EC" w:rsidRDefault="002A75EC" w:rsidP="002A75EC">
      <w:pPr>
        <w:autoSpaceDE w:val="0"/>
        <w:autoSpaceDN w:val="0"/>
        <w:adjustRightInd w:val="0"/>
        <w:spacing w:after="0" w:line="360" w:lineRule="auto"/>
        <w:ind w:left="420"/>
        <w:jc w:val="center"/>
        <w:rPr>
          <w:rStyle w:val="jrnl"/>
          <w:rFonts w:ascii="Arial" w:hAnsi="Arial"/>
          <w:sz w:val="24"/>
          <w:szCs w:val="24"/>
        </w:rPr>
      </w:pPr>
    </w:p>
    <w:p w14:paraId="1F2D1062" w14:textId="77777777" w:rsidR="002A75EC" w:rsidRDefault="002A75EC" w:rsidP="002A75EC">
      <w:pPr>
        <w:spacing w:line="240" w:lineRule="auto"/>
        <w:jc w:val="both"/>
        <w:rPr>
          <w:rFonts w:ascii="Arial" w:hAnsi="Arial"/>
          <w:b/>
          <w:sz w:val="20"/>
          <w:szCs w:val="20"/>
        </w:rPr>
      </w:pPr>
      <w:r>
        <w:rPr>
          <w:rFonts w:ascii="Arial" w:hAnsi="Arial"/>
          <w:b/>
          <w:noProof/>
          <w:sz w:val="20"/>
          <w:szCs w:val="20"/>
        </w:rPr>
        <w:lastRenderedPageBreak/>
        <w:drawing>
          <wp:inline distT="0" distB="0" distL="0" distR="0" wp14:anchorId="76740C32" wp14:editId="5D04CE9A">
            <wp:extent cx="5487035" cy="24993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7035" cy="2499360"/>
                    </a:xfrm>
                    <a:prstGeom prst="rect">
                      <a:avLst/>
                    </a:prstGeom>
                    <a:noFill/>
                  </pic:spPr>
                </pic:pic>
              </a:graphicData>
            </a:graphic>
          </wp:inline>
        </w:drawing>
      </w:r>
    </w:p>
    <w:p w14:paraId="237A7ECE" w14:textId="1E982F27" w:rsidR="00074611" w:rsidRDefault="002A75EC" w:rsidP="002A75EC">
      <w:pPr>
        <w:spacing w:line="240" w:lineRule="auto"/>
        <w:jc w:val="both"/>
        <w:rPr>
          <w:rFonts w:ascii="Arial" w:hAnsi="Arial"/>
          <w:bCs/>
          <w:sz w:val="20"/>
          <w:szCs w:val="20"/>
        </w:rPr>
      </w:pPr>
      <w:r>
        <w:rPr>
          <w:rFonts w:ascii="Arial" w:hAnsi="Arial"/>
          <w:b/>
          <w:sz w:val="20"/>
          <w:szCs w:val="20"/>
        </w:rPr>
        <w:t>Figure S</w:t>
      </w:r>
      <w:r w:rsidR="0010516C">
        <w:rPr>
          <w:rFonts w:ascii="Arial" w:hAnsi="Arial"/>
          <w:b/>
          <w:sz w:val="20"/>
          <w:szCs w:val="20"/>
        </w:rPr>
        <w:t>7</w:t>
      </w:r>
      <w:r w:rsidRPr="00EA111B">
        <w:rPr>
          <w:rFonts w:ascii="Arial" w:hAnsi="Arial"/>
          <w:b/>
          <w:sz w:val="20"/>
          <w:szCs w:val="20"/>
        </w:rPr>
        <w:t>. Compatibility ratio in different topological configurations.</w:t>
      </w:r>
      <w:r>
        <w:rPr>
          <w:rFonts w:ascii="Arial" w:hAnsi="Arial"/>
          <w:bCs/>
          <w:sz w:val="20"/>
          <w:szCs w:val="20"/>
        </w:rPr>
        <w:t xml:space="preserve"> Compatibility ratio for each configuration is defined as the number of parameter sets working with this configuration divided by the number of the parameter sets working for all the configurations collectively.</w:t>
      </w:r>
    </w:p>
    <w:p w14:paraId="055DA242" w14:textId="77777777" w:rsidR="00074611" w:rsidRDefault="00074611" w:rsidP="00074611">
      <w:pPr>
        <w:rPr>
          <w:rFonts w:ascii="Arial" w:hAnsi="Arial"/>
          <w:b/>
          <w:bCs/>
          <w:sz w:val="24"/>
          <w:szCs w:val="24"/>
        </w:rPr>
      </w:pPr>
    </w:p>
    <w:p w14:paraId="74268229" w14:textId="77777777" w:rsidR="00074611" w:rsidRDefault="00074611" w:rsidP="00074611">
      <w:pPr>
        <w:rPr>
          <w:rFonts w:ascii="Arial" w:hAnsi="Arial"/>
          <w:b/>
          <w:bCs/>
          <w:sz w:val="24"/>
          <w:szCs w:val="24"/>
        </w:rPr>
      </w:pPr>
    </w:p>
    <w:p w14:paraId="3FB190E1" w14:textId="77777777" w:rsidR="00074611" w:rsidRPr="002A75EC" w:rsidRDefault="00074611" w:rsidP="00074611">
      <w:pPr>
        <w:rPr>
          <w:rFonts w:ascii="Arial" w:hAnsi="Arial"/>
          <w:b/>
          <w:bCs/>
          <w:sz w:val="24"/>
          <w:szCs w:val="24"/>
        </w:rPr>
      </w:pPr>
      <w:r w:rsidRPr="002A75EC">
        <w:rPr>
          <w:rFonts w:ascii="Arial" w:hAnsi="Arial"/>
          <w:b/>
          <w:bCs/>
          <w:sz w:val="24"/>
          <w:szCs w:val="24"/>
        </w:rPr>
        <w:t>Ref</w:t>
      </w:r>
      <w:r>
        <w:rPr>
          <w:rFonts w:ascii="Arial" w:hAnsi="Arial"/>
          <w:b/>
          <w:bCs/>
          <w:sz w:val="24"/>
          <w:szCs w:val="24"/>
        </w:rPr>
        <w:t>e</w:t>
      </w:r>
      <w:r w:rsidRPr="002A75EC">
        <w:rPr>
          <w:rFonts w:ascii="Arial" w:hAnsi="Arial"/>
          <w:b/>
          <w:bCs/>
          <w:sz w:val="24"/>
          <w:szCs w:val="24"/>
        </w:rPr>
        <w:t>rences</w:t>
      </w:r>
    </w:p>
    <w:p w14:paraId="1A0FDB36" w14:textId="77777777" w:rsidR="00074611" w:rsidRPr="009022B6" w:rsidRDefault="00074611" w:rsidP="00074611">
      <w:pPr>
        <w:pStyle w:val="EndNoteBibliography"/>
        <w:ind w:left="720" w:hanging="720"/>
      </w:pPr>
      <w:r>
        <w:fldChar w:fldCharType="begin"/>
      </w:r>
      <w:r>
        <w:instrText xml:space="preserve"> ADDIN EN.REFLIST </w:instrText>
      </w:r>
      <w:r>
        <w:fldChar w:fldCharType="separate"/>
      </w:r>
      <w:r w:rsidRPr="009022B6">
        <w:t>1.</w:t>
      </w:r>
      <w:r w:rsidRPr="009022B6">
        <w:tab/>
        <w:t xml:space="preserve">Zhou R, Jackson L, Shadle G, Nakashima J, Temple S, Chen F, Dixon RA: </w:t>
      </w:r>
      <w:r w:rsidRPr="009022B6">
        <w:rPr>
          <w:b/>
        </w:rPr>
        <w:t>Distinct cinnamoyl CoA reductases involved in parallel routes to lignin in Medicago truncatula.</w:t>
      </w:r>
      <w:r w:rsidRPr="009022B6">
        <w:t xml:space="preserve"> </w:t>
      </w:r>
      <w:r w:rsidRPr="009022B6">
        <w:rPr>
          <w:i/>
        </w:rPr>
        <w:t xml:space="preserve">Proceedings of the National Academy of Sciences of the United States of America </w:t>
      </w:r>
      <w:r w:rsidRPr="009022B6">
        <w:t xml:space="preserve">2010, </w:t>
      </w:r>
      <w:r w:rsidRPr="009022B6">
        <w:rPr>
          <w:b/>
        </w:rPr>
        <w:t>107:</w:t>
      </w:r>
      <w:r w:rsidRPr="009022B6">
        <w:t>17803-17808.</w:t>
      </w:r>
    </w:p>
    <w:p w14:paraId="2D5F64FA" w14:textId="6D59676D" w:rsidR="00074611" w:rsidRDefault="00074611" w:rsidP="00074611">
      <w:pPr>
        <w:spacing w:line="240" w:lineRule="auto"/>
        <w:jc w:val="both"/>
        <w:rPr>
          <w:rFonts w:ascii="Arial" w:hAnsi="Arial"/>
          <w:bCs/>
          <w:sz w:val="20"/>
          <w:szCs w:val="20"/>
        </w:rPr>
      </w:pPr>
      <w:r>
        <w:fldChar w:fldCharType="end"/>
      </w:r>
    </w:p>
    <w:p w14:paraId="3493CD54" w14:textId="1A118A1A" w:rsidR="00C822A7" w:rsidRPr="00226E27" w:rsidRDefault="00C822A7" w:rsidP="00226E27">
      <w:pPr>
        <w:spacing w:line="240" w:lineRule="auto"/>
        <w:jc w:val="both"/>
        <w:rPr>
          <w:rFonts w:ascii="Arial" w:hAnsi="Arial"/>
          <w:sz w:val="20"/>
          <w:szCs w:val="20"/>
        </w:rPr>
      </w:pPr>
    </w:p>
    <w:sectPr w:rsidR="00C822A7" w:rsidRPr="00226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edcentr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50prr5rrspvvnezxdkpr5fwrs2f25tx9er9&quot;&gt;switch_ref&lt;record-ids&gt;&lt;item&gt;51&lt;/item&gt;&lt;/record-ids&gt;&lt;/item&gt;&lt;/Libraries&gt;"/>
  </w:docVars>
  <w:rsids>
    <w:rsidRoot w:val="006E35B0"/>
    <w:rsid w:val="00000CF4"/>
    <w:rsid w:val="000368A1"/>
    <w:rsid w:val="00045968"/>
    <w:rsid w:val="00074611"/>
    <w:rsid w:val="000A7AEC"/>
    <w:rsid w:val="0010516C"/>
    <w:rsid w:val="001F02B0"/>
    <w:rsid w:val="00226E27"/>
    <w:rsid w:val="00284FAF"/>
    <w:rsid w:val="002A75EC"/>
    <w:rsid w:val="0030689C"/>
    <w:rsid w:val="003368B9"/>
    <w:rsid w:val="003B1024"/>
    <w:rsid w:val="003B4180"/>
    <w:rsid w:val="003B7A1B"/>
    <w:rsid w:val="003D457C"/>
    <w:rsid w:val="00507659"/>
    <w:rsid w:val="00541E6A"/>
    <w:rsid w:val="00607610"/>
    <w:rsid w:val="0063401F"/>
    <w:rsid w:val="00644D76"/>
    <w:rsid w:val="00653C09"/>
    <w:rsid w:val="006638F2"/>
    <w:rsid w:val="00670A27"/>
    <w:rsid w:val="006E35B0"/>
    <w:rsid w:val="00746B9B"/>
    <w:rsid w:val="00766354"/>
    <w:rsid w:val="007738D9"/>
    <w:rsid w:val="007B1796"/>
    <w:rsid w:val="007F0EAC"/>
    <w:rsid w:val="008B6B41"/>
    <w:rsid w:val="008E5D33"/>
    <w:rsid w:val="009022B6"/>
    <w:rsid w:val="00917EB0"/>
    <w:rsid w:val="0092668C"/>
    <w:rsid w:val="00A509B5"/>
    <w:rsid w:val="00A60B4A"/>
    <w:rsid w:val="00A872B3"/>
    <w:rsid w:val="00B22AF4"/>
    <w:rsid w:val="00B24223"/>
    <w:rsid w:val="00BD56D5"/>
    <w:rsid w:val="00C052F7"/>
    <w:rsid w:val="00C46747"/>
    <w:rsid w:val="00C822A7"/>
    <w:rsid w:val="00CF5027"/>
    <w:rsid w:val="00D931FA"/>
    <w:rsid w:val="00DE2A22"/>
    <w:rsid w:val="00F2172E"/>
    <w:rsid w:val="00F57F78"/>
    <w:rsid w:val="00FB1768"/>
    <w:rsid w:val="00FD63FF"/>
    <w:rsid w:val="00FF77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DF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5B0"/>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rnl">
    <w:name w:val="jrnl"/>
    <w:rsid w:val="006E35B0"/>
  </w:style>
  <w:style w:type="character" w:styleId="CommentReference">
    <w:name w:val="annotation reference"/>
    <w:basedOn w:val="DefaultParagraphFont"/>
    <w:uiPriority w:val="99"/>
    <w:semiHidden/>
    <w:unhideWhenUsed/>
    <w:rsid w:val="006E35B0"/>
    <w:rPr>
      <w:sz w:val="16"/>
      <w:szCs w:val="16"/>
    </w:rPr>
  </w:style>
  <w:style w:type="paragraph" w:styleId="CommentText">
    <w:name w:val="annotation text"/>
    <w:basedOn w:val="Normal"/>
    <w:link w:val="CommentTextChar"/>
    <w:uiPriority w:val="99"/>
    <w:unhideWhenUsed/>
    <w:rsid w:val="006E35B0"/>
    <w:pPr>
      <w:spacing w:line="240" w:lineRule="auto"/>
    </w:pPr>
    <w:rPr>
      <w:sz w:val="20"/>
      <w:szCs w:val="20"/>
    </w:rPr>
  </w:style>
  <w:style w:type="character" w:customStyle="1" w:styleId="CommentTextChar">
    <w:name w:val="Comment Text Char"/>
    <w:basedOn w:val="DefaultParagraphFont"/>
    <w:link w:val="CommentText"/>
    <w:uiPriority w:val="99"/>
    <w:rsid w:val="006E35B0"/>
    <w:rPr>
      <w:rFonts w:ascii="Calibri" w:eastAsia="Calibri" w:hAnsi="Calibri" w:cs="Arial"/>
      <w:sz w:val="20"/>
      <w:szCs w:val="20"/>
    </w:rPr>
  </w:style>
  <w:style w:type="paragraph" w:styleId="BalloonText">
    <w:name w:val="Balloon Text"/>
    <w:basedOn w:val="Normal"/>
    <w:link w:val="BalloonTextChar"/>
    <w:uiPriority w:val="99"/>
    <w:semiHidden/>
    <w:unhideWhenUsed/>
    <w:rsid w:val="006E35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5B0"/>
    <w:rPr>
      <w:rFonts w:ascii="Segoe UI" w:eastAsia="Calibri" w:hAnsi="Segoe UI" w:cs="Segoe UI"/>
      <w:sz w:val="18"/>
      <w:szCs w:val="18"/>
    </w:rPr>
  </w:style>
  <w:style w:type="paragraph" w:customStyle="1" w:styleId="EndNoteBibliographyTitle">
    <w:name w:val="EndNote Bibliography Title"/>
    <w:basedOn w:val="Normal"/>
    <w:link w:val="EndNoteBibliographyTitleChar"/>
    <w:rsid w:val="009022B6"/>
    <w:pPr>
      <w:spacing w:after="0"/>
      <w:jc w:val="center"/>
    </w:pPr>
    <w:rPr>
      <w:noProof/>
    </w:rPr>
  </w:style>
  <w:style w:type="character" w:customStyle="1" w:styleId="EndNoteBibliographyTitleChar">
    <w:name w:val="EndNote Bibliography Title Char"/>
    <w:basedOn w:val="DefaultParagraphFont"/>
    <w:link w:val="EndNoteBibliographyTitle"/>
    <w:rsid w:val="009022B6"/>
    <w:rPr>
      <w:rFonts w:ascii="Calibri" w:eastAsia="Calibri" w:hAnsi="Calibri" w:cs="Arial"/>
      <w:noProof/>
    </w:rPr>
  </w:style>
  <w:style w:type="paragraph" w:customStyle="1" w:styleId="EndNoteBibliography">
    <w:name w:val="EndNote Bibliography"/>
    <w:basedOn w:val="Normal"/>
    <w:link w:val="EndNoteBibliographyChar"/>
    <w:rsid w:val="009022B6"/>
    <w:pPr>
      <w:spacing w:line="240" w:lineRule="auto"/>
    </w:pPr>
    <w:rPr>
      <w:noProof/>
    </w:rPr>
  </w:style>
  <w:style w:type="character" w:customStyle="1" w:styleId="EndNoteBibliographyChar">
    <w:name w:val="EndNote Bibliography Char"/>
    <w:basedOn w:val="DefaultParagraphFont"/>
    <w:link w:val="EndNoteBibliography"/>
    <w:rsid w:val="009022B6"/>
    <w:rPr>
      <w:rFonts w:ascii="Calibri" w:eastAsia="Calibri" w:hAnsi="Calibri" w:cs="Arial"/>
      <w:noProof/>
    </w:rPr>
  </w:style>
  <w:style w:type="character" w:styleId="Hyperlink">
    <w:name w:val="Hyperlink"/>
    <w:basedOn w:val="DefaultParagraphFont"/>
    <w:uiPriority w:val="99"/>
    <w:unhideWhenUsed/>
    <w:rsid w:val="009022B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5B0"/>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rnl">
    <w:name w:val="jrnl"/>
    <w:rsid w:val="006E35B0"/>
  </w:style>
  <w:style w:type="character" w:styleId="CommentReference">
    <w:name w:val="annotation reference"/>
    <w:basedOn w:val="DefaultParagraphFont"/>
    <w:uiPriority w:val="99"/>
    <w:semiHidden/>
    <w:unhideWhenUsed/>
    <w:rsid w:val="006E35B0"/>
    <w:rPr>
      <w:sz w:val="16"/>
      <w:szCs w:val="16"/>
    </w:rPr>
  </w:style>
  <w:style w:type="paragraph" w:styleId="CommentText">
    <w:name w:val="annotation text"/>
    <w:basedOn w:val="Normal"/>
    <w:link w:val="CommentTextChar"/>
    <w:uiPriority w:val="99"/>
    <w:unhideWhenUsed/>
    <w:rsid w:val="006E35B0"/>
    <w:pPr>
      <w:spacing w:line="240" w:lineRule="auto"/>
    </w:pPr>
    <w:rPr>
      <w:sz w:val="20"/>
      <w:szCs w:val="20"/>
    </w:rPr>
  </w:style>
  <w:style w:type="character" w:customStyle="1" w:styleId="CommentTextChar">
    <w:name w:val="Comment Text Char"/>
    <w:basedOn w:val="DefaultParagraphFont"/>
    <w:link w:val="CommentText"/>
    <w:uiPriority w:val="99"/>
    <w:rsid w:val="006E35B0"/>
    <w:rPr>
      <w:rFonts w:ascii="Calibri" w:eastAsia="Calibri" w:hAnsi="Calibri" w:cs="Arial"/>
      <w:sz w:val="20"/>
      <w:szCs w:val="20"/>
    </w:rPr>
  </w:style>
  <w:style w:type="paragraph" w:styleId="BalloonText">
    <w:name w:val="Balloon Text"/>
    <w:basedOn w:val="Normal"/>
    <w:link w:val="BalloonTextChar"/>
    <w:uiPriority w:val="99"/>
    <w:semiHidden/>
    <w:unhideWhenUsed/>
    <w:rsid w:val="006E35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5B0"/>
    <w:rPr>
      <w:rFonts w:ascii="Segoe UI" w:eastAsia="Calibri" w:hAnsi="Segoe UI" w:cs="Segoe UI"/>
      <w:sz w:val="18"/>
      <w:szCs w:val="18"/>
    </w:rPr>
  </w:style>
  <w:style w:type="paragraph" w:customStyle="1" w:styleId="EndNoteBibliographyTitle">
    <w:name w:val="EndNote Bibliography Title"/>
    <w:basedOn w:val="Normal"/>
    <w:link w:val="EndNoteBibliographyTitleChar"/>
    <w:rsid w:val="009022B6"/>
    <w:pPr>
      <w:spacing w:after="0"/>
      <w:jc w:val="center"/>
    </w:pPr>
    <w:rPr>
      <w:noProof/>
    </w:rPr>
  </w:style>
  <w:style w:type="character" w:customStyle="1" w:styleId="EndNoteBibliographyTitleChar">
    <w:name w:val="EndNote Bibliography Title Char"/>
    <w:basedOn w:val="DefaultParagraphFont"/>
    <w:link w:val="EndNoteBibliographyTitle"/>
    <w:rsid w:val="009022B6"/>
    <w:rPr>
      <w:rFonts w:ascii="Calibri" w:eastAsia="Calibri" w:hAnsi="Calibri" w:cs="Arial"/>
      <w:noProof/>
    </w:rPr>
  </w:style>
  <w:style w:type="paragraph" w:customStyle="1" w:styleId="EndNoteBibliography">
    <w:name w:val="EndNote Bibliography"/>
    <w:basedOn w:val="Normal"/>
    <w:link w:val="EndNoteBibliographyChar"/>
    <w:rsid w:val="009022B6"/>
    <w:pPr>
      <w:spacing w:line="240" w:lineRule="auto"/>
    </w:pPr>
    <w:rPr>
      <w:noProof/>
    </w:rPr>
  </w:style>
  <w:style w:type="character" w:customStyle="1" w:styleId="EndNoteBibliographyChar">
    <w:name w:val="EndNote Bibliography Char"/>
    <w:basedOn w:val="DefaultParagraphFont"/>
    <w:link w:val="EndNoteBibliography"/>
    <w:rsid w:val="009022B6"/>
    <w:rPr>
      <w:rFonts w:ascii="Calibri" w:eastAsia="Calibri" w:hAnsi="Calibri" w:cs="Arial"/>
      <w:noProof/>
    </w:rPr>
  </w:style>
  <w:style w:type="character" w:styleId="Hyperlink">
    <w:name w:val="Hyperlink"/>
    <w:basedOn w:val="DefaultParagraphFont"/>
    <w:uiPriority w:val="99"/>
    <w:unhideWhenUsed/>
    <w:rsid w:val="009022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GT - Biomedical Engineering</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Faraji Mosalman, Mozhdeh Sadat</dc:creator>
  <cp:keywords/>
  <dc:description/>
  <cp:lastModifiedBy>Mostaffa</cp:lastModifiedBy>
  <cp:revision>8</cp:revision>
  <dcterms:created xsi:type="dcterms:W3CDTF">2015-09-11T17:32:00Z</dcterms:created>
  <dcterms:modified xsi:type="dcterms:W3CDTF">2015-09-13T16:04:00Z</dcterms:modified>
</cp:coreProperties>
</file>