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01" w:rsidRPr="0029453B" w:rsidRDefault="00A53F01" w:rsidP="00A53F01">
      <w:pPr>
        <w:spacing w:line="48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29453B">
        <w:rPr>
          <w:rFonts w:ascii="Times New Roman" w:eastAsia="SimSun" w:hAnsi="Times New Roman" w:cs="Times New Roman"/>
          <w:noProof/>
          <w:sz w:val="24"/>
          <w:szCs w:val="24"/>
          <w:lang w:eastAsia="en-US"/>
        </w:rPr>
        <w:drawing>
          <wp:inline distT="0" distB="0" distL="0" distR="0">
            <wp:extent cx="3381447" cy="2576945"/>
            <wp:effectExtent l="0" t="0" r="0" b="0"/>
            <wp:docPr id="1" name="图片 1" descr="C:\Users\Mike Yang\AppData\Local\Microsoft\Windows\INetCache\Content.Word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ike Yang\AppData\Local\Microsoft\Windows\INetCache\Content.Word\Figure S1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640" cy="258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3F01" w:rsidRPr="0029453B" w:rsidRDefault="00A53F01" w:rsidP="00A53F0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29453B">
        <w:rPr>
          <w:rFonts w:ascii="Times New Roman" w:eastAsia="SimSun" w:hAnsi="Times New Roman" w:cs="Times New Roman" w:hint="eastAsia"/>
          <w:b/>
          <w:sz w:val="24"/>
          <w:szCs w:val="24"/>
        </w:rPr>
        <w:t>Figure</w:t>
      </w:r>
      <w:r w:rsidRPr="0029453B">
        <w:rPr>
          <w:rFonts w:ascii="Times New Roman" w:eastAsia="SimSun" w:hAnsi="Times New Roman" w:cs="Times New Roman"/>
          <w:b/>
          <w:sz w:val="24"/>
          <w:szCs w:val="24"/>
        </w:rPr>
        <w:t xml:space="preserve"> S2.</w:t>
      </w:r>
      <w:r w:rsidRPr="0029453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A53F01">
        <w:rPr>
          <w:rFonts w:ascii="Times New Roman" w:eastAsia="SimSun" w:hAnsi="Times New Roman" w:cs="Times New Roman"/>
          <w:sz w:val="24"/>
          <w:szCs w:val="24"/>
        </w:rPr>
        <w:t xml:space="preserve">The contents of total fatty acids (TFA) and triacylglycerol (TAG) in WT and transgenic line Tps3. TFA and TAG contents were performed according to Supplementary Methods M1. </w:t>
      </w:r>
      <w:bookmarkStart w:id="0" w:name="OLE_LINK87"/>
      <w:r w:rsidRPr="00A53F01">
        <w:rPr>
          <w:rFonts w:ascii="Times New Roman" w:hAnsi="Times New Roman"/>
          <w:sz w:val="24"/>
          <w:szCs w:val="24"/>
        </w:rPr>
        <w:t>Error ba</w:t>
      </w:r>
      <w:r w:rsidRPr="0029453B">
        <w:rPr>
          <w:rFonts w:ascii="Times New Roman" w:hAnsi="Times New Roman"/>
          <w:sz w:val="24"/>
          <w:szCs w:val="24"/>
        </w:rPr>
        <w:t xml:space="preserve">rs represent </w:t>
      </w:r>
      <w:proofErr w:type="spellStart"/>
      <w:r w:rsidRPr="0029453B">
        <w:rPr>
          <w:rFonts w:ascii="Times New Roman" w:hAnsi="Times New Roman"/>
          <w:sz w:val="24"/>
          <w:szCs w:val="24"/>
        </w:rPr>
        <w:t>s.d</w:t>
      </w:r>
      <w:proofErr w:type="spellEnd"/>
      <w:r w:rsidRPr="0029453B">
        <w:rPr>
          <w:rFonts w:ascii="Times New Roman" w:hAnsi="Times New Roman"/>
          <w:sz w:val="24"/>
          <w:szCs w:val="24"/>
        </w:rPr>
        <w:t>. (</w:t>
      </w:r>
      <w:r w:rsidRPr="0029453B">
        <w:rPr>
          <w:rFonts w:ascii="Times New Roman" w:hAnsi="Times New Roman"/>
          <w:i/>
          <w:sz w:val="24"/>
          <w:szCs w:val="24"/>
        </w:rPr>
        <w:t>n</w:t>
      </w:r>
      <w:r w:rsidRPr="0029453B">
        <w:rPr>
          <w:rFonts w:ascii="Times New Roman" w:hAnsi="Times New Roman"/>
          <w:sz w:val="24"/>
          <w:szCs w:val="24"/>
        </w:rPr>
        <w:t>=3). An asterisk show</w:t>
      </w:r>
      <w:bookmarkEnd w:id="0"/>
      <w:r w:rsidRPr="0029453B">
        <w:rPr>
          <w:rFonts w:ascii="Times New Roman" w:hAnsi="Times New Roman"/>
          <w:sz w:val="24"/>
          <w:szCs w:val="24"/>
        </w:rPr>
        <w:t>s significant difference from WT cells (</w:t>
      </w:r>
      <w:r w:rsidRPr="0029453B">
        <w:rPr>
          <w:rFonts w:ascii="Times New Roman" w:hAnsi="Times New Roman"/>
          <w:i/>
          <w:sz w:val="24"/>
          <w:szCs w:val="24"/>
        </w:rPr>
        <w:t>t</w:t>
      </w:r>
      <w:r w:rsidRPr="0029453B">
        <w:rPr>
          <w:rFonts w:ascii="Times New Roman" w:hAnsi="Times New Roman"/>
          <w:sz w:val="24"/>
          <w:szCs w:val="24"/>
        </w:rPr>
        <w:t>-test, *</w:t>
      </w:r>
      <w:r w:rsidRPr="0029453B">
        <w:rPr>
          <w:rFonts w:ascii="Times New Roman" w:hAnsi="Times New Roman"/>
          <w:i/>
          <w:sz w:val="24"/>
          <w:szCs w:val="24"/>
        </w:rPr>
        <w:t>P</w:t>
      </w:r>
      <w:r w:rsidRPr="0029453B">
        <w:rPr>
          <w:rFonts w:ascii="Times New Roman" w:hAnsi="Times New Roman"/>
          <w:sz w:val="24"/>
          <w:szCs w:val="24"/>
        </w:rPr>
        <w:t>&lt;0.05).</w:t>
      </w:r>
    </w:p>
    <w:p w:rsidR="00A53F01" w:rsidRPr="0029453B" w:rsidRDefault="00A53F01" w:rsidP="00A53F0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A53F01" w:rsidRPr="0029453B" w:rsidRDefault="004E65C6" w:rsidP="004E65C6">
      <w:pPr>
        <w:spacing w:afterLines="50"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Additional</w:t>
      </w:r>
      <w:r w:rsidR="00A53F01" w:rsidRPr="0029453B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Methods</w:t>
      </w:r>
    </w:p>
    <w:p w:rsidR="00A53F01" w:rsidRPr="0029453B" w:rsidRDefault="00A53F01" w:rsidP="00A53F01">
      <w:pPr>
        <w:tabs>
          <w:tab w:val="left" w:pos="567"/>
        </w:tabs>
        <w:spacing w:line="480" w:lineRule="auto"/>
        <w:ind w:leftChars="1" w:left="2"/>
        <w:rPr>
          <w:rFonts w:ascii="Times New Roman" w:eastAsia="SimSun" w:hAnsi="Times New Roman" w:cs="Times New Roman"/>
          <w:b/>
          <w:sz w:val="24"/>
          <w:szCs w:val="24"/>
        </w:rPr>
      </w:pPr>
      <w:r w:rsidRPr="0029453B">
        <w:rPr>
          <w:rFonts w:ascii="Times New Roman" w:eastAsia="SimSun" w:hAnsi="Times New Roman" w:cs="Times New Roman"/>
          <w:b/>
          <w:sz w:val="24"/>
          <w:szCs w:val="24"/>
        </w:rPr>
        <w:t xml:space="preserve">M1. </w:t>
      </w:r>
      <w:r w:rsidRPr="0029453B"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Lipid extraction and analysis </w:t>
      </w:r>
    </w:p>
    <w:p w:rsidR="00A53F01" w:rsidRPr="0029453B" w:rsidRDefault="00A53F01" w:rsidP="00A53F01">
      <w:pPr>
        <w:spacing w:line="480" w:lineRule="auto"/>
        <w:ind w:firstLine="420"/>
        <w:rPr>
          <w:rFonts w:ascii="Times New Roman" w:eastAsia="SimSun" w:hAnsi="Times New Roman" w:cs="Times New Roman"/>
          <w:bCs/>
          <w:sz w:val="24"/>
          <w:szCs w:val="24"/>
        </w:rPr>
      </w:pP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Lipid extraction from </w:t>
      </w:r>
      <w:r w:rsidRPr="0029453B">
        <w:rPr>
          <w:rFonts w:ascii="Times New Roman" w:eastAsia="SimSun" w:hAnsi="Times New Roman" w:cs="Times New Roman"/>
          <w:bCs/>
          <w:i/>
          <w:sz w:val="24"/>
          <w:szCs w:val="24"/>
        </w:rPr>
        <w:t>Chlorella vulgaris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cells was performed 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according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 to our previously described procedures 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[</w:t>
      </w:r>
      <w:r>
        <w:rPr>
          <w:rFonts w:ascii="Times New Roman" w:eastAsia="SimSun" w:hAnsi="Times New Roman" w:cs="Times New Roman"/>
          <w:bCs/>
          <w:sz w:val="24"/>
          <w:szCs w:val="24"/>
        </w:rPr>
        <w:t>1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]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. 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Neutral lipids were separated on a Silica gel 60 TLC plate (EMD Chemicals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>,</w:t>
      </w:r>
      <w:r w:rsidRPr="0029453B">
        <w:rPr>
          <w:rFonts w:ascii="Calibri" w:eastAsia="SimSun" w:hAnsi="Calibri" w:cs="Times New Roman"/>
        </w:rPr>
        <w:t xml:space="preserve"> 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Merck, Darmstadt, Germany) using a mixture of hexane/</w:t>
      </w:r>
      <w:proofErr w:type="spellStart"/>
      <w:r w:rsidRPr="0029453B">
        <w:rPr>
          <w:rFonts w:ascii="Times New Roman" w:eastAsia="SimSun" w:hAnsi="Times New Roman" w:cs="Times New Roman"/>
          <w:bCs/>
          <w:sz w:val="24"/>
          <w:szCs w:val="24"/>
        </w:rPr>
        <w:t>tert-butylmethyl</w:t>
      </w:r>
      <w:proofErr w:type="spellEnd"/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 ether/acetic acid (80</w:t>
      </w:r>
      <w:r w:rsidRPr="0029453B">
        <w:rPr>
          <w:rFonts w:ascii="SimSun" w:eastAsia="SimSun" w:hAnsi="SimSun" w:cs="SimSun" w:hint="eastAsia"/>
          <w:bCs/>
          <w:sz w:val="24"/>
          <w:szCs w:val="24"/>
        </w:rPr>
        <w:t>/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20</w:t>
      </w:r>
      <w:r w:rsidRPr="0029453B">
        <w:rPr>
          <w:rFonts w:ascii="SimSun" w:eastAsia="SimSun" w:hAnsi="SimSun" w:cs="SimSun" w:hint="eastAsia"/>
          <w:bCs/>
          <w:sz w:val="24"/>
          <w:szCs w:val="24"/>
        </w:rPr>
        <w:t>/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2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>,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>by volume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) as the mobile phase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>,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 while polar lipids were separated on a TLC plate using a mixture of chloroform/methanol/acetic acid/water (25/4/0.7/0.3, by volume) as the mobile phase. Lipids were detected by spraying the TLC plate with 10% CuSO</w:t>
      </w:r>
      <w:r w:rsidRPr="0029453B">
        <w:rPr>
          <w:rFonts w:ascii="Times New Roman" w:eastAsia="SimSun" w:hAnsi="Times New Roman" w:cs="Times New Roman"/>
          <w:bCs/>
          <w:sz w:val="24"/>
          <w:szCs w:val="24"/>
          <w:vertAlign w:val="subscript"/>
        </w:rPr>
        <w:t>4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 in 8% phosphoric acid, followed by charring at 180°C for 3 min. For quantification, lipids on TLC plate 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lastRenderedPageBreak/>
        <w:t xml:space="preserve">were visualized with iodine vapor, recovered, </w:t>
      </w:r>
      <w:proofErr w:type="spellStart"/>
      <w:r w:rsidRPr="0029453B">
        <w:rPr>
          <w:rFonts w:ascii="Times New Roman" w:eastAsia="SimSun" w:hAnsi="Times New Roman" w:cs="Times New Roman"/>
          <w:bCs/>
          <w:sz w:val="24"/>
          <w:szCs w:val="24"/>
        </w:rPr>
        <w:t>transesterified</w:t>
      </w:r>
      <w:proofErr w:type="spellEnd"/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 and analyzed by GC-MS. Briefly, fatty acid methyl esters (FAMEs) were prepared by direct transmethylation of lipids with 1% sulfuric acid in methanol. </w:t>
      </w:r>
      <w:r w:rsidRPr="0029453B">
        <w:rPr>
          <w:rFonts w:ascii="Times New Roman" w:eastAsia="SimSun" w:hAnsi="Times New Roman" w:cs="Times New Roman" w:hint="eastAsia"/>
          <w:bCs/>
          <w:sz w:val="24"/>
          <w:szCs w:val="24"/>
        </w:rPr>
        <w:t xml:space="preserve">The resulting 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FAMEs were separated and identified by GC-MS using a PerkinElmer </w:t>
      </w:r>
      <w:proofErr w:type="spellStart"/>
      <w:r w:rsidRPr="0029453B">
        <w:rPr>
          <w:rFonts w:ascii="Times New Roman" w:eastAsia="SimSun" w:hAnsi="Times New Roman" w:cs="Times New Roman"/>
          <w:bCs/>
          <w:sz w:val="24"/>
          <w:szCs w:val="24"/>
        </w:rPr>
        <w:t>CLarus</w:t>
      </w:r>
      <w:proofErr w:type="spellEnd"/>
      <w:r w:rsidRPr="0029453B">
        <w:rPr>
          <w:rFonts w:ascii="Times New Roman" w:eastAsia="SimSun" w:hAnsi="Times New Roman" w:cs="Times New Roman"/>
          <w:bCs/>
          <w:sz w:val="24"/>
          <w:szCs w:val="24"/>
        </w:rPr>
        <w:t xml:space="preserve"> 680 capillary gas chromatograph equipped with a SQ8 mass spectrometry detector and a polar TR-WAX column (Thermo Scientific; length 30 m, diameter 0.25 µm, film thickness 0.25 µm). Helium was used as the carrier gas. Samples were injected in split mode (5:1 split ratio) at an oven temperature of 45°C with an injection volume of 1 µL. The oven temperature program consisted of an initial hold at 45°C for 1.5 min, ramping to 150°C at 15 min then to 240°C at 30 min, and a final hold at 240°C for 3 min. The injector was kept at 225°C, the flow rate of carrier gas was 1.45 mL min</w:t>
      </w:r>
      <w:r w:rsidRPr="0029453B">
        <w:rPr>
          <w:rFonts w:ascii="Times New Roman" w:eastAsia="SimSun" w:hAnsi="Times New Roman" w:cs="Times New Roman"/>
          <w:bCs/>
          <w:sz w:val="24"/>
          <w:szCs w:val="24"/>
          <w:vertAlign w:val="superscript"/>
        </w:rPr>
        <w:t>-1</w:t>
      </w:r>
      <w:r w:rsidRPr="0029453B">
        <w:rPr>
          <w:rFonts w:ascii="Times New Roman" w:eastAsia="SimSun" w:hAnsi="Times New Roman" w:cs="Times New Roman"/>
          <w:bCs/>
          <w:sz w:val="24"/>
          <w:szCs w:val="24"/>
        </w:rPr>
        <w:t>, and the ionization energy was 70 eV. FAMEs were quantified by using a FAME mixture standard (Sigma-Aldrich).</w:t>
      </w:r>
    </w:p>
    <w:p w:rsidR="00A53F01" w:rsidRPr="0029453B" w:rsidRDefault="00A53F01" w:rsidP="00A53F0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A53F01" w:rsidRPr="0029453B" w:rsidRDefault="00A53F01" w:rsidP="00A53F01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</w:p>
    <w:p w:rsidR="00A53F01" w:rsidRPr="0029453B" w:rsidRDefault="00A53F01" w:rsidP="00A53F01">
      <w:pPr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References</w:t>
      </w:r>
      <w:r w:rsidRPr="0029453B">
        <w:rPr>
          <w:rFonts w:ascii="Times New Roman" w:eastAsia="SimSun" w:hAnsi="Times New Roman" w:cs="Times New Roman"/>
          <w:b/>
          <w:sz w:val="24"/>
          <w:szCs w:val="24"/>
        </w:rPr>
        <w:t>:</w:t>
      </w:r>
    </w:p>
    <w:p w:rsidR="00340234" w:rsidRPr="00A53F01" w:rsidRDefault="001275EB" w:rsidP="00A53F01">
      <w:pPr>
        <w:numPr>
          <w:ilvl w:val="0"/>
          <w:numId w:val="1"/>
        </w:num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Liu J, Han D, Yoon K, Hu Q, Li</w:t>
      </w:r>
      <w:r w:rsidR="00A53F01" w:rsidRPr="0029453B">
        <w:rPr>
          <w:rFonts w:ascii="Times New Roman" w:eastAsia="SimSun" w:hAnsi="Times New Roman" w:cs="Times New Roman"/>
          <w:sz w:val="24"/>
          <w:szCs w:val="24"/>
        </w:rPr>
        <w:t xml:space="preserve"> Y. </w:t>
      </w:r>
      <w:bookmarkStart w:id="1" w:name="OLE_LINK168"/>
      <w:bookmarkStart w:id="2" w:name="OLE_LINK169"/>
      <w:r w:rsidR="00A53F01" w:rsidRPr="0029453B">
        <w:rPr>
          <w:rFonts w:ascii="Times New Roman" w:eastAsia="SimSun" w:hAnsi="Times New Roman" w:cs="Times New Roman"/>
          <w:sz w:val="24"/>
          <w:szCs w:val="24"/>
        </w:rPr>
        <w:t xml:space="preserve">Characterization of type 2 diacylglycerol acyltransferases in </w:t>
      </w:r>
      <w:r w:rsidR="00A53F01" w:rsidRPr="0029453B">
        <w:rPr>
          <w:rFonts w:ascii="Times New Roman" w:eastAsia="SimSun" w:hAnsi="Times New Roman" w:cs="Times New Roman"/>
          <w:i/>
          <w:sz w:val="24"/>
          <w:szCs w:val="24"/>
        </w:rPr>
        <w:t>Chlamydomonas reinhardtii</w:t>
      </w:r>
      <w:r w:rsidR="00A53F01" w:rsidRPr="0029453B">
        <w:rPr>
          <w:rFonts w:ascii="Times New Roman" w:eastAsia="SimSun" w:hAnsi="Times New Roman" w:cs="Times New Roman"/>
          <w:sz w:val="24"/>
          <w:szCs w:val="24"/>
        </w:rPr>
        <w:t xml:space="preserve"> reveals their distinct substrate specificities and functions in triacylglycerol biosynthesis</w:t>
      </w:r>
      <w:bookmarkEnd w:id="1"/>
      <w:bookmarkEnd w:id="2"/>
      <w:r w:rsidR="00A53F01" w:rsidRPr="0029453B">
        <w:rPr>
          <w:rFonts w:ascii="Times New Roman" w:eastAsia="SimSun" w:hAnsi="Times New Roman" w:cs="Times New Roman"/>
          <w:sz w:val="24"/>
          <w:szCs w:val="24"/>
        </w:rPr>
        <w:t xml:space="preserve">. </w:t>
      </w:r>
      <w:r>
        <w:rPr>
          <w:rFonts w:ascii="Times New Roman" w:eastAsia="SimSun" w:hAnsi="Times New Roman" w:cs="Times New Roman"/>
          <w:sz w:val="24"/>
          <w:szCs w:val="24"/>
        </w:rPr>
        <w:t>Plant J. 2016;86:</w:t>
      </w:r>
      <w:r w:rsidR="00A53F01" w:rsidRPr="0029453B">
        <w:rPr>
          <w:rFonts w:ascii="Times New Roman" w:eastAsia="SimSun" w:hAnsi="Times New Roman" w:cs="Times New Roman"/>
          <w:sz w:val="24"/>
          <w:szCs w:val="24"/>
        </w:rPr>
        <w:t>3–19.</w:t>
      </w:r>
      <w:bookmarkStart w:id="3" w:name="_GoBack"/>
      <w:bookmarkEnd w:id="3"/>
    </w:p>
    <w:sectPr w:rsidR="00340234" w:rsidRPr="00A53F01" w:rsidSect="00B15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864E18"/>
    <w:multiLevelType w:val="hybridMultilevel"/>
    <w:tmpl w:val="6D46A326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53F01"/>
    <w:rsid w:val="001275EB"/>
    <w:rsid w:val="00340234"/>
    <w:rsid w:val="004E65C6"/>
    <w:rsid w:val="00A53F01"/>
    <w:rsid w:val="00A57BC2"/>
    <w:rsid w:val="00B15E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F01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65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6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333</Words>
  <Characters>1899</Characters>
  <Application>Microsoft Office Word</Application>
  <DocSecurity>0</DocSecurity>
  <Lines>15</Lines>
  <Paragraphs>4</Paragraphs>
  <ScaleCrop>false</ScaleCrop>
  <Company>微软中国</Company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asdasd</dc:creator>
  <cp:keywords/>
  <dc:description/>
  <cp:lastModifiedBy>0011692</cp:lastModifiedBy>
  <cp:revision>2</cp:revision>
  <dcterms:created xsi:type="dcterms:W3CDTF">2017-04-06T12:18:00Z</dcterms:created>
  <dcterms:modified xsi:type="dcterms:W3CDTF">2017-09-27T02:26:00Z</dcterms:modified>
</cp:coreProperties>
</file>