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5B31" w:rsidRDefault="00AE1C5F" w:rsidP="00386ABA">
      <w:pPr>
        <w:pStyle w:val="Heading2"/>
      </w:pPr>
      <w:r>
        <w:t>Additional file</w:t>
      </w:r>
    </w:p>
    <w:p w:rsidR="00386ABA" w:rsidRPr="00386ABA" w:rsidRDefault="00386ABA" w:rsidP="00386ABA"/>
    <w:p w:rsidR="00386ABA" w:rsidRPr="00386ABA" w:rsidRDefault="008E6322" w:rsidP="008E6322">
      <w:pPr>
        <w:pStyle w:val="PlainText"/>
        <w:jc w:val="both"/>
        <w:rPr>
          <w:rFonts w:asciiTheme="minorHAnsi" w:hAnsiTheme="minorHAnsi"/>
          <w:color w:val="000000" w:themeColor="text1"/>
          <w:szCs w:val="22"/>
        </w:rPr>
      </w:pPr>
      <w:r w:rsidRPr="008E6322">
        <w:rPr>
          <w:rFonts w:asciiTheme="minorHAnsi" w:hAnsiTheme="minorHAnsi"/>
          <w:color w:val="000000" w:themeColor="text1"/>
          <w:szCs w:val="22"/>
          <w:u w:val="single"/>
        </w:rPr>
        <w:t>Working Capital</w:t>
      </w:r>
      <w:r>
        <w:rPr>
          <w:rFonts w:asciiTheme="minorHAnsi" w:hAnsiTheme="minorHAnsi"/>
          <w:color w:val="000000" w:themeColor="text1"/>
          <w:szCs w:val="22"/>
        </w:rPr>
        <w:t>. P</w:t>
      </w:r>
      <w:r w:rsidR="00386ABA" w:rsidRPr="00386ABA">
        <w:rPr>
          <w:rFonts w:asciiTheme="minorHAnsi" w:hAnsiTheme="minorHAnsi"/>
          <w:color w:val="000000" w:themeColor="text1"/>
          <w:szCs w:val="22"/>
        </w:rPr>
        <w:t xml:space="preserve">eters and Timmerhaus  </w:t>
      </w:r>
      <w:r w:rsidR="005C0FC5" w:rsidRPr="00386ABA">
        <w:rPr>
          <w:rFonts w:asciiTheme="minorHAnsi" w:hAnsiTheme="minorHAnsi"/>
          <w:color w:val="000000" w:themeColor="text1"/>
          <w:szCs w:val="22"/>
        </w:rPr>
        <w:fldChar w:fldCharType="begin"/>
      </w:r>
      <w:r w:rsidR="00386ABA" w:rsidRPr="00386ABA">
        <w:rPr>
          <w:rFonts w:asciiTheme="minorHAnsi" w:hAnsiTheme="minorHAnsi"/>
          <w:color w:val="000000" w:themeColor="text1"/>
          <w:szCs w:val="22"/>
        </w:rPr>
        <w:instrText xml:space="preserve"> ADDIN EN.CITE &lt;EndNote&gt;&lt;Cite&gt;&lt;Author&gt;Peters&lt;/Author&gt;&lt;Year&gt;1991&lt;/Year&gt;&lt;RecNum&gt;1564&lt;/RecNum&gt;&lt;DisplayText&gt;[1, 2]&lt;/DisplayText&gt;&lt;record&gt;&lt;rec-number&gt;1564&lt;/rec-number&gt;&lt;foreign-keys&gt;&lt;key app="EN" db-id="fsxvawpa4axfa9ezfw652feawxe0sdvatxrx" timestamp="1382673080"&gt;1564&lt;/key&gt;&lt;/foreign-keys&gt;&lt;ref-type name="Book"&gt;6&lt;/ref-type&gt;&lt;contributors&gt;&lt;authors&gt;&lt;author&gt;MS Peters&lt;/author&gt;&lt;author&gt;KD Timmerhaus&lt;/author&gt;&lt;/authors&gt;&lt;/contributors&gt;&lt;titles&gt;&lt;title&gt;&lt;style face="italic" font="default" size="100%"&gt;Plant Design and Economics for Chemical Engineers&lt;/style&gt;&lt;/title&gt;&lt;/titles&gt;&lt;edition&gt;4th Edition&lt;/edition&gt;&lt;dates&gt;&lt;year&gt;1991&lt;/year&gt;&lt;/dates&gt;&lt;pub-location&gt;New York City&lt;/pub-location&gt;&lt;publisher&gt;McGraw-Hill&lt;/publisher&gt;&lt;urls&gt;&lt;/urls&gt;&lt;/record&gt;&lt;/Cite&gt;&lt;Cite&gt;&lt;Author&gt;Peters&lt;/Author&gt;&lt;Year&gt;2003&lt;/Year&gt;&lt;RecNum&gt;3795&lt;/RecNum&gt;&lt;record&gt;&lt;rec-number&gt;3795&lt;/rec-number&gt;&lt;foreign-keys&gt;&lt;key app="EN" db-id="fsxvawpa4axfa9ezfw652feawxe0sdvatxrx" timestamp="1382675298"&gt;3795&lt;/key&gt;&lt;/foreign-keys&gt;&lt;ref-type name="Book"&gt;6&lt;/ref-type&gt;&lt;contributors&gt;&lt;authors&gt;&lt;author&gt;Peters, M.S.&lt;/author&gt;&lt;author&gt;Timmerhaus, K.D.&lt;/author&gt;&lt;author&gt;West, R.E.&lt;/author&gt;&lt;author&gt;Timmerhaus, K.&lt;/author&gt;&lt;author&gt;West, R.&lt;/author&gt;&lt;/authors&gt;&lt;/contributors&gt;&lt;titles&gt;&lt;title&gt;Plant design and economics for chemical engineers&lt;/title&gt;&lt;/titles&gt;&lt;dates&gt;&lt;year&gt;2003&lt;/year&gt;&lt;/dates&gt;&lt;publisher&gt;McGraw-Hill New York&lt;/publisher&gt;&lt;isbn&gt;0072392665&lt;/isbn&gt;&lt;urls&gt;&lt;/urls&gt;&lt;/record&gt;&lt;/Cite&gt;&lt;/EndNote&gt;</w:instrText>
      </w:r>
      <w:r w:rsidR="005C0FC5" w:rsidRPr="00386ABA">
        <w:rPr>
          <w:rFonts w:asciiTheme="minorHAnsi" w:hAnsiTheme="minorHAnsi"/>
          <w:color w:val="000000" w:themeColor="text1"/>
          <w:szCs w:val="22"/>
        </w:rPr>
        <w:fldChar w:fldCharType="separate"/>
      </w:r>
      <w:r w:rsidR="00386ABA" w:rsidRPr="00386ABA">
        <w:rPr>
          <w:rFonts w:asciiTheme="minorHAnsi" w:hAnsiTheme="minorHAnsi"/>
          <w:noProof/>
          <w:color w:val="000000" w:themeColor="text1"/>
          <w:szCs w:val="22"/>
        </w:rPr>
        <w:t>[</w:t>
      </w:r>
      <w:hyperlink w:anchor="_ENREF_1" w:tooltip="Peters, 1991 #1564" w:history="1">
        <w:r w:rsidR="00012E34" w:rsidRPr="00386ABA">
          <w:rPr>
            <w:rFonts w:asciiTheme="minorHAnsi" w:hAnsiTheme="minorHAnsi"/>
            <w:noProof/>
            <w:color w:val="000000" w:themeColor="text1"/>
            <w:szCs w:val="22"/>
          </w:rPr>
          <w:t>1</w:t>
        </w:r>
      </w:hyperlink>
      <w:r w:rsidR="00386ABA" w:rsidRPr="00386ABA">
        <w:rPr>
          <w:rFonts w:asciiTheme="minorHAnsi" w:hAnsiTheme="minorHAnsi"/>
          <w:noProof/>
          <w:color w:val="000000" w:themeColor="text1"/>
          <w:szCs w:val="22"/>
        </w:rPr>
        <w:t xml:space="preserve">, </w:t>
      </w:r>
      <w:hyperlink w:anchor="_ENREF_2" w:tooltip="Peters, 2003 #3795" w:history="1">
        <w:r w:rsidR="00012E34" w:rsidRPr="00386ABA">
          <w:rPr>
            <w:rFonts w:asciiTheme="minorHAnsi" w:hAnsiTheme="minorHAnsi"/>
            <w:noProof/>
            <w:color w:val="000000" w:themeColor="text1"/>
            <w:szCs w:val="22"/>
          </w:rPr>
          <w:t>2</w:t>
        </w:r>
      </w:hyperlink>
      <w:r w:rsidR="00386ABA" w:rsidRPr="00386ABA">
        <w:rPr>
          <w:rFonts w:asciiTheme="minorHAnsi" w:hAnsiTheme="minorHAnsi"/>
          <w:noProof/>
          <w:color w:val="000000" w:themeColor="text1"/>
          <w:szCs w:val="22"/>
        </w:rPr>
        <w:t>]</w:t>
      </w:r>
      <w:r w:rsidR="005C0FC5" w:rsidRPr="00386ABA">
        <w:rPr>
          <w:rFonts w:asciiTheme="minorHAnsi" w:hAnsiTheme="minorHAnsi"/>
          <w:color w:val="000000" w:themeColor="text1"/>
          <w:szCs w:val="22"/>
        </w:rPr>
        <w:fldChar w:fldCharType="end"/>
      </w:r>
      <w:r w:rsidR="00386ABA" w:rsidRPr="00386ABA">
        <w:rPr>
          <w:rFonts w:asciiTheme="minorHAnsi" w:hAnsiTheme="minorHAnsi"/>
          <w:color w:val="000000" w:themeColor="text1"/>
          <w:szCs w:val="22"/>
        </w:rPr>
        <w:t xml:space="preserve"> define working capital as money available to cover (1) raw materials and supplies in inventory, (2) finished product in storage, (3) accounts receivable, (4) cash on hand for monthly payments such as wages and maintenance supplies, (5) accounts payable, and (6) taxes payable. This flow of money is required over the life of the plant, beginning in the start-up phase to make product that generates revenue to use in purchasing more materials and supplies. Peters and Timmerhaus  </w:t>
      </w:r>
      <w:r w:rsidR="005C0FC5" w:rsidRPr="00386ABA">
        <w:rPr>
          <w:rFonts w:asciiTheme="minorHAnsi" w:hAnsiTheme="minorHAnsi"/>
          <w:color w:val="000000" w:themeColor="text1"/>
          <w:szCs w:val="22"/>
        </w:rPr>
        <w:fldChar w:fldCharType="begin"/>
      </w:r>
      <w:r w:rsidR="00386ABA" w:rsidRPr="00386ABA">
        <w:rPr>
          <w:rFonts w:asciiTheme="minorHAnsi" w:hAnsiTheme="minorHAnsi"/>
          <w:color w:val="000000" w:themeColor="text1"/>
          <w:szCs w:val="22"/>
        </w:rPr>
        <w:instrText xml:space="preserve"> ADDIN EN.CITE &lt;EndNote&gt;&lt;Cite&gt;&lt;Author&gt;Peters&lt;/Author&gt;&lt;Year&gt;1991&lt;/Year&gt;&lt;RecNum&gt;1564&lt;/RecNum&gt;&lt;DisplayText&gt;[1, 2]&lt;/DisplayText&gt;&lt;record&gt;&lt;rec-number&gt;1564&lt;/rec-number&gt;&lt;foreign-keys&gt;&lt;key app="EN" db-id="fsxvawpa4axfa9ezfw652feawxe0sdvatxrx" timestamp="1382673080"&gt;1564&lt;/key&gt;&lt;/foreign-keys&gt;&lt;ref-type name="Book"&gt;6&lt;/ref-type&gt;&lt;contributors&gt;&lt;authors&gt;&lt;author&gt;MS Peters&lt;/author&gt;&lt;author&gt;KD Timmerhaus&lt;/author&gt;&lt;/authors&gt;&lt;/contributors&gt;&lt;titles&gt;&lt;title&gt;&lt;style face="italic" font="default" size="100%"&gt;Plant Design and Economics for Chemical Engineers&lt;/style&gt;&lt;/title&gt;&lt;/titles&gt;&lt;edition&gt;4th Edition&lt;/edition&gt;&lt;dates&gt;&lt;year&gt;1991&lt;/year&gt;&lt;/dates&gt;&lt;pub-location&gt;New York City&lt;/pub-location&gt;&lt;publisher&gt;McGraw-Hill&lt;/publisher&gt;&lt;urls&gt;&lt;/urls&gt;&lt;/record&gt;&lt;/Cite&gt;&lt;Cite&gt;&lt;Author&gt;Peters&lt;/Author&gt;&lt;Year&gt;2003&lt;/Year&gt;&lt;RecNum&gt;3795&lt;/RecNum&gt;&lt;record&gt;&lt;rec-number&gt;3795&lt;/rec-number&gt;&lt;foreign-keys&gt;&lt;key app="EN" db-id="fsxvawpa4axfa9ezfw652feawxe0sdvatxrx" timestamp="1382675298"&gt;3795&lt;/key&gt;&lt;/foreign-keys&gt;&lt;ref-type name="Book"&gt;6&lt;/ref-type&gt;&lt;contributors&gt;&lt;authors&gt;&lt;author&gt;Peters, M.S.&lt;/author&gt;&lt;author&gt;Timmerhaus, K.D.&lt;/author&gt;&lt;author&gt;West, R.E.&lt;/author&gt;&lt;author&gt;Timmerhaus, K.&lt;/author&gt;&lt;author&gt;West, R.&lt;/author&gt;&lt;/authors&gt;&lt;/contributors&gt;&lt;titles&gt;&lt;title&gt;Plant design and economics for chemical engineers&lt;/title&gt;&lt;/titles&gt;&lt;dates&gt;&lt;year&gt;2003&lt;/year&gt;&lt;/dates&gt;&lt;publisher&gt;McGraw-Hill New York&lt;/publisher&gt;&lt;isbn&gt;0072392665&lt;/isbn&gt;&lt;urls&gt;&lt;/urls&gt;&lt;/record&gt;&lt;/Cite&gt;&lt;/EndNote&gt;</w:instrText>
      </w:r>
      <w:r w:rsidR="005C0FC5" w:rsidRPr="00386ABA">
        <w:rPr>
          <w:rFonts w:asciiTheme="minorHAnsi" w:hAnsiTheme="minorHAnsi"/>
          <w:color w:val="000000" w:themeColor="text1"/>
          <w:szCs w:val="22"/>
        </w:rPr>
        <w:fldChar w:fldCharType="separate"/>
      </w:r>
      <w:r w:rsidR="00386ABA" w:rsidRPr="00386ABA">
        <w:rPr>
          <w:rFonts w:asciiTheme="minorHAnsi" w:hAnsiTheme="minorHAnsi"/>
          <w:noProof/>
          <w:color w:val="000000" w:themeColor="text1"/>
          <w:szCs w:val="22"/>
        </w:rPr>
        <w:t>[</w:t>
      </w:r>
      <w:hyperlink w:anchor="_ENREF_1" w:tooltip="Peters, 1991 #1564" w:history="1">
        <w:r w:rsidR="00012E34" w:rsidRPr="00386ABA">
          <w:rPr>
            <w:rFonts w:asciiTheme="minorHAnsi" w:hAnsiTheme="minorHAnsi"/>
            <w:noProof/>
            <w:color w:val="000000" w:themeColor="text1"/>
            <w:szCs w:val="22"/>
          </w:rPr>
          <w:t>1</w:t>
        </w:r>
      </w:hyperlink>
      <w:r w:rsidR="00386ABA" w:rsidRPr="00386ABA">
        <w:rPr>
          <w:rFonts w:asciiTheme="minorHAnsi" w:hAnsiTheme="minorHAnsi"/>
          <w:noProof/>
          <w:color w:val="000000" w:themeColor="text1"/>
          <w:szCs w:val="22"/>
        </w:rPr>
        <w:t xml:space="preserve">, </w:t>
      </w:r>
      <w:hyperlink w:anchor="_ENREF_2" w:tooltip="Peters, 2003 #3795" w:history="1">
        <w:r w:rsidR="00012E34" w:rsidRPr="00386ABA">
          <w:rPr>
            <w:rFonts w:asciiTheme="minorHAnsi" w:hAnsiTheme="minorHAnsi"/>
            <w:noProof/>
            <w:color w:val="000000" w:themeColor="text1"/>
            <w:szCs w:val="22"/>
          </w:rPr>
          <w:t>2</w:t>
        </w:r>
      </w:hyperlink>
      <w:r w:rsidR="00386ABA" w:rsidRPr="00386ABA">
        <w:rPr>
          <w:rFonts w:asciiTheme="minorHAnsi" w:hAnsiTheme="minorHAnsi"/>
          <w:noProof/>
          <w:color w:val="000000" w:themeColor="text1"/>
          <w:szCs w:val="22"/>
        </w:rPr>
        <w:t>]</w:t>
      </w:r>
      <w:r w:rsidR="005C0FC5" w:rsidRPr="00386ABA">
        <w:rPr>
          <w:rFonts w:asciiTheme="minorHAnsi" w:hAnsiTheme="minorHAnsi"/>
          <w:color w:val="000000" w:themeColor="text1"/>
          <w:szCs w:val="22"/>
        </w:rPr>
        <w:fldChar w:fldCharType="end"/>
      </w:r>
      <w:r>
        <w:rPr>
          <w:rFonts w:asciiTheme="minorHAnsi" w:hAnsiTheme="minorHAnsi"/>
          <w:color w:val="000000" w:themeColor="text1"/>
          <w:szCs w:val="22"/>
        </w:rPr>
        <w:t xml:space="preserve"> </w:t>
      </w:r>
      <w:r w:rsidR="00386ABA" w:rsidRPr="00386ABA">
        <w:rPr>
          <w:rFonts w:asciiTheme="minorHAnsi" w:hAnsiTheme="minorHAnsi"/>
          <w:color w:val="000000" w:themeColor="text1"/>
          <w:szCs w:val="22"/>
        </w:rPr>
        <w:t xml:space="preserve">indicate that working capital is usually 5%-20% of the total capital investment. In order to be consistent with other NREL analysis, as well as in previous NREL design reports </w:t>
      </w:r>
      <w:r w:rsidR="005C0FC5" w:rsidRPr="00386ABA">
        <w:rPr>
          <w:rFonts w:asciiTheme="minorHAnsi" w:hAnsiTheme="minorHAnsi"/>
          <w:color w:val="000000" w:themeColor="text1"/>
          <w:szCs w:val="22"/>
        </w:rPr>
        <w:fldChar w:fldCharType="begin">
          <w:fldData xml:space="preserve">PEVuZE5vdGU+PENpdGU+PEF1dGhvcj5BZGVuPC9BdXRob3I+PFllYXI+MjAwMjwvWWVhcj48UmVj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</w:fldData>
        </w:fldChar>
      </w:r>
      <w:r w:rsidR="00386ABA" w:rsidRPr="00386ABA">
        <w:rPr>
          <w:rFonts w:asciiTheme="minorHAnsi" w:hAnsiTheme="minorHAnsi"/>
          <w:color w:val="000000" w:themeColor="text1"/>
          <w:szCs w:val="22"/>
        </w:rPr>
        <w:instrText xml:space="preserve"> ADDIN EN.CITE </w:instrText>
      </w:r>
      <w:r w:rsidR="005C0FC5" w:rsidRPr="00386ABA">
        <w:rPr>
          <w:rFonts w:asciiTheme="minorHAnsi" w:hAnsiTheme="minorHAnsi"/>
          <w:color w:val="000000" w:themeColor="text1"/>
          <w:szCs w:val="22"/>
        </w:rPr>
        <w:fldChar w:fldCharType="begin">
          <w:fldData xml:space="preserve">PEVuZE5vdGU+PENpdGU+PEF1dGhvcj5BZGVuPC9BdXRob3I+PFllYXI+MjAwMjwvWWVhcj48UmVj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</w:fldData>
        </w:fldChar>
      </w:r>
      <w:r w:rsidR="00386ABA" w:rsidRPr="00386ABA">
        <w:rPr>
          <w:rFonts w:asciiTheme="minorHAnsi" w:hAnsiTheme="minorHAnsi"/>
          <w:color w:val="000000" w:themeColor="text1"/>
          <w:szCs w:val="22"/>
        </w:rPr>
        <w:instrText xml:space="preserve"> ADDIN EN.CITE.DATA </w:instrText>
      </w:r>
      <w:r w:rsidR="005C0FC5" w:rsidRPr="00386ABA">
        <w:rPr>
          <w:rFonts w:asciiTheme="minorHAnsi" w:hAnsiTheme="minorHAnsi"/>
          <w:color w:val="000000" w:themeColor="text1"/>
          <w:szCs w:val="22"/>
        </w:rPr>
      </w:r>
      <w:r w:rsidR="005C0FC5" w:rsidRPr="00386ABA">
        <w:rPr>
          <w:rFonts w:asciiTheme="minorHAnsi" w:hAnsiTheme="minorHAnsi"/>
          <w:color w:val="000000" w:themeColor="text1"/>
          <w:szCs w:val="22"/>
        </w:rPr>
        <w:fldChar w:fldCharType="end"/>
      </w:r>
      <w:r w:rsidR="005C0FC5" w:rsidRPr="00386ABA">
        <w:rPr>
          <w:rFonts w:asciiTheme="minorHAnsi" w:hAnsiTheme="minorHAnsi"/>
          <w:color w:val="000000" w:themeColor="text1"/>
          <w:szCs w:val="22"/>
        </w:rPr>
      </w:r>
      <w:r w:rsidR="005C0FC5" w:rsidRPr="00386ABA">
        <w:rPr>
          <w:rFonts w:asciiTheme="minorHAnsi" w:hAnsiTheme="minorHAnsi"/>
          <w:color w:val="000000" w:themeColor="text1"/>
          <w:szCs w:val="22"/>
        </w:rPr>
        <w:fldChar w:fldCharType="separate"/>
      </w:r>
      <w:r w:rsidR="00386ABA" w:rsidRPr="00386ABA">
        <w:rPr>
          <w:rFonts w:asciiTheme="minorHAnsi" w:hAnsiTheme="minorHAnsi"/>
          <w:noProof/>
          <w:color w:val="000000" w:themeColor="text1"/>
          <w:szCs w:val="22"/>
        </w:rPr>
        <w:t>[</w:t>
      </w:r>
      <w:hyperlink w:anchor="_ENREF_3" w:tooltip="Aden, 2002 #1588" w:history="1">
        <w:r w:rsidR="00012E34" w:rsidRPr="00386ABA">
          <w:rPr>
            <w:rFonts w:asciiTheme="minorHAnsi" w:hAnsiTheme="minorHAnsi"/>
            <w:noProof/>
            <w:color w:val="000000" w:themeColor="text1"/>
            <w:szCs w:val="22"/>
          </w:rPr>
          <w:t>3-5</w:t>
        </w:r>
      </w:hyperlink>
      <w:r w:rsidR="00386ABA" w:rsidRPr="00386ABA">
        <w:rPr>
          <w:rFonts w:asciiTheme="minorHAnsi" w:hAnsiTheme="minorHAnsi"/>
          <w:noProof/>
          <w:color w:val="000000" w:themeColor="text1"/>
          <w:szCs w:val="22"/>
        </w:rPr>
        <w:t>]</w:t>
      </w:r>
      <w:r w:rsidR="005C0FC5" w:rsidRPr="00386ABA">
        <w:rPr>
          <w:rFonts w:asciiTheme="minorHAnsi" w:hAnsiTheme="minorHAnsi"/>
          <w:color w:val="000000" w:themeColor="text1"/>
          <w:szCs w:val="22"/>
        </w:rPr>
        <w:fldChar w:fldCharType="end"/>
      </w:r>
      <w:r w:rsidR="00386ABA" w:rsidRPr="00386ABA">
        <w:rPr>
          <w:rFonts w:asciiTheme="minorHAnsi" w:hAnsiTheme="minorHAnsi"/>
          <w:color w:val="000000" w:themeColor="text1"/>
          <w:szCs w:val="22"/>
        </w:rPr>
        <w:t xml:space="preserve">, we use a consistent working capital of 5% of FCI. </w:t>
      </w:r>
    </w:p>
    <w:p w:rsidR="00386ABA" w:rsidRPr="00386ABA" w:rsidRDefault="00386ABA" w:rsidP="008E6322">
      <w:pPr>
        <w:pStyle w:val="PlainText"/>
        <w:jc w:val="both"/>
        <w:rPr>
          <w:rFonts w:asciiTheme="minorHAnsi" w:hAnsiTheme="minorHAnsi"/>
          <w:color w:val="000000" w:themeColor="text1"/>
          <w:szCs w:val="22"/>
        </w:rPr>
      </w:pPr>
    </w:p>
    <w:p w:rsidR="00386ABA" w:rsidRPr="00386ABA" w:rsidRDefault="00386ABA" w:rsidP="008E6322">
      <w:pPr>
        <w:pStyle w:val="PlainText"/>
        <w:jc w:val="both"/>
        <w:rPr>
          <w:rFonts w:asciiTheme="minorHAnsi" w:hAnsiTheme="minorHAnsi"/>
          <w:color w:val="000000" w:themeColor="text1"/>
          <w:szCs w:val="22"/>
        </w:rPr>
      </w:pPr>
      <w:r w:rsidRPr="008E6322">
        <w:rPr>
          <w:rFonts w:asciiTheme="minorHAnsi" w:hAnsiTheme="minorHAnsi"/>
          <w:color w:val="000000" w:themeColor="text1"/>
          <w:szCs w:val="22"/>
          <w:u w:val="single"/>
        </w:rPr>
        <w:t>The Modified Accelerated Cost Recovery System (MACRS)</w:t>
      </w:r>
      <w:r w:rsidRPr="00386ABA">
        <w:rPr>
          <w:rFonts w:asciiTheme="minorHAnsi" w:hAnsiTheme="minorHAnsi"/>
          <w:color w:val="000000" w:themeColor="text1"/>
          <w:szCs w:val="22"/>
        </w:rPr>
        <w:t xml:space="preserve"> is used to recover the basis of most business and investment property placed in service after 1986. MACRS consists of two depreciation systems, the General Depreciation System (GDS) and the Alternative Depreciation System (ADS). Generally, these systems provide different methods and recovery periods to use in figuring depreciation deductions. We applied a con</w:t>
      </w:r>
      <w:r w:rsidR="008E6322">
        <w:rPr>
          <w:rFonts w:asciiTheme="minorHAnsi" w:hAnsiTheme="minorHAnsi"/>
          <w:color w:val="000000" w:themeColor="text1"/>
          <w:szCs w:val="22"/>
        </w:rPr>
        <w:t xml:space="preserve">sistent MARCS method with GDS, </w:t>
      </w:r>
      <w:r w:rsidRPr="00386ABA">
        <w:rPr>
          <w:rFonts w:asciiTheme="minorHAnsi" w:hAnsiTheme="minorHAnsi"/>
          <w:color w:val="000000" w:themeColor="text1"/>
          <w:szCs w:val="22"/>
        </w:rPr>
        <w:t xml:space="preserve">recommended by Short </w:t>
      </w:r>
      <w:r w:rsidR="005C0FC5">
        <w:rPr>
          <w:rFonts w:asciiTheme="minorHAnsi" w:hAnsiTheme="minorHAnsi"/>
          <w:color w:val="000000" w:themeColor="text1"/>
          <w:szCs w:val="22"/>
        </w:rPr>
        <w:fldChar w:fldCharType="begin"/>
      </w:r>
      <w:r w:rsidR="008E6322">
        <w:rPr>
          <w:rFonts w:asciiTheme="minorHAnsi" w:hAnsiTheme="minorHAnsi"/>
          <w:color w:val="000000" w:themeColor="text1"/>
          <w:szCs w:val="22"/>
        </w:rPr>
        <w:instrText xml:space="preserve"> ADDIN EN.CITE &lt;EndNote&gt;&lt;Cite&gt;&lt;Author&gt;Short&lt;/Author&gt;&lt;Year&gt;1995&lt;/Year&gt;&lt;RecNum&gt;3796&lt;/RecNum&gt;&lt;DisplayText&gt;[6]&lt;/DisplayText&gt;&lt;record&gt;&lt;rec-number&gt;3796&lt;/rec-number&gt;&lt;foreign-keys&gt;&lt;key app="EN" db-id="fsxvawpa4axfa9ezfw652feawxe0sdvatxrx" timestamp="1382675298"&gt;3796&lt;/key&gt;&lt;/foreign-keys&gt;&lt;ref-type name="Report"&gt;27&lt;/ref-type&gt;&lt;contributors&gt;&lt;authors&gt;&lt;author&gt;Short, W&lt;/author&gt;&lt;author&gt;Packey, D. J.&lt;/author&gt;&lt;author&gt;Holt, T.&lt;/author&gt;&lt;/authors&gt;&lt;/contributors&gt;&lt;titles&gt;&lt;title&gt;A Manual for the Economic Evaluation and Energy Efficiency and Renewable Energy Technologies&lt;/title&gt;&lt;/titles&gt;&lt;dates&gt;&lt;year&gt;1995&lt;/year&gt;&lt;/dates&gt;&lt;pub-location&gt;Golden CO&lt;/pub-location&gt;&lt;publisher&gt;National Renewable Energy Laboratory&lt;/publisher&gt;&lt;isbn&gt;Report TP-462-5173&lt;/isbn&gt;&lt;urls&gt;&lt;/urls&gt;&lt;/record&gt;&lt;/Cite&gt;&lt;/EndNote&gt;</w:instrText>
      </w:r>
      <w:r w:rsidR="005C0FC5">
        <w:rPr>
          <w:rFonts w:asciiTheme="minorHAnsi" w:hAnsiTheme="minorHAnsi"/>
          <w:color w:val="000000" w:themeColor="text1"/>
          <w:szCs w:val="22"/>
        </w:rPr>
        <w:fldChar w:fldCharType="separate"/>
      </w:r>
      <w:r w:rsidR="008E6322">
        <w:rPr>
          <w:rFonts w:asciiTheme="minorHAnsi" w:hAnsiTheme="minorHAnsi"/>
          <w:noProof/>
          <w:color w:val="000000" w:themeColor="text1"/>
          <w:szCs w:val="22"/>
        </w:rPr>
        <w:t>[</w:t>
      </w:r>
      <w:hyperlink w:anchor="_ENREF_6" w:tooltip="Short, 1995 #3796" w:history="1">
        <w:r w:rsidR="00012E34">
          <w:rPr>
            <w:rFonts w:asciiTheme="minorHAnsi" w:hAnsiTheme="minorHAnsi"/>
            <w:noProof/>
            <w:color w:val="000000" w:themeColor="text1"/>
            <w:szCs w:val="22"/>
          </w:rPr>
          <w:t>6</w:t>
        </w:r>
      </w:hyperlink>
      <w:r w:rsidR="008E6322">
        <w:rPr>
          <w:rFonts w:asciiTheme="minorHAnsi" w:hAnsiTheme="minorHAnsi"/>
          <w:noProof/>
          <w:color w:val="000000" w:themeColor="text1"/>
          <w:szCs w:val="22"/>
        </w:rPr>
        <w:t>]</w:t>
      </w:r>
      <w:r w:rsidR="005C0FC5">
        <w:rPr>
          <w:rFonts w:asciiTheme="minorHAnsi" w:hAnsiTheme="minorHAnsi"/>
          <w:color w:val="000000" w:themeColor="text1"/>
          <w:szCs w:val="22"/>
        </w:rPr>
        <w:fldChar w:fldCharType="end"/>
      </w:r>
      <w:r w:rsidR="008E6322">
        <w:rPr>
          <w:rFonts w:asciiTheme="minorHAnsi" w:hAnsiTheme="minorHAnsi"/>
          <w:color w:val="000000" w:themeColor="text1"/>
          <w:szCs w:val="22"/>
        </w:rPr>
        <w:t xml:space="preserve"> </w:t>
      </w:r>
      <w:r w:rsidRPr="00386ABA">
        <w:rPr>
          <w:rFonts w:asciiTheme="minorHAnsi" w:hAnsiTheme="minorHAnsi"/>
          <w:color w:val="000000" w:themeColor="text1"/>
          <w:szCs w:val="22"/>
        </w:rPr>
        <w:t>to determine the depreciation amount for the calculation of federal taxes to be paid. This GDS allows both the 200% and 150% declining balance (DB) methods of depreciation. This offers the shortest recovery period and the largest tax deductions</w:t>
      </w:r>
      <w:r>
        <w:rPr>
          <w:rFonts w:asciiTheme="minorHAnsi" w:hAnsiTheme="minorHAnsi"/>
          <w:color w:val="000000" w:themeColor="text1"/>
          <w:szCs w:val="22"/>
        </w:rPr>
        <w:t>. IRS publication 534</w:t>
      </w:r>
      <w:r w:rsidR="008E6322">
        <w:rPr>
          <w:rFonts w:asciiTheme="minorHAnsi" w:hAnsiTheme="minorHAnsi"/>
          <w:color w:val="000000" w:themeColor="text1"/>
          <w:szCs w:val="22"/>
        </w:rPr>
        <w:t xml:space="preserve"> </w:t>
      </w:r>
      <w:r w:rsidR="005C0FC5">
        <w:rPr>
          <w:rFonts w:asciiTheme="minorHAnsi" w:hAnsiTheme="minorHAnsi"/>
          <w:color w:val="000000" w:themeColor="text1"/>
          <w:szCs w:val="22"/>
        </w:rPr>
        <w:fldChar w:fldCharType="begin"/>
      </w:r>
      <w:r w:rsidR="008E6322">
        <w:rPr>
          <w:rFonts w:asciiTheme="minorHAnsi" w:hAnsiTheme="minorHAnsi"/>
          <w:color w:val="000000" w:themeColor="text1"/>
          <w:szCs w:val="22"/>
        </w:rPr>
        <w:instrText xml:space="preserve"> ADDIN EN.CITE &lt;EndNote&gt;&lt;Cite&gt;&lt;Author&gt;Service&lt;/Author&gt;&lt;Year&gt;2009&lt;/Year&gt;&lt;RecNum&gt;4187&lt;/RecNum&gt;&lt;DisplayText&gt;[7]&lt;/DisplayText&gt;&lt;record&gt;&lt;rec-number&gt;4187&lt;/rec-number&gt;&lt;foreign-keys&gt;&lt;key app="EN" db-id="fsxvawpa4axfa9ezfw652feawxe0sdvatxrx" timestamp="1382675546"&gt;4187&lt;/key&gt;&lt;/foreign-keys&gt;&lt;ref-type name="Government Document"&gt;46&lt;/ref-type&gt;&lt;contributors&gt;&lt;authors&gt;&lt;author&gt;Internal Revenue Service&lt;/author&gt;&lt;/authors&gt;&lt;secondary-authors&gt;&lt;author&gt;Department of the Treasury&lt;/author&gt;&lt;/secondary-authors&gt;&lt;/contributors&gt;&lt;titles&gt;&lt;title&gt;How to Depreciate Property&lt;/title&gt;&lt;/titles&gt;&lt;dates&gt;&lt;year&gt;2009&lt;/year&gt;&lt;/dates&gt;&lt;pub-location&gt;Washington, D.C.&lt;/pub-location&gt;&lt;isbn&gt;Publication #946&lt;/isbn&gt;&lt;urls&gt;&lt;related-urls&gt;&lt;url&gt;http://www.irs.gov/pub/irs-pdf/p946.pdf&lt;/url&gt;&lt;/related-urls&gt;&lt;/urls&gt;&lt;/record&gt;&lt;/Cite&gt;&lt;/EndNote&gt;</w:instrText>
      </w:r>
      <w:r w:rsidR="005C0FC5">
        <w:rPr>
          <w:rFonts w:asciiTheme="minorHAnsi" w:hAnsiTheme="minorHAnsi"/>
          <w:color w:val="000000" w:themeColor="text1"/>
          <w:szCs w:val="22"/>
        </w:rPr>
        <w:fldChar w:fldCharType="separate"/>
      </w:r>
      <w:r w:rsidR="008E6322">
        <w:rPr>
          <w:rFonts w:asciiTheme="minorHAnsi" w:hAnsiTheme="minorHAnsi"/>
          <w:noProof/>
          <w:color w:val="000000" w:themeColor="text1"/>
          <w:szCs w:val="22"/>
        </w:rPr>
        <w:t>[</w:t>
      </w:r>
      <w:hyperlink w:anchor="_ENREF_7" w:tooltip="Service, 2009 #4187" w:history="1">
        <w:r w:rsidR="00012E34">
          <w:rPr>
            <w:rFonts w:asciiTheme="minorHAnsi" w:hAnsiTheme="minorHAnsi"/>
            <w:noProof/>
            <w:color w:val="000000" w:themeColor="text1"/>
            <w:szCs w:val="22"/>
          </w:rPr>
          <w:t>7</w:t>
        </w:r>
      </w:hyperlink>
      <w:r w:rsidR="008E6322">
        <w:rPr>
          <w:rFonts w:asciiTheme="minorHAnsi" w:hAnsiTheme="minorHAnsi"/>
          <w:noProof/>
          <w:color w:val="000000" w:themeColor="text1"/>
          <w:szCs w:val="22"/>
        </w:rPr>
        <w:t>]</w:t>
      </w:r>
      <w:r w:rsidR="005C0FC5">
        <w:rPr>
          <w:rFonts w:asciiTheme="minorHAnsi" w:hAnsiTheme="minorHAnsi"/>
          <w:color w:val="000000" w:themeColor="text1"/>
          <w:szCs w:val="22"/>
        </w:rPr>
        <w:fldChar w:fldCharType="end"/>
      </w:r>
      <w:r w:rsidRPr="00386ABA">
        <w:rPr>
          <w:rFonts w:asciiTheme="minorHAnsi" w:hAnsiTheme="minorHAnsi"/>
          <w:color w:val="000000" w:themeColor="text1"/>
          <w:szCs w:val="22"/>
        </w:rPr>
        <w:t xml:space="preserve"> indicates that steam production plants should use a 20-year recovery period. The IRS indicates that other property not specifically described in the publication should be depreciated using a 7-year recovery period. The MACRS depreciation method is consistent with all NREL design reports</w:t>
      </w:r>
      <w:r w:rsidR="008E6322">
        <w:rPr>
          <w:rFonts w:asciiTheme="minorHAnsi" w:hAnsiTheme="minorHAnsi"/>
          <w:color w:val="000000" w:themeColor="text1"/>
          <w:szCs w:val="22"/>
        </w:rPr>
        <w:t xml:space="preserve"> </w:t>
      </w:r>
      <w:r w:rsidR="005C0FC5">
        <w:rPr>
          <w:rFonts w:asciiTheme="minorHAnsi" w:hAnsiTheme="minorHAnsi"/>
          <w:color w:val="000000" w:themeColor="text1"/>
          <w:szCs w:val="22"/>
        </w:rPr>
        <w:fldChar w:fldCharType="begin">
          <w:fldData xml:space="preserve">PEVuZE5vdGU+PENpdGU+PEF1dGhvcj5BZGVuPC9BdXRob3I+PFllYXI+MjAwMjwvWWVhcj48UmVj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</w:fldData>
        </w:fldChar>
      </w:r>
      <w:r w:rsidR="008E6322">
        <w:rPr>
          <w:rFonts w:asciiTheme="minorHAnsi" w:hAnsiTheme="minorHAnsi"/>
          <w:color w:val="000000" w:themeColor="text1"/>
          <w:szCs w:val="22"/>
        </w:rPr>
        <w:instrText xml:space="preserve"> ADDIN EN.CITE </w:instrText>
      </w:r>
      <w:r w:rsidR="005C0FC5">
        <w:rPr>
          <w:rFonts w:asciiTheme="minorHAnsi" w:hAnsiTheme="minorHAnsi"/>
          <w:color w:val="000000" w:themeColor="text1"/>
          <w:szCs w:val="22"/>
        </w:rPr>
        <w:fldChar w:fldCharType="begin">
          <w:fldData xml:space="preserve">PEVuZE5vdGU+PENpdGU+PEF1dGhvcj5BZGVuPC9BdXRob3I+PFllYXI+MjAwMjwvWWVhcj48UmVj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</w:fldData>
        </w:fldChar>
      </w:r>
      <w:r w:rsidR="008E6322">
        <w:rPr>
          <w:rFonts w:asciiTheme="minorHAnsi" w:hAnsiTheme="minorHAnsi"/>
          <w:color w:val="000000" w:themeColor="text1"/>
          <w:szCs w:val="22"/>
        </w:rPr>
        <w:instrText xml:space="preserve"> ADDIN EN.CITE.DATA </w:instrText>
      </w:r>
      <w:r w:rsidR="005C0FC5">
        <w:rPr>
          <w:rFonts w:asciiTheme="minorHAnsi" w:hAnsiTheme="minorHAnsi"/>
          <w:color w:val="000000" w:themeColor="text1"/>
          <w:szCs w:val="22"/>
        </w:rPr>
      </w:r>
      <w:r w:rsidR="005C0FC5">
        <w:rPr>
          <w:rFonts w:asciiTheme="minorHAnsi" w:hAnsiTheme="minorHAnsi"/>
          <w:color w:val="000000" w:themeColor="text1"/>
          <w:szCs w:val="22"/>
        </w:rPr>
        <w:fldChar w:fldCharType="end"/>
      </w:r>
      <w:r w:rsidR="005C0FC5">
        <w:rPr>
          <w:rFonts w:asciiTheme="minorHAnsi" w:hAnsiTheme="minorHAnsi"/>
          <w:color w:val="000000" w:themeColor="text1"/>
          <w:szCs w:val="22"/>
        </w:rPr>
      </w:r>
      <w:r w:rsidR="005C0FC5">
        <w:rPr>
          <w:rFonts w:asciiTheme="minorHAnsi" w:hAnsiTheme="minorHAnsi"/>
          <w:color w:val="000000" w:themeColor="text1"/>
          <w:szCs w:val="22"/>
        </w:rPr>
        <w:fldChar w:fldCharType="separate"/>
      </w:r>
      <w:r w:rsidR="008E6322">
        <w:rPr>
          <w:rFonts w:asciiTheme="minorHAnsi" w:hAnsiTheme="minorHAnsi"/>
          <w:noProof/>
          <w:color w:val="000000" w:themeColor="text1"/>
          <w:szCs w:val="22"/>
        </w:rPr>
        <w:t>[</w:t>
      </w:r>
      <w:hyperlink w:anchor="_ENREF_3" w:tooltip="Aden, 2002 #1588" w:history="1">
        <w:r w:rsidR="00012E34">
          <w:rPr>
            <w:rFonts w:asciiTheme="minorHAnsi" w:hAnsiTheme="minorHAnsi"/>
            <w:noProof/>
            <w:color w:val="000000" w:themeColor="text1"/>
            <w:szCs w:val="22"/>
          </w:rPr>
          <w:t>3-5</w:t>
        </w:r>
      </w:hyperlink>
      <w:r w:rsidR="008E6322">
        <w:rPr>
          <w:rFonts w:asciiTheme="minorHAnsi" w:hAnsiTheme="minorHAnsi"/>
          <w:noProof/>
          <w:color w:val="000000" w:themeColor="text1"/>
          <w:szCs w:val="22"/>
        </w:rPr>
        <w:t>]</w:t>
      </w:r>
      <w:r w:rsidR="005C0FC5">
        <w:rPr>
          <w:rFonts w:asciiTheme="minorHAnsi" w:hAnsiTheme="minorHAnsi"/>
          <w:color w:val="000000" w:themeColor="text1"/>
          <w:szCs w:val="22"/>
        </w:rPr>
        <w:fldChar w:fldCharType="end"/>
      </w:r>
      <w:r w:rsidRPr="00386ABA">
        <w:rPr>
          <w:rFonts w:asciiTheme="minorHAnsi" w:hAnsiTheme="minorHAnsi"/>
          <w:color w:val="000000" w:themeColor="text1"/>
          <w:szCs w:val="22"/>
        </w:rPr>
        <w:t xml:space="preserve">, which have </w:t>
      </w:r>
      <w:r w:rsidR="008E6322">
        <w:rPr>
          <w:rFonts w:asciiTheme="minorHAnsi" w:hAnsiTheme="minorHAnsi"/>
          <w:color w:val="000000" w:themeColor="text1"/>
          <w:szCs w:val="22"/>
        </w:rPr>
        <w:t>more detailed</w:t>
      </w:r>
      <w:r w:rsidRPr="00386ABA">
        <w:rPr>
          <w:rFonts w:asciiTheme="minorHAnsi" w:hAnsiTheme="minorHAnsi"/>
          <w:color w:val="000000" w:themeColor="text1"/>
          <w:szCs w:val="22"/>
        </w:rPr>
        <w:t xml:space="preserve"> information. </w:t>
      </w:r>
    </w:p>
    <w:p w:rsidR="00386ABA" w:rsidRPr="00386ABA" w:rsidRDefault="00386ABA" w:rsidP="008E6322">
      <w:pPr>
        <w:pStyle w:val="PlainText"/>
        <w:jc w:val="both"/>
        <w:rPr>
          <w:rFonts w:asciiTheme="minorHAnsi" w:hAnsiTheme="minorHAnsi"/>
          <w:color w:val="000000" w:themeColor="text1"/>
          <w:szCs w:val="22"/>
        </w:rPr>
      </w:pPr>
    </w:p>
    <w:p w:rsidR="00386ABA" w:rsidRPr="00386ABA" w:rsidRDefault="008E6322" w:rsidP="008E6322">
      <w:pPr>
        <w:pStyle w:val="PlainText"/>
        <w:jc w:val="both"/>
        <w:rPr>
          <w:rFonts w:asciiTheme="minorHAnsi" w:hAnsiTheme="minorHAnsi"/>
          <w:color w:val="000000" w:themeColor="text1"/>
          <w:szCs w:val="22"/>
        </w:rPr>
      </w:pPr>
      <w:r w:rsidRPr="008E6322">
        <w:rPr>
          <w:rFonts w:asciiTheme="minorHAnsi" w:hAnsiTheme="minorHAnsi"/>
          <w:szCs w:val="22"/>
          <w:u w:val="single"/>
        </w:rPr>
        <w:t xml:space="preserve">Inflation rate. </w:t>
      </w:r>
      <w:r w:rsidR="00386ABA" w:rsidRPr="00386ABA">
        <w:rPr>
          <w:rFonts w:asciiTheme="minorHAnsi" w:hAnsiTheme="minorHAnsi"/>
          <w:szCs w:val="22"/>
        </w:rPr>
        <w:t>The operating expense calculation for the designed facility is based on material and energy balance</w:t>
      </w:r>
      <w:r>
        <w:rPr>
          <w:rFonts w:asciiTheme="minorHAnsi" w:hAnsiTheme="minorHAnsi"/>
          <w:szCs w:val="22"/>
        </w:rPr>
        <w:t xml:space="preserve"> calculations using Aspen Plus </w:t>
      </w:r>
      <w:r w:rsidR="00386ABA" w:rsidRPr="00386ABA">
        <w:rPr>
          <w:rFonts w:asciiTheme="minorHAnsi" w:hAnsiTheme="minorHAnsi"/>
          <w:szCs w:val="22"/>
        </w:rPr>
        <w:t xml:space="preserve">process simulations </w:t>
      </w:r>
      <w:r w:rsidR="005C0FC5" w:rsidRPr="00386ABA">
        <w:rPr>
          <w:rFonts w:asciiTheme="minorHAnsi" w:hAnsiTheme="minorHAnsi"/>
          <w:szCs w:val="22"/>
        </w:rPr>
        <w:fldChar w:fldCharType="begin"/>
      </w:r>
      <w:r>
        <w:rPr>
          <w:rFonts w:asciiTheme="minorHAnsi" w:hAnsiTheme="minorHAnsi"/>
          <w:szCs w:val="22"/>
        </w:rPr>
        <w:instrText xml:space="preserve"> ADDIN EN.CITE &lt;EndNote&gt;&lt;Cite&gt;&lt;Author&gt;AspenPlusTM&lt;/Author&gt;&lt;Year&gt;2007&lt;/Year&gt;&lt;RecNum&gt;100&lt;/RecNum&gt;&lt;DisplayText&gt;[8]&lt;/DisplayText&gt;&lt;record&gt;&lt;rec-number&gt;100&lt;/rec-number&gt;&lt;foreign-keys&gt;&lt;key app="EN" db-id="sfdvf2x5ovpdznexde5xd9tjwfevrsxwdwrt" timestamp="1467300690"&gt;100&lt;/key&gt;&lt;/foreign-keys&gt;&lt;ref-type name="Report"&gt;27&lt;/ref-type&gt;&lt;contributors&gt;&lt;authors&gt;&lt;author&gt;&lt;style face="normal" font="default" size="100%"&gt;AspenPlus&lt;/style&gt;&lt;style face="superscript" font="default" size="100%"&gt;TM &lt;/style&gt;&lt;/author&gt;&lt;/authors&gt;&lt;/contributors&gt;&lt;titles&gt;&lt;title&gt;Release 7.2, Aspen Technology Inc., Cambridge MA&lt;/title&gt;&lt;/titles&gt;&lt;dates&gt;&lt;year&gt;2007&lt;/year&gt;&lt;/dates&gt;&lt;urls&gt;&lt;related-urls&gt;&lt;url&gt;www.aspentech.com&lt;/url&gt;&lt;/related-urls&gt;&lt;/urls&gt;&lt;/record&gt;&lt;/Cite&gt;&lt;/EndNote&gt;</w:instrText>
      </w:r>
      <w:r w:rsidR="005C0FC5" w:rsidRPr="00386ABA">
        <w:rPr>
          <w:rFonts w:asciiTheme="minorHAnsi" w:hAnsiTheme="minorHAnsi"/>
          <w:szCs w:val="22"/>
        </w:rPr>
        <w:fldChar w:fldCharType="separate"/>
      </w:r>
      <w:r>
        <w:rPr>
          <w:rFonts w:asciiTheme="minorHAnsi" w:hAnsiTheme="minorHAnsi"/>
          <w:noProof/>
          <w:szCs w:val="22"/>
        </w:rPr>
        <w:t>[</w:t>
      </w:r>
      <w:hyperlink w:anchor="_ENREF_8" w:tooltip="AspenPlusTM, 2007 #100" w:history="1">
        <w:r w:rsidR="00012E34">
          <w:rPr>
            <w:rFonts w:asciiTheme="minorHAnsi" w:hAnsiTheme="minorHAnsi"/>
            <w:noProof/>
            <w:szCs w:val="22"/>
          </w:rPr>
          <w:t>8</w:t>
        </w:r>
      </w:hyperlink>
      <w:r>
        <w:rPr>
          <w:rFonts w:asciiTheme="minorHAnsi" w:hAnsiTheme="minorHAnsi"/>
          <w:noProof/>
          <w:szCs w:val="22"/>
        </w:rPr>
        <w:t>]</w:t>
      </w:r>
      <w:r w:rsidR="005C0FC5" w:rsidRPr="00386ABA">
        <w:rPr>
          <w:rFonts w:asciiTheme="minorHAnsi" w:hAnsiTheme="minorHAnsi"/>
          <w:szCs w:val="22"/>
        </w:rPr>
        <w:fldChar w:fldCharType="end"/>
      </w:r>
      <w:r w:rsidR="00386ABA" w:rsidRPr="00386ABA">
        <w:rPr>
          <w:rFonts w:asciiTheme="minorHAnsi" w:hAnsiTheme="minorHAnsi"/>
          <w:szCs w:val="22"/>
        </w:rPr>
        <w:t>. All costs are inflated to 2014 U.S. dollars using the Plant Cost Index from Chemical Engineering Magazine</w:t>
      </w:r>
      <w:r w:rsidR="005C0FC5" w:rsidRPr="00386ABA">
        <w:rPr>
          <w:rFonts w:asciiTheme="minorHAnsi" w:hAnsiTheme="minorHAnsi"/>
          <w:szCs w:val="22"/>
        </w:rPr>
        <w:fldChar w:fldCharType="begin"/>
      </w:r>
      <w:r>
        <w:rPr>
          <w:rFonts w:asciiTheme="minorHAnsi" w:hAnsiTheme="minorHAnsi"/>
          <w:szCs w:val="22"/>
        </w:rPr>
        <w:instrText xml:space="preserve"> ADDIN EN.CITE &lt;EndNote&gt;&lt;Cite ExcludeAuth="1"&gt;&lt;Year&gt;2011&lt;/Year&gt;&lt;RecNum&gt;101&lt;/RecNum&gt;&lt;DisplayText&gt;[9]&lt;/DisplayText&gt;&lt;record&gt;&lt;rec-number&gt;101&lt;/rec-number&gt;&lt;foreign-keys&gt;&lt;key app="EN" db-id="sfdvf2x5ovpdznexde5xd9tjwfevrsxwdwrt" timestamp="1467300690"&gt;101&lt;/key&gt;&lt;/foreign-keys&gt;&lt;ref-type name="Web Page"&gt;12&lt;/ref-type&gt;&lt;contributors&gt;&lt;/contributors&gt;&lt;titles&gt;&lt;title&gt;Chemical Engineering Magazine&lt;/title&gt;&lt;/titles&gt;&lt;volume&gt;2013&lt;/volume&gt;&lt;number&gt;May 25&lt;/number&gt;&lt;dates&gt;&lt;year&gt;2011&lt;/year&gt;&lt;/dates&gt;&lt;publisher&gt;Chemical Engineering Magazine Plant Cost Index&lt;/publisher&gt;&lt;urls&gt;&lt;related-urls&gt;&lt;url&gt;http://www.chemengonline.com/pci-home&lt;/url&gt;&lt;/related-urls&gt;&lt;/urls&gt;&lt;/record&gt;&lt;/Cite&gt;&lt;/EndNote&gt;</w:instrText>
      </w:r>
      <w:r w:rsidR="005C0FC5" w:rsidRPr="00386ABA">
        <w:rPr>
          <w:rFonts w:asciiTheme="minorHAnsi" w:hAnsiTheme="minorHAnsi"/>
          <w:szCs w:val="22"/>
        </w:rPr>
        <w:fldChar w:fldCharType="separate"/>
      </w:r>
      <w:r>
        <w:rPr>
          <w:rFonts w:asciiTheme="minorHAnsi" w:hAnsiTheme="minorHAnsi"/>
          <w:noProof/>
          <w:szCs w:val="22"/>
        </w:rPr>
        <w:t>[</w:t>
      </w:r>
      <w:hyperlink w:anchor="_ENREF_9" w:tooltip=", 2011 #101" w:history="1">
        <w:r w:rsidR="00012E34">
          <w:rPr>
            <w:rFonts w:asciiTheme="minorHAnsi" w:hAnsiTheme="minorHAnsi"/>
            <w:noProof/>
            <w:szCs w:val="22"/>
          </w:rPr>
          <w:t>9</w:t>
        </w:r>
      </w:hyperlink>
      <w:r>
        <w:rPr>
          <w:rFonts w:asciiTheme="minorHAnsi" w:hAnsiTheme="minorHAnsi"/>
          <w:noProof/>
          <w:szCs w:val="22"/>
        </w:rPr>
        <w:t>]</w:t>
      </w:r>
      <w:r w:rsidR="005C0FC5" w:rsidRPr="00386ABA">
        <w:rPr>
          <w:rFonts w:asciiTheme="minorHAnsi" w:hAnsiTheme="minorHAnsi"/>
          <w:szCs w:val="22"/>
        </w:rPr>
        <w:fldChar w:fldCharType="end"/>
      </w:r>
      <w:r w:rsidR="00386ABA" w:rsidRPr="00386ABA">
        <w:rPr>
          <w:rFonts w:asciiTheme="minorHAnsi" w:hAnsiTheme="minorHAnsi"/>
          <w:szCs w:val="22"/>
        </w:rPr>
        <w:t xml:space="preserve">, the Industrial Inorganic Chemical Index from SRI Consulting </w:t>
      </w:r>
      <w:r w:rsidR="005C0FC5" w:rsidRPr="00386ABA">
        <w:rPr>
          <w:rFonts w:asciiTheme="minorHAnsi" w:hAnsiTheme="minorHAnsi"/>
          <w:szCs w:val="22"/>
        </w:rPr>
        <w:fldChar w:fldCharType="begin"/>
      </w:r>
      <w:r>
        <w:rPr>
          <w:rFonts w:asciiTheme="minorHAnsi" w:hAnsiTheme="minorHAnsi"/>
          <w:szCs w:val="22"/>
        </w:rPr>
        <w:instrText xml:space="preserve"> ADDIN EN.CITE &lt;EndNote&gt;&lt;Cite&gt;&lt;Author&gt;SRI Consulting&lt;/Author&gt;&lt;Year&gt;2008&lt;/Year&gt;&lt;RecNum&gt;7359&lt;/RecNum&gt;&lt;DisplayText&gt;[10]&lt;/DisplayText&gt;&lt;record&gt;&lt;rec-number&gt;7359&lt;/rec-number&gt;&lt;foreign-keys&gt;&lt;key app="EN" db-id="fsxvawpa4axfa9ezfw652feawxe0sdvatxrx" timestamp="1444342836"&gt;7359&lt;/key&gt;&lt;/foreign-keys&gt;&lt;ref-type name="Book Section"&gt;5&lt;/ref-type&gt;&lt;contributors&gt;&lt;authors&gt;&lt;author&gt;SRI Consulting,&lt;/author&gt;&lt;/authors&gt;&lt;/contributors&gt;&lt;titles&gt;&lt;title&gt;U.S. Producer Price Indexes – Chemicals and Allied Products/Industrial Inorganic Chemicals Index&lt;/title&gt;&lt;secondary-title&gt;Chemical Economics Handbook&lt;/secondary-title&gt;&lt;/titles&gt;&lt;periodical&gt;&lt;full-title&gt;Chemical Economics Handbook&lt;/full-title&gt;&lt;/periodical&gt;&lt;dates&gt;&lt;year&gt;2008&lt;/year&gt;&lt;/dates&gt;&lt;urls&gt;&lt;/urls&gt;&lt;/record&gt;&lt;/Cite&gt;&lt;/EndNote&gt;</w:instrText>
      </w:r>
      <w:r w:rsidR="005C0FC5" w:rsidRPr="00386ABA">
        <w:rPr>
          <w:rFonts w:asciiTheme="minorHAnsi" w:hAnsiTheme="minorHAnsi"/>
          <w:szCs w:val="22"/>
        </w:rPr>
        <w:fldChar w:fldCharType="separate"/>
      </w:r>
      <w:r>
        <w:rPr>
          <w:rFonts w:asciiTheme="minorHAnsi" w:hAnsiTheme="minorHAnsi"/>
          <w:noProof/>
          <w:szCs w:val="22"/>
        </w:rPr>
        <w:t>[</w:t>
      </w:r>
      <w:hyperlink w:anchor="_ENREF_10" w:tooltip="SRI Consulting, 2008 #7359" w:history="1">
        <w:r w:rsidR="00012E34">
          <w:rPr>
            <w:rFonts w:asciiTheme="minorHAnsi" w:hAnsiTheme="minorHAnsi"/>
            <w:noProof/>
            <w:szCs w:val="22"/>
          </w:rPr>
          <w:t>10</w:t>
        </w:r>
      </w:hyperlink>
      <w:r>
        <w:rPr>
          <w:rFonts w:asciiTheme="minorHAnsi" w:hAnsiTheme="minorHAnsi"/>
          <w:noProof/>
          <w:szCs w:val="22"/>
        </w:rPr>
        <w:t>]</w:t>
      </w:r>
      <w:r w:rsidR="005C0FC5" w:rsidRPr="00386ABA">
        <w:rPr>
          <w:rFonts w:asciiTheme="minorHAnsi" w:hAnsiTheme="minorHAnsi"/>
          <w:szCs w:val="22"/>
        </w:rPr>
        <w:fldChar w:fldCharType="end"/>
      </w:r>
      <w:r w:rsidR="00386ABA" w:rsidRPr="00386ABA">
        <w:rPr>
          <w:rFonts w:asciiTheme="minorHAnsi" w:hAnsiTheme="minorHAnsi"/>
          <w:szCs w:val="22"/>
        </w:rPr>
        <w:t>, and the labor indices provided by the U.S. Department of Labor Bureau of Labor Statistics</w:t>
      </w:r>
      <w:r w:rsidR="005C0FC5" w:rsidRPr="00386ABA">
        <w:rPr>
          <w:rFonts w:asciiTheme="minorHAnsi" w:hAnsiTheme="minorHAnsi"/>
          <w:szCs w:val="22"/>
        </w:rPr>
        <w:fldChar w:fldCharType="begin"/>
      </w:r>
      <w:r>
        <w:rPr>
          <w:rFonts w:asciiTheme="minorHAnsi" w:hAnsiTheme="minorHAnsi"/>
          <w:szCs w:val="22"/>
        </w:rPr>
        <w:instrText xml:space="preserve"> ADDIN EN.CITE &lt;EndNote&gt;&lt;Cite&gt;&lt;Author&gt;Bureau of Labor Statistics Data website&lt;/Author&gt;&lt;RecNum&gt;103&lt;/RecNum&gt;&lt;DisplayText&gt;[11]&lt;/DisplayText&gt;&lt;record&gt;&lt;rec-number&gt;103&lt;/rec-number&gt;&lt;foreign-keys&gt;&lt;key app="EN" db-id="sfdvf2x5ovpdznexde5xd9tjwfevrsxwdwrt" timestamp="1467300690"&gt;103&lt;/key&gt;&lt;/foreign-keys&gt;&lt;ref-type name="Web Page"&gt;12&lt;/ref-type&gt;&lt;contributors&gt;&lt;authors&gt;&lt;author&gt;Bureau of Labor Statistics Data website,&lt;/author&gt;&lt;/authors&gt;&lt;/contributors&gt;&lt;titles&gt;&lt;title&gt;Bureau of Labor Statistics Data website, National employment, hours, and earnings catalog, industry: chemicals and allied products, 1980-2009.&lt;/title&gt;&lt;/titles&gt;&lt;volume&gt;2011&lt;/volume&gt;&lt;number&gt;January 1&lt;/number&gt;&lt;dates&gt;&lt;/dates&gt;&lt;urls&gt;&lt;related-urls&gt;&lt;url&gt;http://data.bls.gov/cgi-bin/srgate&lt;/url&gt;&lt;/related-urls&gt;&lt;/urls&gt;&lt;/record&gt;&lt;/Cite&gt;&lt;/EndNote&gt;</w:instrText>
      </w:r>
      <w:r w:rsidR="005C0FC5" w:rsidRPr="00386ABA">
        <w:rPr>
          <w:rFonts w:asciiTheme="minorHAnsi" w:hAnsiTheme="minorHAnsi"/>
          <w:szCs w:val="22"/>
        </w:rPr>
        <w:fldChar w:fldCharType="separate"/>
      </w:r>
      <w:r>
        <w:rPr>
          <w:rFonts w:asciiTheme="minorHAnsi" w:hAnsiTheme="minorHAnsi"/>
          <w:noProof/>
          <w:szCs w:val="22"/>
        </w:rPr>
        <w:t>[</w:t>
      </w:r>
      <w:hyperlink w:anchor="_ENREF_11" w:tooltip="Bureau of Labor Statistics Data website,  #103" w:history="1">
        <w:r w:rsidR="00012E34">
          <w:rPr>
            <w:rFonts w:asciiTheme="minorHAnsi" w:hAnsiTheme="minorHAnsi"/>
            <w:noProof/>
            <w:szCs w:val="22"/>
          </w:rPr>
          <w:t>11</w:t>
        </w:r>
      </w:hyperlink>
      <w:r>
        <w:rPr>
          <w:rFonts w:asciiTheme="minorHAnsi" w:hAnsiTheme="minorHAnsi"/>
          <w:noProof/>
          <w:szCs w:val="22"/>
        </w:rPr>
        <w:t>]</w:t>
      </w:r>
      <w:r w:rsidR="005C0FC5" w:rsidRPr="00386ABA">
        <w:rPr>
          <w:rFonts w:asciiTheme="minorHAnsi" w:hAnsiTheme="minorHAnsi"/>
          <w:szCs w:val="22"/>
        </w:rPr>
        <w:fldChar w:fldCharType="end"/>
      </w:r>
      <w:r w:rsidR="00386ABA" w:rsidRPr="00386ABA">
        <w:rPr>
          <w:rFonts w:asciiTheme="minorHAnsi" w:hAnsiTheme="minorHAnsi"/>
          <w:szCs w:val="22"/>
        </w:rPr>
        <w:t>. Salaries for personnel are inflated to 2014 dollars</w:t>
      </w:r>
      <w:r w:rsidR="005C0FC5" w:rsidRPr="00386ABA">
        <w:rPr>
          <w:rFonts w:asciiTheme="minorHAnsi" w:hAnsiTheme="minorHAnsi"/>
          <w:szCs w:val="22"/>
        </w:rPr>
        <w:fldChar w:fldCharType="begin"/>
      </w:r>
      <w:r>
        <w:rPr>
          <w:rFonts w:asciiTheme="minorHAnsi" w:hAnsiTheme="minorHAnsi"/>
          <w:szCs w:val="22"/>
        </w:rPr>
        <w:instrText xml:space="preserve"> ADDIN EN.CITE &lt;EndNote&gt;&lt;Cite&gt;&lt;Author&gt;Bureau of Labor Statistics Data website&lt;/Author&gt;&lt;RecNum&gt;103&lt;/RecNum&gt;&lt;DisplayText&gt;[11]&lt;/DisplayText&gt;&lt;record&gt;&lt;rec-number&gt;103&lt;/rec-number&gt;&lt;foreign-keys&gt;&lt;key app="EN" db-id="sfdvf2x5ovpdznexde5xd9tjwfevrsxwdwrt" timestamp="1467300690"&gt;103&lt;/key&gt;&lt;/foreign-keys&gt;&lt;ref-type name="Web Page"&gt;12&lt;/ref-type&gt;&lt;contributors&gt;&lt;authors&gt;&lt;author&gt;Bureau of Labor Statistics Data website,&lt;/author&gt;&lt;/authors&gt;&lt;/contributors&gt;&lt;titles&gt;&lt;title&gt;Bureau of Labor Statistics Data website, National employment, hours, and earnings catalog, industry: chemicals and allied products, 1980-2009.&lt;/title&gt;&lt;/titles&gt;&lt;volume&gt;2011&lt;/volume&gt;&lt;number&gt;January 1&lt;/number&gt;&lt;dates&gt;&lt;/dates&gt;&lt;urls&gt;&lt;related-urls&gt;&lt;url&gt;http://data.bls.gov/cgi-bin/srgate&lt;/url&gt;&lt;/related-urls&gt;&lt;/urls&gt;&lt;/record&gt;&lt;/Cite&gt;&lt;/EndNote&gt;</w:instrText>
      </w:r>
      <w:r w:rsidR="005C0FC5" w:rsidRPr="00386ABA">
        <w:rPr>
          <w:rFonts w:asciiTheme="minorHAnsi" w:hAnsiTheme="minorHAnsi"/>
          <w:szCs w:val="22"/>
        </w:rPr>
        <w:fldChar w:fldCharType="separate"/>
      </w:r>
      <w:r>
        <w:rPr>
          <w:rFonts w:asciiTheme="minorHAnsi" w:hAnsiTheme="minorHAnsi"/>
          <w:noProof/>
          <w:szCs w:val="22"/>
        </w:rPr>
        <w:t>[</w:t>
      </w:r>
      <w:hyperlink w:anchor="_ENREF_11" w:tooltip="Bureau of Labor Statistics Data website,  #103" w:history="1">
        <w:r w:rsidR="00012E34">
          <w:rPr>
            <w:rFonts w:asciiTheme="minorHAnsi" w:hAnsiTheme="minorHAnsi"/>
            <w:noProof/>
            <w:szCs w:val="22"/>
          </w:rPr>
          <w:t>11</w:t>
        </w:r>
      </w:hyperlink>
      <w:r>
        <w:rPr>
          <w:rFonts w:asciiTheme="minorHAnsi" w:hAnsiTheme="minorHAnsi"/>
          <w:noProof/>
          <w:szCs w:val="22"/>
        </w:rPr>
        <w:t>]</w:t>
      </w:r>
      <w:r w:rsidR="005C0FC5" w:rsidRPr="00386ABA">
        <w:rPr>
          <w:rFonts w:asciiTheme="minorHAnsi" w:hAnsiTheme="minorHAnsi"/>
          <w:szCs w:val="22"/>
        </w:rPr>
        <w:fldChar w:fldCharType="end"/>
      </w:r>
      <w:r w:rsidR="00386ABA" w:rsidRPr="00386ABA">
        <w:rPr>
          <w:rFonts w:asciiTheme="minorHAnsi" w:hAnsiTheme="minorHAnsi"/>
          <w:szCs w:val="22"/>
        </w:rPr>
        <w:t xml:space="preserve">. Sixty percent of the total salaries are added for labor burden, and 2.0% of the total installed capital (TIC) is designated for maintenance (which includes expenses on cleaning) </w:t>
      </w:r>
      <w:r w:rsidR="005C0FC5" w:rsidRPr="00386ABA">
        <w:rPr>
          <w:rFonts w:asciiTheme="minorHAnsi" w:hAnsiTheme="minorHAnsi"/>
          <w:szCs w:val="22"/>
        </w:rPr>
        <w:fldChar w:fldCharType="begin"/>
      </w:r>
      <w:r>
        <w:rPr>
          <w:rFonts w:asciiTheme="minorHAnsi" w:hAnsiTheme="minorHAnsi"/>
          <w:szCs w:val="22"/>
        </w:rPr>
        <w:instrText xml:space="preserve"> ADDIN EN.CITE &lt;EndNote&gt;&lt;Cite&gt;&lt;Author&gt;Davis&lt;/Author&gt;&lt;Year&gt;2012&lt;/Year&gt;&lt;RecNum&gt;6362&lt;/RecNum&gt;&lt;DisplayText&gt;[12]&lt;/DisplayText&gt;&lt;record&gt;&lt;rec-number&gt;6362&lt;/rec-number&gt;&lt;foreign-keys&gt;&lt;key app="EN" db-id="fsxvawpa4axfa9ezfw652feawxe0sdvatxrx" timestamp="1429909652"&gt;6362&lt;/key&gt;&lt;/foreign-keys&gt;&lt;ref-type name="Report"&gt;27&lt;/ref-type&gt;&lt;contributors&gt;&lt;authors&gt;&lt;author&gt;Davis, Ryan&lt;/author&gt;&lt;author&gt;Fishman, D&lt;/author&gt;&lt;author&gt;Frank, ED&lt;/author&gt;&lt;author&gt;Wigmosta, MS&lt;/author&gt;&lt;author&gt;Aden, A&lt;/author&gt;&lt;author&gt;Coleman, AM&lt;/author&gt;&lt;author&gt;Pienkos, PT&lt;/author&gt;&lt;author&gt;Skaggs, RJ&lt;/author&gt;&lt;author&gt;Venteris, ER&lt;/author&gt;&lt;author&gt;Wang, MQ&lt;/author&gt;&lt;/authors&gt;&lt;/contributors&gt;&lt;titles&gt;&lt;title&gt;Renewable diesel from algal lipids: an integrated baseline for cost, emissions, and resource potential from a harmonized model&lt;/title&gt;&lt;/titles&gt;&lt;dates&gt;&lt;year&gt;2012&lt;/year&gt;&lt;pub-dates&gt;&lt;date&gt;06/01&lt;/date&gt;&lt;/pub-dates&gt;&lt;/dates&gt;&lt;pub-location&gt;Golden, CO&lt;/pub-location&gt;&lt;publisher&gt;National Renewable Energy Laboratory (NREL)&lt;/publisher&gt;&lt;isbn&gt;NREL/TP-5100-55431&lt;/isbn&gt;&lt;urls&gt;&lt;related-urls&gt;&lt;url&gt;http://www.nrel.gov/docs/fy12osti/55431.pdf&lt;/url&gt;&lt;/related-urls&gt;&lt;/urls&gt;&lt;/record&gt;&lt;/Cite&gt;&lt;/EndNote&gt;</w:instrText>
      </w:r>
      <w:r w:rsidR="005C0FC5" w:rsidRPr="00386ABA">
        <w:rPr>
          <w:rFonts w:asciiTheme="minorHAnsi" w:hAnsiTheme="minorHAnsi"/>
          <w:szCs w:val="22"/>
        </w:rPr>
        <w:fldChar w:fldCharType="separate"/>
      </w:r>
      <w:r>
        <w:rPr>
          <w:rFonts w:asciiTheme="minorHAnsi" w:hAnsiTheme="minorHAnsi"/>
          <w:noProof/>
          <w:szCs w:val="22"/>
        </w:rPr>
        <w:t>[</w:t>
      </w:r>
      <w:hyperlink w:anchor="_ENREF_12" w:tooltip="Davis, 2012 #6362" w:history="1">
        <w:r w:rsidR="00012E34">
          <w:rPr>
            <w:rFonts w:asciiTheme="minorHAnsi" w:hAnsiTheme="minorHAnsi"/>
            <w:noProof/>
            <w:szCs w:val="22"/>
          </w:rPr>
          <w:t>12</w:t>
        </w:r>
      </w:hyperlink>
      <w:r>
        <w:rPr>
          <w:rFonts w:asciiTheme="minorHAnsi" w:hAnsiTheme="minorHAnsi"/>
          <w:noProof/>
          <w:szCs w:val="22"/>
        </w:rPr>
        <w:t>]</w:t>
      </w:r>
      <w:r w:rsidR="005C0FC5" w:rsidRPr="00386ABA">
        <w:rPr>
          <w:rFonts w:asciiTheme="minorHAnsi" w:hAnsiTheme="minorHAnsi"/>
          <w:szCs w:val="22"/>
        </w:rPr>
        <w:fldChar w:fldCharType="end"/>
      </w:r>
      <w:r w:rsidR="00386ABA" w:rsidRPr="00386ABA">
        <w:rPr>
          <w:rFonts w:asciiTheme="minorHAnsi" w:hAnsiTheme="minorHAnsi"/>
          <w:szCs w:val="22"/>
        </w:rPr>
        <w:t>. Property insurance and taxes account for 1.5% of the total capital investment (TCI)</w:t>
      </w:r>
      <w:r w:rsidR="005C0FC5" w:rsidRPr="00386ABA">
        <w:rPr>
          <w:rFonts w:asciiTheme="minorHAnsi" w:hAnsiTheme="minorHAnsi"/>
          <w:szCs w:val="22"/>
        </w:rPr>
        <w:fldChar w:fldCharType="begin"/>
      </w:r>
      <w:r>
        <w:rPr>
          <w:rFonts w:asciiTheme="minorHAnsi" w:hAnsiTheme="minorHAnsi"/>
          <w:szCs w:val="22"/>
        </w:rPr>
        <w:instrText xml:space="preserve"> ADDIN EN.CITE &lt;EndNote&gt;&lt;Cite&gt;&lt;Author&gt;Davis&lt;/Author&gt;&lt;Year&gt;2012&lt;/Year&gt;&lt;RecNum&gt;6362&lt;/RecNum&gt;&lt;DisplayText&gt;[12]&lt;/DisplayText&gt;&lt;record&gt;&lt;rec-number&gt;6362&lt;/rec-number&gt;&lt;foreign-keys&gt;&lt;key app="EN" db-id="fsxvawpa4axfa9ezfw652feawxe0sdvatxrx" timestamp="1429909652"&gt;6362&lt;/key&gt;&lt;/foreign-keys&gt;&lt;ref-type name="Report"&gt;27&lt;/ref-type&gt;&lt;contributors&gt;&lt;authors&gt;&lt;author&gt;Davis, Ryan&lt;/author&gt;&lt;author&gt;Fishman, D&lt;/author&gt;&lt;author&gt;Frank, ED&lt;/author&gt;&lt;author&gt;Wigmosta, MS&lt;/author&gt;&lt;author&gt;Aden, A&lt;/author&gt;&lt;author&gt;Coleman, AM&lt;/author&gt;&lt;author&gt;Pienkos, PT&lt;/author&gt;&lt;author&gt;Skaggs, RJ&lt;/author&gt;&lt;author&gt;Venteris, ER&lt;/author&gt;&lt;author&gt;Wang, MQ&lt;/author&gt;&lt;/authors&gt;&lt;/contributors&gt;&lt;titles&gt;&lt;title&gt;Renewable diesel from algal lipids: an integrated baseline for cost, emissions, and resource potential from a harmonized model&lt;/title&gt;&lt;/titles&gt;&lt;dates&gt;&lt;year&gt;2012&lt;/year&gt;&lt;pub-dates&gt;&lt;date&gt;06/01&lt;/date&gt;&lt;/pub-dates&gt;&lt;/dates&gt;&lt;pub-location&gt;Golden, CO&lt;/pub-location&gt;&lt;publisher&gt;National Renewable Energy Laboratory (NREL)&lt;/publisher&gt;&lt;isbn&gt;NREL/TP-5100-55431&lt;/isbn&gt;&lt;urls&gt;&lt;related-urls&gt;&lt;url&gt;http://www.nrel.gov/docs/fy12osti/55431.pdf&lt;/url&gt;&lt;/related-urls&gt;&lt;/urls&gt;&lt;/record&gt;&lt;/Cite&gt;&lt;/EndNote&gt;</w:instrText>
      </w:r>
      <w:r w:rsidR="005C0FC5" w:rsidRPr="00386ABA">
        <w:rPr>
          <w:rFonts w:asciiTheme="minorHAnsi" w:hAnsiTheme="minorHAnsi"/>
          <w:szCs w:val="22"/>
        </w:rPr>
        <w:fldChar w:fldCharType="separate"/>
      </w:r>
      <w:r>
        <w:rPr>
          <w:rFonts w:asciiTheme="minorHAnsi" w:hAnsiTheme="minorHAnsi"/>
          <w:noProof/>
          <w:szCs w:val="22"/>
        </w:rPr>
        <w:t>[</w:t>
      </w:r>
      <w:hyperlink w:anchor="_ENREF_12" w:tooltip="Davis, 2012 #6362" w:history="1">
        <w:r w:rsidR="00012E34">
          <w:rPr>
            <w:rFonts w:asciiTheme="minorHAnsi" w:hAnsiTheme="minorHAnsi"/>
            <w:noProof/>
            <w:szCs w:val="22"/>
          </w:rPr>
          <w:t>12</w:t>
        </w:r>
      </w:hyperlink>
      <w:r>
        <w:rPr>
          <w:rFonts w:asciiTheme="minorHAnsi" w:hAnsiTheme="minorHAnsi"/>
          <w:noProof/>
          <w:szCs w:val="22"/>
        </w:rPr>
        <w:t>]</w:t>
      </w:r>
      <w:r w:rsidR="005C0FC5" w:rsidRPr="00386ABA">
        <w:rPr>
          <w:rFonts w:asciiTheme="minorHAnsi" w:hAnsiTheme="minorHAnsi"/>
          <w:szCs w:val="22"/>
        </w:rPr>
        <w:fldChar w:fldCharType="end"/>
      </w:r>
      <w:r w:rsidR="00386ABA" w:rsidRPr="00386ABA">
        <w:rPr>
          <w:rFonts w:asciiTheme="minorHAnsi" w:hAnsiTheme="minorHAnsi"/>
          <w:szCs w:val="22"/>
        </w:rPr>
        <w:t xml:space="preserve">. The federal corporate tax rate used in our analysis is 35%. Income tax is averaged over the plant life and that average is calculated on a per-gallon basis. The amount of income tax to be paid by a potential fuel producer varies annually due to changes in the volume of product produced and the allowable depreciation deduction. </w:t>
      </w:r>
    </w:p>
    <w:p w:rsidR="00386ABA" w:rsidRDefault="00386ABA" w:rsidP="00386ABA">
      <w:pPr>
        <w:pStyle w:val="PlainText"/>
        <w:rPr>
          <w:rFonts w:asciiTheme="minorHAnsi" w:hAnsiTheme="minorHAnsi"/>
          <w:color w:val="000000" w:themeColor="text1"/>
          <w:szCs w:val="22"/>
        </w:rPr>
      </w:pPr>
    </w:p>
    <w:p w:rsidR="008E6322" w:rsidRDefault="00012E34" w:rsidP="00012E34">
      <w:pPr>
        <w:pStyle w:val="PlainText"/>
        <w:jc w:val="both"/>
      </w:pPr>
      <w:r w:rsidRPr="00012E34">
        <w:rPr>
          <w:rFonts w:asciiTheme="minorHAnsi" w:hAnsiTheme="minorHAnsi"/>
          <w:color w:val="000000" w:themeColor="text1"/>
          <w:szCs w:val="22"/>
          <w:u w:val="single"/>
        </w:rPr>
        <w:t>Definition of nth-Plant Economics</w:t>
      </w:r>
      <w:r>
        <w:rPr>
          <w:rFonts w:asciiTheme="minorHAnsi" w:hAnsiTheme="minorHAnsi"/>
          <w:color w:val="000000" w:themeColor="text1"/>
          <w:szCs w:val="22"/>
          <w:u w:val="single"/>
        </w:rPr>
        <w:t xml:space="preserve"> </w:t>
      </w:r>
      <w:r w:rsidR="005C0FC5">
        <w:rPr>
          <w:rFonts w:asciiTheme="minorHAnsi" w:hAnsiTheme="minorHAnsi"/>
          <w:color w:val="000000" w:themeColor="text1"/>
          <w:szCs w:val="22"/>
          <w:u w:val="single"/>
        </w:rPr>
        <w:fldChar w:fldCharType="begin">
          <w:fldData xml:space="preserve">PEVuZE5vdGU+PENpdGU+PEF1dGhvcj5EdXR0YTwvQXV0aG9yPjxZZWFyPjIwMTU8L1llYXI+PFJl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</w:fldData>
        </w:fldChar>
      </w:r>
      <w:r>
        <w:rPr>
          <w:rFonts w:asciiTheme="minorHAnsi" w:hAnsiTheme="minorHAnsi"/>
          <w:color w:val="000000" w:themeColor="text1"/>
          <w:szCs w:val="22"/>
          <w:u w:val="single"/>
        </w:rPr>
        <w:instrText xml:space="preserve"> ADDIN EN.CITE </w:instrText>
      </w:r>
      <w:r w:rsidR="005C0FC5">
        <w:rPr>
          <w:rFonts w:asciiTheme="minorHAnsi" w:hAnsiTheme="minorHAnsi"/>
          <w:color w:val="000000" w:themeColor="text1"/>
          <w:szCs w:val="22"/>
          <w:u w:val="single"/>
        </w:rPr>
        <w:fldChar w:fldCharType="begin">
          <w:fldData xml:space="preserve">PEVuZE5vdGU+PENpdGU+PEF1dGhvcj5EdXR0YTwvQXV0aG9yPjxZZWFyPjIwMTU8L1llYXI+PFJl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</w:fldData>
        </w:fldChar>
      </w:r>
      <w:r>
        <w:rPr>
          <w:rFonts w:asciiTheme="minorHAnsi" w:hAnsiTheme="minorHAnsi"/>
          <w:color w:val="000000" w:themeColor="text1"/>
          <w:szCs w:val="22"/>
          <w:u w:val="single"/>
        </w:rPr>
        <w:instrText xml:space="preserve"> ADDIN EN.CITE.DATA </w:instrText>
      </w:r>
      <w:r w:rsidR="005C0FC5">
        <w:rPr>
          <w:rFonts w:asciiTheme="minorHAnsi" w:hAnsiTheme="minorHAnsi"/>
          <w:color w:val="000000" w:themeColor="text1"/>
          <w:szCs w:val="22"/>
          <w:u w:val="single"/>
        </w:rPr>
      </w:r>
      <w:r w:rsidR="005C0FC5">
        <w:rPr>
          <w:rFonts w:asciiTheme="minorHAnsi" w:hAnsiTheme="minorHAnsi"/>
          <w:color w:val="000000" w:themeColor="text1"/>
          <w:szCs w:val="22"/>
          <w:u w:val="single"/>
        </w:rPr>
        <w:fldChar w:fldCharType="end"/>
      </w:r>
      <w:r w:rsidR="005C0FC5">
        <w:rPr>
          <w:rFonts w:asciiTheme="minorHAnsi" w:hAnsiTheme="minorHAnsi"/>
          <w:color w:val="000000" w:themeColor="text1"/>
          <w:szCs w:val="22"/>
          <w:u w:val="single"/>
        </w:rPr>
      </w:r>
      <w:r w:rsidR="005C0FC5">
        <w:rPr>
          <w:rFonts w:asciiTheme="minorHAnsi" w:hAnsiTheme="minorHAnsi"/>
          <w:color w:val="000000" w:themeColor="text1"/>
          <w:szCs w:val="22"/>
          <w:u w:val="single"/>
        </w:rPr>
        <w:fldChar w:fldCharType="separate"/>
      </w:r>
      <w:r>
        <w:rPr>
          <w:rFonts w:asciiTheme="minorHAnsi" w:hAnsiTheme="minorHAnsi"/>
          <w:noProof/>
          <w:color w:val="000000" w:themeColor="text1"/>
          <w:szCs w:val="22"/>
          <w:u w:val="single"/>
        </w:rPr>
        <w:t>[</w:t>
      </w:r>
      <w:hyperlink w:anchor="_ENREF_3" w:tooltip="Aden, 2002 #1588" w:history="1">
        <w:r>
          <w:rPr>
            <w:rFonts w:asciiTheme="minorHAnsi" w:hAnsiTheme="minorHAnsi"/>
            <w:noProof/>
            <w:color w:val="000000" w:themeColor="text1"/>
            <w:szCs w:val="22"/>
            <w:u w:val="single"/>
          </w:rPr>
          <w:t>3-5</w:t>
        </w:r>
      </w:hyperlink>
      <w:r>
        <w:rPr>
          <w:rFonts w:asciiTheme="minorHAnsi" w:hAnsiTheme="minorHAnsi"/>
          <w:noProof/>
          <w:color w:val="000000" w:themeColor="text1"/>
          <w:szCs w:val="22"/>
          <w:u w:val="single"/>
        </w:rPr>
        <w:t xml:space="preserve">, </w:t>
      </w:r>
      <w:hyperlink w:anchor="_ENREF_13" w:tooltip="Dutta, 2015 #8993" w:history="1">
        <w:r>
          <w:rPr>
            <w:rFonts w:asciiTheme="minorHAnsi" w:hAnsiTheme="minorHAnsi"/>
            <w:noProof/>
            <w:color w:val="000000" w:themeColor="text1"/>
            <w:szCs w:val="22"/>
            <w:u w:val="single"/>
          </w:rPr>
          <w:t>13</w:t>
        </w:r>
      </w:hyperlink>
      <w:r>
        <w:rPr>
          <w:rFonts w:asciiTheme="minorHAnsi" w:hAnsiTheme="minorHAnsi"/>
          <w:noProof/>
          <w:color w:val="000000" w:themeColor="text1"/>
          <w:szCs w:val="22"/>
          <w:u w:val="single"/>
        </w:rPr>
        <w:t>]</w:t>
      </w:r>
      <w:r w:rsidR="005C0FC5">
        <w:rPr>
          <w:rFonts w:asciiTheme="minorHAnsi" w:hAnsiTheme="minorHAnsi"/>
          <w:color w:val="000000" w:themeColor="text1"/>
          <w:szCs w:val="22"/>
          <w:u w:val="single"/>
        </w:rPr>
        <w:fldChar w:fldCharType="end"/>
      </w:r>
      <w:r>
        <w:rPr>
          <w:rFonts w:asciiTheme="minorHAnsi" w:hAnsiTheme="minorHAnsi"/>
          <w:color w:val="000000" w:themeColor="text1"/>
          <w:szCs w:val="22"/>
          <w:u w:val="single"/>
        </w:rPr>
        <w:t xml:space="preserve">. </w:t>
      </w:r>
      <w:r w:rsidRPr="00012E34">
        <w:rPr>
          <w:rFonts w:asciiTheme="minorHAnsi" w:hAnsiTheme="minorHAnsi"/>
          <w:color w:val="000000" w:themeColor="text1"/>
          <w:szCs w:val="22"/>
        </w:rPr>
        <w:t>The key assumption</w:t>
      </w:r>
      <w:r>
        <w:rPr>
          <w:rFonts w:asciiTheme="minorHAnsi" w:hAnsiTheme="minorHAnsi"/>
          <w:color w:val="000000" w:themeColor="text1"/>
          <w:szCs w:val="22"/>
        </w:rPr>
        <w:t xml:space="preserve"> </w:t>
      </w:r>
      <w:r w:rsidRPr="00012E34">
        <w:rPr>
          <w:rFonts w:asciiTheme="minorHAnsi" w:hAnsiTheme="minorHAnsi"/>
          <w:color w:val="000000" w:themeColor="text1"/>
          <w:szCs w:val="22"/>
        </w:rPr>
        <w:t>associated with nth-plant economics is that several plants using the same technology have already</w:t>
      </w:r>
      <w:r>
        <w:rPr>
          <w:rFonts w:asciiTheme="minorHAnsi" w:hAnsiTheme="minorHAnsi"/>
          <w:color w:val="000000" w:themeColor="text1"/>
          <w:szCs w:val="22"/>
        </w:rPr>
        <w:t xml:space="preserve"> </w:t>
      </w:r>
      <w:r w:rsidRPr="00012E34">
        <w:rPr>
          <w:rFonts w:asciiTheme="minorHAnsi" w:hAnsiTheme="minorHAnsi"/>
          <w:color w:val="000000" w:themeColor="text1"/>
          <w:szCs w:val="22"/>
        </w:rPr>
        <w:t>been built and are operating. In other words, the assumption reflects a future in which a</w:t>
      </w:r>
      <w:r>
        <w:rPr>
          <w:rFonts w:asciiTheme="minorHAnsi" w:hAnsiTheme="minorHAnsi"/>
          <w:color w:val="000000" w:themeColor="text1"/>
          <w:szCs w:val="22"/>
        </w:rPr>
        <w:t xml:space="preserve"> </w:t>
      </w:r>
      <w:r w:rsidRPr="00012E34">
        <w:rPr>
          <w:rFonts w:asciiTheme="minorHAnsi" w:hAnsiTheme="minorHAnsi"/>
          <w:color w:val="000000" w:themeColor="text1"/>
          <w:szCs w:val="22"/>
        </w:rPr>
        <w:t>successful industry has been established with many operating plants. Because the techno</w:t>
      </w:r>
      <w:r>
        <w:rPr>
          <w:rFonts w:asciiTheme="minorHAnsi" w:hAnsiTheme="minorHAnsi"/>
          <w:color w:val="000000" w:themeColor="text1"/>
          <w:szCs w:val="22"/>
        </w:rPr>
        <w:t>-</w:t>
      </w:r>
      <w:r w:rsidRPr="00012E34">
        <w:rPr>
          <w:rFonts w:asciiTheme="minorHAnsi" w:hAnsiTheme="minorHAnsi"/>
          <w:color w:val="000000" w:themeColor="text1"/>
          <w:szCs w:val="22"/>
        </w:rPr>
        <w:t>economic</w:t>
      </w:r>
      <w:r>
        <w:rPr>
          <w:rFonts w:asciiTheme="minorHAnsi" w:hAnsiTheme="minorHAnsi"/>
          <w:color w:val="000000" w:themeColor="text1"/>
          <w:szCs w:val="22"/>
        </w:rPr>
        <w:t xml:space="preserve"> </w:t>
      </w:r>
      <w:r w:rsidRPr="00012E34">
        <w:rPr>
          <w:rFonts w:asciiTheme="minorHAnsi" w:hAnsiTheme="minorHAnsi"/>
          <w:color w:val="000000" w:themeColor="text1"/>
          <w:szCs w:val="22"/>
        </w:rPr>
        <w:t>model is a tool used primarily for (1) studying new process technologies or (2)</w:t>
      </w:r>
      <w:r>
        <w:rPr>
          <w:rFonts w:asciiTheme="minorHAnsi" w:hAnsiTheme="minorHAnsi"/>
          <w:color w:val="000000" w:themeColor="text1"/>
          <w:szCs w:val="22"/>
        </w:rPr>
        <w:t xml:space="preserve"> </w:t>
      </w:r>
      <w:r w:rsidRPr="00012E34">
        <w:rPr>
          <w:rFonts w:asciiTheme="minorHAnsi" w:hAnsiTheme="minorHAnsi"/>
          <w:color w:val="000000" w:themeColor="text1"/>
          <w:szCs w:val="22"/>
        </w:rPr>
        <w:t>comparing integrated processes in order to comment on their relative economic impact, it is</w:t>
      </w:r>
      <w:r>
        <w:rPr>
          <w:rFonts w:asciiTheme="minorHAnsi" w:hAnsiTheme="minorHAnsi"/>
          <w:color w:val="000000" w:themeColor="text1"/>
          <w:szCs w:val="22"/>
        </w:rPr>
        <w:t xml:space="preserve"> </w:t>
      </w:r>
      <w:r w:rsidRPr="00012E34">
        <w:rPr>
          <w:rFonts w:asciiTheme="minorHAnsi" w:hAnsiTheme="minorHAnsi"/>
          <w:color w:val="000000" w:themeColor="text1"/>
          <w:szCs w:val="22"/>
        </w:rPr>
        <w:t>prudent to ignore artificial inflation of project costs associated with risk financing, longer start-</w:t>
      </w:r>
      <w:r w:rsidRPr="00012E34">
        <w:t xml:space="preserve"> </w:t>
      </w:r>
      <w:r>
        <w:t xml:space="preserve">ups, equipment overdesign, and other costs associated with pioneer plants, as these overshadow the real economic impact of advances in conversion science or process engineering research. At the very least, nth-plant economics should help to provide justification and support for early technology adopters and pioneer plants about longer-term prospects. Because equipment costs in this design report have been estimated explicitly, the nth-plant assumptions apply primarily to the factored cost model used to determine the total capital investment from the purchased equipment cost and to the assumptions applied for plant financing. The nth-plant assumption also applies to operating parameters, such as process uptime and start-up time. </w:t>
      </w:r>
      <w:bookmarkStart w:id="0" w:name="_GoBack"/>
      <w:r>
        <w:t>A summary of the nth-plant assumptions applied in are listed in Table 2.</w:t>
      </w:r>
      <w:bookmarkEnd w:id="0"/>
      <w:r>
        <w:t xml:space="preserve"> These financial assumptions are consistent with assumptions used for other economic analyses done for DOE’s Bioenergy Technologies Office, with some deviations to reflect the uniqueness of the current processes. </w:t>
      </w:r>
      <w:r w:rsidRPr="00012E34">
        <w:t xml:space="preserve">The key assumption implied by nth-plant economics is that our analysis does not describe a pioneer plant; instead, it assumes several plants using the same technology have already </w:t>
      </w:r>
      <w:r w:rsidRPr="00012E34">
        <w:lastRenderedPageBreak/>
        <w:t>been built and are operating. In other words, it reflects a mature future in which a successful industry of n plants has been established. Because the techno-economic model is primarily a tool for studying new process technologies or integration schemes in order to comment on their comparative economic impact, nth-plant analysis avoids artificial inflation of project costs associated with risk financing, longer startups, equipment overdesign, and other costs associated with first-of-a-kind or pioneer plants, lest these overshadow the economic impact of research advances in conve</w:t>
      </w:r>
      <w:r>
        <w:t xml:space="preserve">rsion or process integration </w:t>
      </w:r>
      <w:r w:rsidRPr="00012E34">
        <w:t>. At the very least, these nth-plant economics should help to provide justification and support for early technology adopters and pioneer plants. We will work on quantifying economic factors associated with first-of-a-kind implementation as our next steps.</w:t>
      </w:r>
    </w:p>
    <w:p w:rsidR="00012E34" w:rsidRDefault="00012E34" w:rsidP="00012E34">
      <w:pPr>
        <w:pStyle w:val="PlainText"/>
        <w:rPr>
          <w:rFonts w:asciiTheme="minorHAnsi" w:hAnsiTheme="minorHAnsi"/>
          <w:color w:val="000000" w:themeColor="text1"/>
          <w:szCs w:val="22"/>
        </w:rPr>
      </w:pPr>
    </w:p>
    <w:p w:rsidR="00386ABA" w:rsidRDefault="00386ABA" w:rsidP="00386ABA">
      <w:pPr>
        <w:pStyle w:val="Heading3"/>
      </w:pPr>
      <w:r>
        <w:t>Reference:</w:t>
      </w:r>
    </w:p>
    <w:p w:rsidR="00386ABA" w:rsidRDefault="00386ABA" w:rsidP="00386ABA">
      <w:pPr>
        <w:pStyle w:val="PlainText"/>
        <w:rPr>
          <w:rFonts w:asciiTheme="minorHAnsi" w:hAnsiTheme="minorHAnsi"/>
          <w:color w:val="000000" w:themeColor="text1"/>
          <w:szCs w:val="22"/>
        </w:rPr>
      </w:pPr>
    </w:p>
    <w:p w:rsidR="00012E34" w:rsidRPr="00012E34" w:rsidRDefault="005C0FC5" w:rsidP="00012E34">
      <w:pPr>
        <w:pStyle w:val="EndNoteBibliography"/>
        <w:spacing w:after="0"/>
        <w:ind w:left="720" w:hanging="720"/>
      </w:pPr>
      <w:r w:rsidRPr="005C0FC5">
        <w:rPr>
          <w:rFonts w:asciiTheme="minorHAnsi" w:hAnsiTheme="minorHAnsi"/>
          <w:color w:val="000000" w:themeColor="text1"/>
          <w:szCs w:val="22"/>
        </w:rPr>
        <w:fldChar w:fldCharType="begin"/>
      </w:r>
      <w:r w:rsidR="00386ABA">
        <w:rPr>
          <w:rFonts w:asciiTheme="minorHAnsi" w:hAnsiTheme="minorHAnsi"/>
          <w:color w:val="000000" w:themeColor="text1"/>
          <w:szCs w:val="22"/>
        </w:rPr>
        <w:instrText xml:space="preserve"> ADDIN EN.REFLIST </w:instrText>
      </w:r>
      <w:r w:rsidRPr="005C0FC5">
        <w:rPr>
          <w:rFonts w:asciiTheme="minorHAnsi" w:hAnsiTheme="minorHAnsi"/>
          <w:color w:val="000000" w:themeColor="text1"/>
          <w:szCs w:val="22"/>
        </w:rPr>
        <w:fldChar w:fldCharType="separate"/>
      </w:r>
      <w:bookmarkStart w:id="1" w:name="_ENREF_1"/>
      <w:r w:rsidR="00012E34" w:rsidRPr="00012E34">
        <w:t>1.</w:t>
      </w:r>
      <w:r w:rsidR="00012E34" w:rsidRPr="00012E34">
        <w:tab/>
        <w:t xml:space="preserve">Peters M, Timmerhaus K: </w:t>
      </w:r>
      <w:r w:rsidR="00012E34" w:rsidRPr="00012E34">
        <w:rPr>
          <w:i/>
        </w:rPr>
        <w:t>Plant Design and Economics for Chemical Engineers.</w:t>
      </w:r>
      <w:r w:rsidR="00012E34" w:rsidRPr="00012E34">
        <w:t xml:space="preserve"> 4th Edition edn. New York City: McGraw-Hill; 1991.</w:t>
      </w:r>
      <w:bookmarkEnd w:id="1"/>
    </w:p>
    <w:p w:rsidR="00012E34" w:rsidRPr="00012E34" w:rsidRDefault="00012E34" w:rsidP="00012E34">
      <w:pPr>
        <w:pStyle w:val="EndNoteBibliography"/>
        <w:spacing w:after="0"/>
        <w:ind w:left="720" w:hanging="720"/>
      </w:pPr>
      <w:bookmarkStart w:id="2" w:name="_ENREF_2"/>
      <w:r w:rsidRPr="00012E34">
        <w:t>2.</w:t>
      </w:r>
      <w:r w:rsidRPr="00012E34">
        <w:tab/>
        <w:t xml:space="preserve">Peters MS, Timmerhaus KD, West RE, Timmerhaus K, West R: </w:t>
      </w:r>
      <w:r w:rsidRPr="00012E34">
        <w:rPr>
          <w:i/>
        </w:rPr>
        <w:t>Plant design and economics for chemical engineers.</w:t>
      </w:r>
      <w:r w:rsidRPr="00012E34">
        <w:t xml:space="preserve"> McGraw-Hill New York; 2003.</w:t>
      </w:r>
      <w:bookmarkEnd w:id="2"/>
    </w:p>
    <w:p w:rsidR="00012E34" w:rsidRPr="00012E34" w:rsidRDefault="00012E34" w:rsidP="00012E34">
      <w:pPr>
        <w:pStyle w:val="EndNoteBibliography"/>
        <w:spacing w:after="0"/>
        <w:ind w:left="720" w:hanging="720"/>
      </w:pPr>
      <w:bookmarkStart w:id="3" w:name="_ENREF_3"/>
      <w:r w:rsidRPr="00012E34">
        <w:t>3.</w:t>
      </w:r>
      <w:r w:rsidRPr="00012E34">
        <w:tab/>
        <w:t xml:space="preserve">Aden A, Ruth M, Ibsen K, Jechura J, Neeves K, Sheehan J, Wallace B, Montague L, Slayton A, Lukas J: </w:t>
      </w:r>
      <w:r w:rsidRPr="00012E34">
        <w:rPr>
          <w:b/>
        </w:rPr>
        <w:t>Lignocellulosic Biomass to Ethanol Process Design and Economics Utilizing Co-Current Dilute Acid Prehydrolysis and Enzymatic Hydrolysis for Corn Stover.</w:t>
      </w:r>
      <w:r w:rsidRPr="00012E34">
        <w:t xml:space="preserve"> In </w:t>
      </w:r>
      <w:r w:rsidRPr="00012E34">
        <w:rPr>
          <w:i/>
        </w:rPr>
        <w:t>Other Information: PBD: 1 Jun 2002</w:t>
      </w:r>
      <w:r w:rsidRPr="00012E34">
        <w:t>. pp. Medium: ED; Size: 154 pages; 2002:Medium: ED; Size: 154 pages.</w:t>
      </w:r>
      <w:bookmarkEnd w:id="3"/>
    </w:p>
    <w:p w:rsidR="00012E34" w:rsidRPr="00012E34" w:rsidRDefault="00012E34" w:rsidP="00012E34">
      <w:pPr>
        <w:pStyle w:val="EndNoteBibliography"/>
        <w:spacing w:after="0"/>
        <w:ind w:left="720" w:hanging="720"/>
      </w:pPr>
      <w:bookmarkStart w:id="4" w:name="_ENREF_4"/>
      <w:r w:rsidRPr="00012E34">
        <w:t>4.</w:t>
      </w:r>
      <w:r w:rsidRPr="00012E34">
        <w:tab/>
        <w:t xml:space="preserve">Davis R, Tao L, Tan EC, Biddy MJ, Beckham G, Scarlata CJ, Jacobson J, Cafferty K, Ross J, Lukas J, et al: </w:t>
      </w:r>
      <w:r w:rsidRPr="00012E34">
        <w:rPr>
          <w:b/>
        </w:rPr>
        <w:t>Process Design and Economics for the Conversion of Lignocellulosic Biomass to Hydrocarbons-Dilute-Acid and Enzymatic Deconstruction of Biomass to Sugars and Biological Conversion of Sugars to Hydrocarbons.</w:t>
      </w:r>
      <w:r w:rsidRPr="00012E34">
        <w:t xml:space="preserve"> 2013.</w:t>
      </w:r>
      <w:bookmarkEnd w:id="4"/>
    </w:p>
    <w:p w:rsidR="00012E34" w:rsidRPr="00012E34" w:rsidRDefault="00012E34" w:rsidP="00012E34">
      <w:pPr>
        <w:pStyle w:val="EndNoteBibliography"/>
        <w:spacing w:after="0"/>
        <w:ind w:left="720" w:hanging="720"/>
      </w:pPr>
      <w:bookmarkStart w:id="5" w:name="_ENREF_5"/>
      <w:r w:rsidRPr="00012E34">
        <w:t>5.</w:t>
      </w:r>
      <w:r w:rsidRPr="00012E34">
        <w:tab/>
        <w:t xml:space="preserve">Humbird D, Davis R, Tao L, Kinchin C, Hsu D, Aden A, Schoen P, Lukas J, Olthof B, Worley M, et al: </w:t>
      </w:r>
      <w:r w:rsidRPr="00012E34">
        <w:rPr>
          <w:b/>
        </w:rPr>
        <w:t>Process Design and Economics for Biochemical Conversion of Lignocellulosic Biomass to Ethanol: Dilute-Acid Pretreatment and Enzymatic Hydrolysis of Corn Stover.</w:t>
      </w:r>
      <w:r w:rsidRPr="00012E34">
        <w:t xml:space="preserve"> 2011.</w:t>
      </w:r>
      <w:bookmarkEnd w:id="5"/>
    </w:p>
    <w:p w:rsidR="00012E34" w:rsidRPr="00012E34" w:rsidRDefault="00012E34" w:rsidP="00012E34">
      <w:pPr>
        <w:pStyle w:val="EndNoteBibliography"/>
        <w:spacing w:after="0"/>
        <w:ind w:left="720" w:hanging="720"/>
      </w:pPr>
      <w:bookmarkStart w:id="6" w:name="_ENREF_6"/>
      <w:r w:rsidRPr="00012E34">
        <w:t>6.</w:t>
      </w:r>
      <w:r w:rsidRPr="00012E34">
        <w:tab/>
        <w:t xml:space="preserve">Short W, Packey DJ, Holt T: </w:t>
      </w:r>
      <w:r w:rsidRPr="00012E34">
        <w:rPr>
          <w:b/>
        </w:rPr>
        <w:t>A Manual for the Economic Evaluation and Energy Efficiency and Renewable Energy Technologies.</w:t>
      </w:r>
      <w:r w:rsidRPr="00012E34">
        <w:t xml:space="preserve"> Golden CO: National Renewable Energy Laboratory; 1995.</w:t>
      </w:r>
      <w:bookmarkEnd w:id="6"/>
    </w:p>
    <w:p w:rsidR="00012E34" w:rsidRPr="00012E34" w:rsidRDefault="00012E34" w:rsidP="00012E34">
      <w:pPr>
        <w:pStyle w:val="EndNoteBibliography"/>
        <w:spacing w:after="0"/>
        <w:ind w:left="720" w:hanging="720"/>
      </w:pPr>
      <w:bookmarkStart w:id="7" w:name="_ENREF_7"/>
      <w:r w:rsidRPr="00012E34">
        <w:t>7.</w:t>
      </w:r>
      <w:r w:rsidRPr="00012E34">
        <w:tab/>
        <w:t xml:space="preserve">Service IR: </w:t>
      </w:r>
      <w:r w:rsidRPr="00012E34">
        <w:rPr>
          <w:b/>
        </w:rPr>
        <w:t>How to Depreciate Property.</w:t>
      </w:r>
      <w:r w:rsidRPr="00012E34">
        <w:t xml:space="preserve">  (Treasury Dot ed. Washington, D.C.; 2009.</w:t>
      </w:r>
      <w:bookmarkEnd w:id="7"/>
    </w:p>
    <w:p w:rsidR="00012E34" w:rsidRPr="00012E34" w:rsidRDefault="00012E34" w:rsidP="00012E34">
      <w:pPr>
        <w:pStyle w:val="EndNoteBibliography"/>
        <w:spacing w:after="0"/>
        <w:ind w:left="720" w:hanging="720"/>
      </w:pPr>
      <w:bookmarkStart w:id="8" w:name="_ENREF_8"/>
      <w:r w:rsidRPr="00012E34">
        <w:t>8.</w:t>
      </w:r>
      <w:r w:rsidRPr="00012E34">
        <w:tab/>
        <w:t>AspenPlus</w:t>
      </w:r>
      <w:r w:rsidRPr="00012E34">
        <w:rPr>
          <w:vertAlign w:val="superscript"/>
        </w:rPr>
        <w:t>TM</w:t>
      </w:r>
      <w:r w:rsidRPr="00012E34">
        <w:t xml:space="preserve">: </w:t>
      </w:r>
      <w:r w:rsidRPr="00012E34">
        <w:rPr>
          <w:b/>
        </w:rPr>
        <w:t>Release 7.2, Aspen Technology Inc., Cambridge MA.</w:t>
      </w:r>
      <w:r w:rsidRPr="00012E34">
        <w:t xml:space="preserve"> 2007.</w:t>
      </w:r>
      <w:bookmarkEnd w:id="8"/>
    </w:p>
    <w:p w:rsidR="00012E34" w:rsidRPr="00012E34" w:rsidRDefault="00012E34" w:rsidP="00012E34">
      <w:pPr>
        <w:pStyle w:val="EndNoteBibliography"/>
        <w:spacing w:after="0"/>
        <w:ind w:left="720" w:hanging="720"/>
      </w:pPr>
      <w:bookmarkStart w:id="9" w:name="_ENREF_9"/>
      <w:r w:rsidRPr="00012E34">
        <w:t>9.</w:t>
      </w:r>
      <w:r w:rsidRPr="00012E34">
        <w:tab/>
      </w:r>
      <w:r w:rsidRPr="00012E34">
        <w:rPr>
          <w:b/>
        </w:rPr>
        <w:t xml:space="preserve">Chemical Engineering Magazine </w:t>
      </w:r>
      <w:r w:rsidRPr="00012E34">
        <w:t>[</w:t>
      </w:r>
      <w:hyperlink r:id="rId5" w:history="1">
        <w:r w:rsidRPr="00012E34">
          <w:rPr>
            <w:rStyle w:val="Hyperlink"/>
          </w:rPr>
          <w:t>http://www.chemengonline.com/pci-home</w:t>
        </w:r>
      </w:hyperlink>
      <w:r w:rsidRPr="00012E34">
        <w:t>]</w:t>
      </w:r>
      <w:bookmarkEnd w:id="9"/>
    </w:p>
    <w:p w:rsidR="00012E34" w:rsidRPr="00012E34" w:rsidRDefault="00012E34" w:rsidP="00012E34">
      <w:pPr>
        <w:pStyle w:val="EndNoteBibliography"/>
        <w:spacing w:after="0"/>
        <w:ind w:left="720" w:hanging="720"/>
      </w:pPr>
      <w:bookmarkStart w:id="10" w:name="_ENREF_10"/>
      <w:r w:rsidRPr="00012E34">
        <w:t>10.</w:t>
      </w:r>
      <w:r w:rsidRPr="00012E34">
        <w:tab/>
        <w:t xml:space="preserve">SRI Consulting: </w:t>
      </w:r>
      <w:r w:rsidRPr="00012E34">
        <w:rPr>
          <w:b/>
        </w:rPr>
        <w:t>U.S. Producer Price Indexes – Chemicals and Allied Products/Industrial Inorganic Chemicals Index.</w:t>
      </w:r>
      <w:r w:rsidRPr="00012E34">
        <w:t xml:space="preserve"> In </w:t>
      </w:r>
      <w:r w:rsidRPr="00012E34">
        <w:rPr>
          <w:i/>
        </w:rPr>
        <w:t>Chemical Economics Handbook.</w:t>
      </w:r>
      <w:r w:rsidRPr="00012E34">
        <w:t xml:space="preserve"> 2008</w:t>
      </w:r>
      <w:bookmarkEnd w:id="10"/>
    </w:p>
    <w:p w:rsidR="00012E34" w:rsidRPr="00012E34" w:rsidRDefault="00012E34" w:rsidP="00012E34">
      <w:pPr>
        <w:pStyle w:val="EndNoteBibliography"/>
        <w:spacing w:after="0"/>
        <w:ind w:left="720" w:hanging="720"/>
      </w:pPr>
      <w:bookmarkStart w:id="11" w:name="_ENREF_11"/>
      <w:r w:rsidRPr="00012E34">
        <w:t>11.</w:t>
      </w:r>
      <w:r w:rsidRPr="00012E34">
        <w:tab/>
      </w:r>
      <w:r w:rsidRPr="00012E34">
        <w:rPr>
          <w:b/>
        </w:rPr>
        <w:t xml:space="preserve">Bureau of Labor Statistics Data website, National employment, hours, and earnings catalog, industry: chemicals and allied products, 1980-2009. </w:t>
      </w:r>
      <w:r w:rsidRPr="00012E34">
        <w:t>[</w:t>
      </w:r>
      <w:hyperlink r:id="rId6" w:history="1">
        <w:r w:rsidRPr="00012E34">
          <w:rPr>
            <w:rStyle w:val="Hyperlink"/>
          </w:rPr>
          <w:t>http://data.bls.gov/cgi-bin/srgate</w:t>
        </w:r>
      </w:hyperlink>
      <w:r w:rsidRPr="00012E34">
        <w:t>]</w:t>
      </w:r>
      <w:bookmarkEnd w:id="11"/>
    </w:p>
    <w:p w:rsidR="00012E34" w:rsidRPr="00012E34" w:rsidRDefault="00012E34" w:rsidP="00012E34">
      <w:pPr>
        <w:pStyle w:val="EndNoteBibliography"/>
        <w:spacing w:after="0"/>
        <w:ind w:left="720" w:hanging="720"/>
      </w:pPr>
      <w:bookmarkStart w:id="12" w:name="_ENREF_12"/>
      <w:r w:rsidRPr="00012E34">
        <w:t>12.</w:t>
      </w:r>
      <w:r w:rsidRPr="00012E34">
        <w:tab/>
        <w:t xml:space="preserve">Davis R, Fishman D, Frank E, Wigmosta M, Aden A, Coleman A, Pienkos P, Skaggs R, Venteris E, Wang M: </w:t>
      </w:r>
      <w:r w:rsidRPr="00012E34">
        <w:rPr>
          <w:b/>
        </w:rPr>
        <w:t>Renewable diesel from algal lipids: an integrated baseline for cost, emissions, and resource potential from a harmonized model.</w:t>
      </w:r>
      <w:r w:rsidRPr="00012E34">
        <w:t xml:space="preserve"> Golden, CO: National Renewable Energy Laboratory (NREL); 2012.</w:t>
      </w:r>
      <w:bookmarkEnd w:id="12"/>
    </w:p>
    <w:p w:rsidR="00012E34" w:rsidRPr="00012E34" w:rsidRDefault="00012E34" w:rsidP="00012E34">
      <w:pPr>
        <w:pStyle w:val="EndNoteBibliography"/>
        <w:ind w:left="720" w:hanging="720"/>
      </w:pPr>
      <w:bookmarkStart w:id="13" w:name="_ENREF_13"/>
      <w:r w:rsidRPr="00012E34">
        <w:t>13.</w:t>
      </w:r>
      <w:r w:rsidRPr="00012E34">
        <w:tab/>
        <w:t xml:space="preserve">Dutta A, Sahir A, Tan E, Humbird D, Snowden-Swan LJ, Meyer P, Ross J, Sexton D, Yap R, Lukas J: </w:t>
      </w:r>
      <w:r w:rsidRPr="00012E34">
        <w:rPr>
          <w:b/>
        </w:rPr>
        <w:t>Process Design and Economics for the Conversion of Lignocellulosic Biomass to Hydrocarbon Fuels Thermochemical Research Pathways with In Situ and Ex Situ Upgrading of Fast Pyrolysis Vapors.</w:t>
      </w:r>
      <w:r w:rsidRPr="00012E34">
        <w:t xml:space="preserve"> National Renewable Energy Laboratory: National Renewable Energy Laboratory; 2015.</w:t>
      </w:r>
      <w:bookmarkEnd w:id="13"/>
    </w:p>
    <w:p w:rsidR="00386ABA" w:rsidRPr="00386ABA" w:rsidRDefault="005C0FC5" w:rsidP="00386ABA">
      <w:pPr>
        <w:pStyle w:val="PlainText"/>
        <w:rPr>
          <w:rFonts w:asciiTheme="minorHAnsi" w:hAnsiTheme="minorHAnsi"/>
          <w:color w:val="000000" w:themeColor="text1"/>
          <w:szCs w:val="22"/>
        </w:rPr>
      </w:pPr>
      <w:r>
        <w:rPr>
          <w:rFonts w:asciiTheme="minorHAnsi" w:hAnsiTheme="minorHAnsi"/>
          <w:color w:val="000000" w:themeColor="text1"/>
          <w:szCs w:val="22"/>
        </w:rPr>
        <w:fldChar w:fldCharType="end"/>
      </w:r>
    </w:p>
    <w:sectPr w:rsidR="00386ABA" w:rsidRPr="00386ABA" w:rsidSect="00890AD5">
      <w:pgSz w:w="12240" w:h="15840"/>
      <w:pgMar w:top="1440" w:right="720" w:bottom="907"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F947F0"/>
    <w:multiLevelType w:val="hybridMultilevel"/>
    <w:tmpl w:val="CBB69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drawingGridHorizontalSpacing w:val="110"/>
  <w:displayHorizontalDrawingGridEvery w:val="2"/>
  <w:displayVerticalDrawingGridEvery w:val="2"/>
  <w:characterSpacingControl w:val="doNotCompress"/>
  <w:compat/>
  <w:docVars>
    <w:docVar w:name="EN.Layout" w:val="&lt;ENLayout&gt;&lt;Style&gt;BioMed Centra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fsxvawpa4axfa9ezfw652feawxe0sdvatxrx&quot;&gt;My EndNote Library-Saved&lt;record-ids&gt;&lt;item&gt;1564&lt;/item&gt;&lt;item&gt;1588&lt;/item&gt;&lt;item&gt;2947&lt;/item&gt;&lt;item&gt;3795&lt;/item&gt;&lt;item&gt;3796&lt;/item&gt;&lt;item&gt;4187&lt;/item&gt;&lt;item&gt;4400&lt;/item&gt;&lt;item&gt;6362&lt;/item&gt;&lt;item&gt;7359&lt;/item&gt;&lt;item&gt;8993&lt;/item&gt;&lt;/record-ids&gt;&lt;/item&gt;&lt;/Libraries&gt;"/>
  </w:docVars>
  <w:rsids>
    <w:rsidRoot w:val="00386ABA"/>
    <w:rsid w:val="00012E34"/>
    <w:rsid w:val="00295CBA"/>
    <w:rsid w:val="00386ABA"/>
    <w:rsid w:val="005C0FC5"/>
    <w:rsid w:val="00890AD5"/>
    <w:rsid w:val="008E6322"/>
    <w:rsid w:val="00AE1C5F"/>
    <w:rsid w:val="00B8470B"/>
    <w:rsid w:val="00C058BF"/>
    <w:rsid w:val="00CD4CBA"/>
    <w:rsid w:val="00E45B31"/>
    <w:rsid w:val="00F808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FC5"/>
  </w:style>
  <w:style w:type="paragraph" w:styleId="Heading2">
    <w:name w:val="heading 2"/>
    <w:basedOn w:val="Normal"/>
    <w:next w:val="Normal"/>
    <w:link w:val="Heading2Char"/>
    <w:uiPriority w:val="9"/>
    <w:unhideWhenUsed/>
    <w:qFormat/>
    <w:rsid w:val="00386A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86AB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6ABA"/>
    <w:pPr>
      <w:ind w:left="720"/>
      <w:contextualSpacing/>
    </w:pPr>
  </w:style>
  <w:style w:type="paragraph" w:styleId="PlainText">
    <w:name w:val="Plain Text"/>
    <w:basedOn w:val="Normal"/>
    <w:link w:val="PlainTextChar"/>
    <w:uiPriority w:val="99"/>
    <w:unhideWhenUsed/>
    <w:rsid w:val="00386ABA"/>
    <w:pPr>
      <w:spacing w:after="0" w:line="240" w:lineRule="auto"/>
    </w:pPr>
    <w:rPr>
      <w:rFonts w:ascii="Calibri" w:hAnsi="Calibri" w:cstheme="minorBidi"/>
      <w:sz w:val="22"/>
      <w:szCs w:val="21"/>
    </w:rPr>
  </w:style>
  <w:style w:type="character" w:customStyle="1" w:styleId="PlainTextChar">
    <w:name w:val="Plain Text Char"/>
    <w:basedOn w:val="DefaultParagraphFont"/>
    <w:link w:val="PlainText"/>
    <w:uiPriority w:val="99"/>
    <w:rsid w:val="00386ABA"/>
    <w:rPr>
      <w:rFonts w:ascii="Calibri" w:hAnsi="Calibri" w:cstheme="minorBidi"/>
      <w:sz w:val="22"/>
      <w:szCs w:val="21"/>
    </w:rPr>
  </w:style>
  <w:style w:type="character" w:styleId="CommentReference">
    <w:name w:val="annotation reference"/>
    <w:basedOn w:val="DefaultParagraphFont"/>
    <w:uiPriority w:val="99"/>
    <w:semiHidden/>
    <w:rsid w:val="00386ABA"/>
    <w:rPr>
      <w:sz w:val="16"/>
      <w:szCs w:val="16"/>
    </w:rPr>
  </w:style>
  <w:style w:type="paragraph" w:styleId="CommentText">
    <w:name w:val="annotation text"/>
    <w:basedOn w:val="Normal"/>
    <w:link w:val="CommentTextChar"/>
    <w:uiPriority w:val="99"/>
    <w:rsid w:val="00386ABA"/>
    <w:pPr>
      <w:spacing w:after="0" w:line="240" w:lineRule="auto"/>
    </w:pPr>
    <w:rPr>
      <w:rFonts w:ascii="Times New Roman" w:eastAsiaTheme="minorEastAsia" w:hAnsi="Times New Roman" w:cs="Calibri"/>
      <w:sz w:val="20"/>
    </w:rPr>
  </w:style>
  <w:style w:type="character" w:customStyle="1" w:styleId="CommentTextChar">
    <w:name w:val="Comment Text Char"/>
    <w:basedOn w:val="DefaultParagraphFont"/>
    <w:link w:val="CommentText"/>
    <w:uiPriority w:val="99"/>
    <w:rsid w:val="00386ABA"/>
    <w:rPr>
      <w:rFonts w:ascii="Times New Roman" w:eastAsiaTheme="minorEastAsia" w:hAnsi="Times New Roman" w:cs="Calibri"/>
      <w:sz w:val="20"/>
    </w:rPr>
  </w:style>
  <w:style w:type="paragraph" w:styleId="BalloonText">
    <w:name w:val="Balloon Text"/>
    <w:basedOn w:val="Normal"/>
    <w:link w:val="BalloonTextChar"/>
    <w:uiPriority w:val="99"/>
    <w:semiHidden/>
    <w:unhideWhenUsed/>
    <w:rsid w:val="00386A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6ABA"/>
    <w:rPr>
      <w:rFonts w:ascii="Tahoma" w:hAnsi="Tahoma" w:cs="Tahoma"/>
      <w:sz w:val="16"/>
      <w:szCs w:val="16"/>
    </w:rPr>
  </w:style>
  <w:style w:type="character" w:customStyle="1" w:styleId="Heading2Char">
    <w:name w:val="Heading 2 Char"/>
    <w:basedOn w:val="DefaultParagraphFont"/>
    <w:link w:val="Heading2"/>
    <w:uiPriority w:val="9"/>
    <w:rsid w:val="00386ABA"/>
    <w:rPr>
      <w:rFonts w:asciiTheme="majorHAnsi" w:eastAsiaTheme="majorEastAsia" w:hAnsiTheme="majorHAnsi" w:cstheme="majorBidi"/>
      <w:b/>
      <w:bCs/>
      <w:color w:val="4F81BD" w:themeColor="accent1"/>
      <w:sz w:val="26"/>
      <w:szCs w:val="26"/>
    </w:rPr>
  </w:style>
  <w:style w:type="paragraph" w:customStyle="1" w:styleId="EndNoteBibliographyTitle">
    <w:name w:val="EndNote Bibliography Title"/>
    <w:basedOn w:val="Normal"/>
    <w:link w:val="EndNoteBibliographyTitleChar"/>
    <w:rsid w:val="00386ABA"/>
    <w:pPr>
      <w:spacing w:after="0"/>
      <w:jc w:val="center"/>
    </w:pPr>
    <w:rPr>
      <w:rFonts w:ascii="Calibri" w:hAnsi="Calibri"/>
      <w:noProof/>
      <w:sz w:val="22"/>
    </w:rPr>
  </w:style>
  <w:style w:type="character" w:customStyle="1" w:styleId="EndNoteBibliographyTitleChar">
    <w:name w:val="EndNote Bibliography Title Char"/>
    <w:basedOn w:val="DefaultParagraphFont"/>
    <w:link w:val="EndNoteBibliographyTitle"/>
    <w:rsid w:val="00386ABA"/>
    <w:rPr>
      <w:rFonts w:ascii="Calibri" w:hAnsi="Calibri"/>
      <w:noProof/>
      <w:sz w:val="22"/>
    </w:rPr>
  </w:style>
  <w:style w:type="paragraph" w:customStyle="1" w:styleId="EndNoteBibliography">
    <w:name w:val="EndNote Bibliography"/>
    <w:basedOn w:val="Normal"/>
    <w:link w:val="EndNoteBibliographyChar"/>
    <w:rsid w:val="00386ABA"/>
    <w:pPr>
      <w:spacing w:line="240" w:lineRule="auto"/>
    </w:pPr>
    <w:rPr>
      <w:rFonts w:ascii="Calibri" w:hAnsi="Calibri"/>
      <w:noProof/>
      <w:sz w:val="22"/>
    </w:rPr>
  </w:style>
  <w:style w:type="character" w:customStyle="1" w:styleId="EndNoteBibliographyChar">
    <w:name w:val="EndNote Bibliography Char"/>
    <w:basedOn w:val="DefaultParagraphFont"/>
    <w:link w:val="EndNoteBibliography"/>
    <w:rsid w:val="00386ABA"/>
    <w:rPr>
      <w:rFonts w:ascii="Calibri" w:hAnsi="Calibri"/>
      <w:noProof/>
      <w:sz w:val="22"/>
    </w:rPr>
  </w:style>
  <w:style w:type="character" w:styleId="Hyperlink">
    <w:name w:val="Hyperlink"/>
    <w:basedOn w:val="DefaultParagraphFont"/>
    <w:uiPriority w:val="99"/>
    <w:unhideWhenUsed/>
    <w:rsid w:val="00386ABA"/>
    <w:rPr>
      <w:color w:val="0000FF" w:themeColor="hyperlink"/>
      <w:u w:val="single"/>
    </w:rPr>
  </w:style>
  <w:style w:type="character" w:customStyle="1" w:styleId="Heading3Char">
    <w:name w:val="Heading 3 Char"/>
    <w:basedOn w:val="DefaultParagraphFont"/>
    <w:link w:val="Heading3"/>
    <w:uiPriority w:val="9"/>
    <w:rsid w:val="00386ABA"/>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386A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86AB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6ABA"/>
    <w:pPr>
      <w:ind w:left="720"/>
      <w:contextualSpacing/>
    </w:pPr>
  </w:style>
  <w:style w:type="paragraph" w:styleId="PlainText">
    <w:name w:val="Plain Text"/>
    <w:basedOn w:val="Normal"/>
    <w:link w:val="PlainTextChar"/>
    <w:uiPriority w:val="99"/>
    <w:unhideWhenUsed/>
    <w:rsid w:val="00386ABA"/>
    <w:pPr>
      <w:spacing w:after="0" w:line="240" w:lineRule="auto"/>
    </w:pPr>
    <w:rPr>
      <w:rFonts w:ascii="Calibri" w:hAnsi="Calibri" w:cstheme="minorBidi"/>
      <w:sz w:val="22"/>
      <w:szCs w:val="21"/>
    </w:rPr>
  </w:style>
  <w:style w:type="character" w:customStyle="1" w:styleId="PlainTextChar">
    <w:name w:val="Plain Text Char"/>
    <w:basedOn w:val="DefaultParagraphFont"/>
    <w:link w:val="PlainText"/>
    <w:uiPriority w:val="99"/>
    <w:rsid w:val="00386ABA"/>
    <w:rPr>
      <w:rFonts w:ascii="Calibri" w:hAnsi="Calibri" w:cstheme="minorBidi"/>
      <w:sz w:val="22"/>
      <w:szCs w:val="21"/>
    </w:rPr>
  </w:style>
  <w:style w:type="character" w:styleId="CommentReference">
    <w:name w:val="annotation reference"/>
    <w:basedOn w:val="DefaultParagraphFont"/>
    <w:uiPriority w:val="99"/>
    <w:semiHidden/>
    <w:rsid w:val="00386ABA"/>
    <w:rPr>
      <w:sz w:val="16"/>
      <w:szCs w:val="16"/>
    </w:rPr>
  </w:style>
  <w:style w:type="paragraph" w:styleId="CommentText">
    <w:name w:val="annotation text"/>
    <w:basedOn w:val="Normal"/>
    <w:link w:val="CommentTextChar"/>
    <w:uiPriority w:val="99"/>
    <w:rsid w:val="00386ABA"/>
    <w:pPr>
      <w:spacing w:after="0" w:line="240" w:lineRule="auto"/>
    </w:pPr>
    <w:rPr>
      <w:rFonts w:ascii="Times New Roman" w:eastAsiaTheme="minorEastAsia" w:hAnsi="Times New Roman" w:cs="Calibri"/>
      <w:sz w:val="20"/>
    </w:rPr>
  </w:style>
  <w:style w:type="character" w:customStyle="1" w:styleId="CommentTextChar">
    <w:name w:val="Comment Text Char"/>
    <w:basedOn w:val="DefaultParagraphFont"/>
    <w:link w:val="CommentText"/>
    <w:uiPriority w:val="99"/>
    <w:rsid w:val="00386ABA"/>
    <w:rPr>
      <w:rFonts w:ascii="Times New Roman" w:eastAsiaTheme="minorEastAsia" w:hAnsi="Times New Roman" w:cs="Calibri"/>
      <w:sz w:val="20"/>
    </w:rPr>
  </w:style>
  <w:style w:type="paragraph" w:styleId="BalloonText">
    <w:name w:val="Balloon Text"/>
    <w:basedOn w:val="Normal"/>
    <w:link w:val="BalloonTextChar"/>
    <w:uiPriority w:val="99"/>
    <w:semiHidden/>
    <w:unhideWhenUsed/>
    <w:rsid w:val="00386A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6ABA"/>
    <w:rPr>
      <w:rFonts w:ascii="Tahoma" w:hAnsi="Tahoma" w:cs="Tahoma"/>
      <w:sz w:val="16"/>
      <w:szCs w:val="16"/>
    </w:rPr>
  </w:style>
  <w:style w:type="character" w:customStyle="1" w:styleId="Heading2Char">
    <w:name w:val="Heading 2 Char"/>
    <w:basedOn w:val="DefaultParagraphFont"/>
    <w:link w:val="Heading2"/>
    <w:uiPriority w:val="9"/>
    <w:rsid w:val="00386ABA"/>
    <w:rPr>
      <w:rFonts w:asciiTheme="majorHAnsi" w:eastAsiaTheme="majorEastAsia" w:hAnsiTheme="majorHAnsi" w:cstheme="majorBidi"/>
      <w:b/>
      <w:bCs/>
      <w:color w:val="4F81BD" w:themeColor="accent1"/>
      <w:sz w:val="26"/>
      <w:szCs w:val="26"/>
    </w:rPr>
  </w:style>
  <w:style w:type="paragraph" w:customStyle="1" w:styleId="EndNoteBibliographyTitle">
    <w:name w:val="EndNote Bibliography Title"/>
    <w:basedOn w:val="Normal"/>
    <w:link w:val="EndNoteBibliographyTitleChar"/>
    <w:rsid w:val="00386ABA"/>
    <w:pPr>
      <w:spacing w:after="0"/>
      <w:jc w:val="center"/>
    </w:pPr>
    <w:rPr>
      <w:rFonts w:ascii="Calibri" w:hAnsi="Calibri"/>
      <w:noProof/>
      <w:sz w:val="22"/>
    </w:rPr>
  </w:style>
  <w:style w:type="character" w:customStyle="1" w:styleId="EndNoteBibliographyTitleChar">
    <w:name w:val="EndNote Bibliography Title Char"/>
    <w:basedOn w:val="DefaultParagraphFont"/>
    <w:link w:val="EndNoteBibliographyTitle"/>
    <w:rsid w:val="00386ABA"/>
    <w:rPr>
      <w:rFonts w:ascii="Calibri" w:hAnsi="Calibri"/>
      <w:noProof/>
      <w:sz w:val="22"/>
    </w:rPr>
  </w:style>
  <w:style w:type="paragraph" w:customStyle="1" w:styleId="EndNoteBibliography">
    <w:name w:val="EndNote Bibliography"/>
    <w:basedOn w:val="Normal"/>
    <w:link w:val="EndNoteBibliographyChar"/>
    <w:rsid w:val="00386ABA"/>
    <w:pPr>
      <w:spacing w:line="240" w:lineRule="auto"/>
    </w:pPr>
    <w:rPr>
      <w:rFonts w:ascii="Calibri" w:hAnsi="Calibri"/>
      <w:noProof/>
      <w:sz w:val="22"/>
    </w:rPr>
  </w:style>
  <w:style w:type="character" w:customStyle="1" w:styleId="EndNoteBibliographyChar">
    <w:name w:val="EndNote Bibliography Char"/>
    <w:basedOn w:val="DefaultParagraphFont"/>
    <w:link w:val="EndNoteBibliography"/>
    <w:rsid w:val="00386ABA"/>
    <w:rPr>
      <w:rFonts w:ascii="Calibri" w:hAnsi="Calibri"/>
      <w:noProof/>
      <w:sz w:val="22"/>
    </w:rPr>
  </w:style>
  <w:style w:type="character" w:styleId="Hyperlink">
    <w:name w:val="Hyperlink"/>
    <w:basedOn w:val="DefaultParagraphFont"/>
    <w:uiPriority w:val="99"/>
    <w:unhideWhenUsed/>
    <w:rsid w:val="00386ABA"/>
    <w:rPr>
      <w:color w:val="0000FF" w:themeColor="hyperlink"/>
      <w:u w:val="single"/>
    </w:rPr>
  </w:style>
  <w:style w:type="character" w:customStyle="1" w:styleId="Heading3Char">
    <w:name w:val="Heading 3 Char"/>
    <w:basedOn w:val="DefaultParagraphFont"/>
    <w:link w:val="Heading3"/>
    <w:uiPriority w:val="9"/>
    <w:rsid w:val="00386ABA"/>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ata.bls.gov/cgi-bin/srgate" TargetMode="External"/><Relationship Id="rId5" Type="http://schemas.openxmlformats.org/officeDocument/2006/relationships/hyperlink" Target="http://www.chemengonline.com/pci-home"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2953</Words>
  <Characters>16834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NREL</Company>
  <LinksUpToDate>false</LinksUpToDate>
  <CharactersWithSpaces>19748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NREL</dc:creator>
  <cp:lastModifiedBy>0013359</cp:lastModifiedBy>
  <cp:revision>3</cp:revision>
  <dcterms:created xsi:type="dcterms:W3CDTF">2017-10-03T17:45:00Z</dcterms:created>
  <dcterms:modified xsi:type="dcterms:W3CDTF">2017-10-26T07:09:00Z</dcterms:modified>
</cp:coreProperties>
</file>