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3C0" w:rsidRPr="00813D66" w:rsidRDefault="008833C0" w:rsidP="008833C0">
      <w:pPr>
        <w:spacing w:line="480" w:lineRule="auto"/>
        <w:jc w:val="both"/>
        <w:rPr>
          <w:rFonts w:ascii="Arial" w:hAnsi="Arial" w:cs="Arial"/>
          <w:iCs/>
          <w:sz w:val="24"/>
          <w:szCs w:val="24"/>
          <w:lang w:val="en-US"/>
        </w:rPr>
      </w:pPr>
      <w:r w:rsidRPr="00813D66">
        <w:rPr>
          <w:rFonts w:ascii="Arial" w:hAnsi="Arial" w:cs="Arial"/>
          <w:b/>
          <w:sz w:val="24"/>
          <w:szCs w:val="24"/>
          <w:lang w:val="en-US"/>
        </w:rPr>
        <w:t xml:space="preserve">Additional file </w:t>
      </w:r>
      <w:r>
        <w:rPr>
          <w:rFonts w:ascii="Arial" w:hAnsi="Arial" w:cs="Arial"/>
          <w:b/>
          <w:sz w:val="24"/>
          <w:szCs w:val="24"/>
          <w:lang w:val="en-US"/>
        </w:rPr>
        <w:t>2</w:t>
      </w:r>
      <w:r w:rsidRPr="00813D66">
        <w:rPr>
          <w:rFonts w:ascii="Arial" w:hAnsi="Arial" w:cs="Arial"/>
          <w:b/>
          <w:sz w:val="24"/>
          <w:szCs w:val="24"/>
          <w:lang w:val="en-US"/>
        </w:rPr>
        <w:t xml:space="preserve">: </w:t>
      </w:r>
      <w:r w:rsidRPr="00813D66">
        <w:rPr>
          <w:rFonts w:ascii="Arial" w:hAnsi="Arial" w:cs="Arial"/>
          <w:b/>
          <w:iCs/>
          <w:sz w:val="24"/>
          <w:szCs w:val="24"/>
          <w:lang w:val="en-US"/>
        </w:rPr>
        <w:t>Cost</w:t>
      </w:r>
      <w:r>
        <w:rPr>
          <w:rFonts w:ascii="Arial" w:hAnsi="Arial" w:cs="Arial"/>
          <w:b/>
          <w:iCs/>
          <w:sz w:val="24"/>
          <w:szCs w:val="24"/>
          <w:lang w:val="en-US"/>
        </w:rPr>
        <w:t xml:space="preserve"> Data</w:t>
      </w:r>
      <w:r w:rsidRPr="00813D66">
        <w:rPr>
          <w:rFonts w:ascii="Arial" w:hAnsi="Arial" w:cs="Arial"/>
          <w:b/>
          <w:iCs/>
          <w:sz w:val="24"/>
          <w:szCs w:val="24"/>
          <w:lang w:val="en-US"/>
        </w:rPr>
        <w:t xml:space="preserve"> and Economic Indices</w:t>
      </w:r>
    </w:p>
    <w:p w:rsidR="008833C0" w:rsidRDefault="008833C0" w:rsidP="008833C0">
      <w:pPr>
        <w:rPr>
          <w:rFonts w:ascii="Arial" w:hAnsi="Arial" w:cs="Arial"/>
          <w:sz w:val="24"/>
          <w:szCs w:val="24"/>
        </w:rPr>
      </w:pPr>
    </w:p>
    <w:p w:rsidR="008833C0" w:rsidRDefault="008833C0" w:rsidP="008833C0">
      <w:pPr>
        <w:rPr>
          <w:rFonts w:ascii="Arial" w:hAnsi="Arial" w:cs="Arial"/>
          <w:sz w:val="24"/>
          <w:szCs w:val="24"/>
        </w:rPr>
      </w:pPr>
      <w:r>
        <w:rPr>
          <w:rFonts w:ascii="Arial" w:hAnsi="Arial" w:cs="Arial"/>
          <w:sz w:val="24"/>
          <w:szCs w:val="24"/>
        </w:rPr>
        <w:t xml:space="preserve">This file lists the costs of raw materials, utilities, </w:t>
      </w:r>
      <w:proofErr w:type="spellStart"/>
      <w:r>
        <w:rPr>
          <w:rFonts w:ascii="Arial" w:hAnsi="Arial" w:cs="Arial"/>
          <w:sz w:val="24"/>
          <w:szCs w:val="24"/>
        </w:rPr>
        <w:t>labor</w:t>
      </w:r>
      <w:proofErr w:type="spellEnd"/>
      <w:r>
        <w:rPr>
          <w:rFonts w:ascii="Arial" w:hAnsi="Arial" w:cs="Arial"/>
          <w:sz w:val="24"/>
          <w:szCs w:val="24"/>
        </w:rPr>
        <w:t>, financing as well as price indices used in the economic analysis.</w:t>
      </w:r>
    </w:p>
    <w:p w:rsidR="008833C0" w:rsidRDefault="008833C0" w:rsidP="008833C0">
      <w:pPr>
        <w:rPr>
          <w:lang w:val="en-US"/>
        </w:rPr>
      </w:pPr>
    </w:p>
    <w:p w:rsidR="008833C0" w:rsidRPr="00462EAD" w:rsidRDefault="008833C0" w:rsidP="008833C0">
      <w:pPr>
        <w:rPr>
          <w:lang w:val="en-US"/>
        </w:rPr>
      </w:pPr>
    </w:p>
    <w:p w:rsidR="008833C0" w:rsidRPr="00462EAD" w:rsidRDefault="008833C0" w:rsidP="008833C0">
      <w:pPr>
        <w:keepNext/>
        <w:spacing w:after="120" w:line="360" w:lineRule="auto"/>
        <w:rPr>
          <w:rFonts w:ascii="Arial" w:hAnsi="Arial" w:cs="Arial"/>
          <w:iCs/>
          <w:lang w:val="en-US"/>
        </w:rPr>
      </w:pPr>
      <w:r w:rsidRPr="00462EAD">
        <w:rPr>
          <w:rFonts w:ascii="Arial" w:hAnsi="Arial" w:cs="Arial"/>
          <w:iCs/>
          <w:lang w:val="en-US"/>
        </w:rPr>
        <w:t xml:space="preserve">Table </w:t>
      </w:r>
      <w:proofErr w:type="spellStart"/>
      <w:r w:rsidR="00E40B1E">
        <w:rPr>
          <w:rFonts w:ascii="Arial" w:hAnsi="Arial" w:cs="Arial"/>
          <w:iCs/>
          <w:lang w:val="en-US"/>
        </w:rPr>
        <w:t>S</w:t>
      </w:r>
      <w:r w:rsidR="00EC46B8">
        <w:rPr>
          <w:rFonts w:ascii="Arial" w:hAnsi="Arial" w:cs="Arial"/>
          <w:iCs/>
          <w:lang w:val="en-US"/>
        </w:rPr>
        <w:t>5</w:t>
      </w:r>
      <w:proofErr w:type="spellEnd"/>
      <w:r w:rsidRPr="00462EAD">
        <w:rPr>
          <w:rFonts w:ascii="Arial" w:hAnsi="Arial" w:cs="Arial"/>
          <w:iCs/>
          <w:lang w:val="en-US"/>
        </w:rPr>
        <w:t>: Cost of raw materials.</w:t>
      </w:r>
      <w:r w:rsidRPr="00462EAD">
        <w:rPr>
          <w:i/>
          <w:iCs/>
          <w:color w:val="1F497D" w:themeColor="text2"/>
          <w:sz w:val="18"/>
          <w:szCs w:val="18"/>
          <w:lang w:val="en-US"/>
        </w:rPr>
        <w:t xml:space="preserve"> </w:t>
      </w:r>
      <w:r w:rsidRPr="00462EAD">
        <w:rPr>
          <w:rFonts w:ascii="Arial" w:hAnsi="Arial" w:cs="Arial"/>
          <w:iCs/>
          <w:lang w:val="en-US"/>
        </w:rPr>
        <w:t xml:space="preserve">Except where indicated, the prices of all raw materials were market prices obtained at </w:t>
      </w:r>
      <w:r>
        <w:rPr>
          <w:rFonts w:ascii="Arial" w:hAnsi="Arial" w:cs="Arial"/>
          <w:iCs/>
          <w:lang w:val="en-US"/>
        </w:rPr>
        <w:t xml:space="preserve">the </w:t>
      </w:r>
      <w:proofErr w:type="spellStart"/>
      <w:r w:rsidRPr="00462EAD">
        <w:rPr>
          <w:rFonts w:ascii="Arial" w:hAnsi="Arial" w:cs="Arial"/>
          <w:iCs/>
          <w:lang w:val="en-US"/>
        </w:rPr>
        <w:t>Molbase</w:t>
      </w:r>
      <w:proofErr w:type="spellEnd"/>
      <w:r w:rsidRPr="00462EAD">
        <w:rPr>
          <w:rFonts w:ascii="Arial" w:hAnsi="Arial" w:cs="Arial"/>
          <w:iCs/>
          <w:lang w:val="en-US"/>
        </w:rPr>
        <w:t xml:space="preserve"> Chemical E-Commerce platform (</w:t>
      </w:r>
      <w:hyperlink r:id="rId4" w:history="1">
        <w:r w:rsidRPr="00462EAD">
          <w:rPr>
            <w:rStyle w:val="Hyperlink"/>
            <w:rFonts w:ascii="Arial" w:hAnsi="Arial" w:cs="Arial"/>
            <w:iCs/>
            <w:lang w:val="en-US"/>
          </w:rPr>
          <w:t>www.molbase.com</w:t>
        </w:r>
      </w:hyperlink>
      <w:r w:rsidRPr="00462EAD">
        <w:rPr>
          <w:rFonts w:ascii="Arial" w:hAnsi="Arial" w:cs="Arial"/>
          <w:iCs/>
          <w:lang w:val="en-US"/>
        </w:rPr>
        <w:t>, accessed May 2017).</w:t>
      </w:r>
    </w:p>
    <w:tbl>
      <w:tblPr>
        <w:tblStyle w:val="LightList"/>
        <w:tblW w:w="5245" w:type="dxa"/>
        <w:tblInd w:w="250" w:type="dxa"/>
        <w:tblLook w:val="04A0"/>
      </w:tblPr>
      <w:tblGrid>
        <w:gridCol w:w="2018"/>
        <w:gridCol w:w="3227"/>
      </w:tblGrid>
      <w:tr w:rsidR="008833C0" w:rsidRPr="00462EAD" w:rsidTr="00D656D4">
        <w:trPr>
          <w:cnfStyle w:val="1000000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sz w:val="20"/>
                <w:szCs w:val="20"/>
                <w:lang w:val="en-US" w:eastAsia="pt-BR"/>
              </w:rPr>
            </w:pPr>
            <w:r w:rsidRPr="00462EAD">
              <w:rPr>
                <w:rFonts w:ascii="Arial" w:eastAsia="Times New Roman" w:hAnsi="Arial" w:cs="Arial"/>
                <w:sz w:val="20"/>
                <w:szCs w:val="20"/>
                <w:lang w:val="en-US" w:eastAsia="pt-BR"/>
              </w:rPr>
              <w:t>Raw Material</w:t>
            </w:r>
          </w:p>
        </w:tc>
        <w:tc>
          <w:tcPr>
            <w:tcW w:w="3227" w:type="dxa"/>
            <w:noWrap/>
            <w:hideMark/>
          </w:tcPr>
          <w:p w:rsidR="008833C0" w:rsidRPr="00462EAD" w:rsidRDefault="008833C0" w:rsidP="00D656D4">
            <w:pPr>
              <w:spacing w:line="276" w:lineRule="auto"/>
              <w:jc w:val="center"/>
              <w:cnfStyle w:val="100000000000"/>
              <w:rPr>
                <w:rFonts w:ascii="Arial" w:eastAsia="Times New Roman" w:hAnsi="Arial" w:cs="Arial"/>
                <w:sz w:val="20"/>
                <w:szCs w:val="20"/>
                <w:lang w:val="en-US" w:eastAsia="pt-BR"/>
              </w:rPr>
            </w:pPr>
            <w:r w:rsidRPr="00462EAD">
              <w:rPr>
                <w:rFonts w:ascii="Arial" w:eastAsia="Times New Roman" w:hAnsi="Arial" w:cs="Arial"/>
                <w:sz w:val="20"/>
                <w:szCs w:val="20"/>
                <w:lang w:val="en-US" w:eastAsia="pt-BR"/>
              </w:rPr>
              <w:t>Price (US$/kg)</w:t>
            </w:r>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Glycerol</w:t>
            </w:r>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0.61</w:t>
            </w:r>
          </w:p>
        </w:tc>
      </w:tr>
      <w:tr w:rsidR="008833C0" w:rsidRPr="00462EAD" w:rsidTr="00D656D4">
        <w:trPr>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Glucose</w:t>
            </w:r>
          </w:p>
        </w:tc>
        <w:tc>
          <w:tcPr>
            <w:tcW w:w="3227" w:type="dxa"/>
            <w:noWrap/>
            <w:hideMark/>
          </w:tcPr>
          <w:p w:rsidR="008833C0" w:rsidRPr="00462EAD" w:rsidRDefault="008833C0" w:rsidP="00D656D4">
            <w:pPr>
              <w:spacing w:line="276" w:lineRule="auto"/>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0.66</w:t>
            </w:r>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MAP</w:t>
            </w:r>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proofErr w:type="spellStart"/>
            <w:r w:rsidRPr="00462EAD">
              <w:rPr>
                <w:rFonts w:ascii="Arial" w:eastAsia="Times New Roman" w:hAnsi="Arial" w:cs="Arial"/>
                <w:color w:val="000000"/>
                <w:sz w:val="20"/>
                <w:szCs w:val="20"/>
                <w:lang w:val="en-US" w:eastAsia="pt-BR"/>
              </w:rPr>
              <w:t>0.349</w:t>
            </w:r>
            <w:r w:rsidRPr="00462EAD">
              <w:rPr>
                <w:rFonts w:ascii="Arial" w:eastAsia="Times New Roman" w:hAnsi="Arial" w:cs="Arial"/>
                <w:color w:val="000000"/>
                <w:sz w:val="20"/>
                <w:szCs w:val="20"/>
                <w:vertAlign w:val="superscript"/>
                <w:lang w:val="en-US" w:eastAsia="pt-BR"/>
              </w:rPr>
              <w:t>a</w:t>
            </w:r>
            <w:proofErr w:type="spellEnd"/>
          </w:p>
        </w:tc>
      </w:tr>
      <w:tr w:rsidR="008833C0" w:rsidRPr="00462EAD" w:rsidTr="00D656D4">
        <w:trPr>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Ammonia Gas</w:t>
            </w:r>
          </w:p>
        </w:tc>
        <w:tc>
          <w:tcPr>
            <w:tcW w:w="3227" w:type="dxa"/>
            <w:noWrap/>
            <w:hideMark/>
          </w:tcPr>
          <w:p w:rsidR="008833C0" w:rsidRPr="00462EAD" w:rsidRDefault="008833C0" w:rsidP="00D656D4">
            <w:pPr>
              <w:spacing w:line="276" w:lineRule="auto"/>
              <w:jc w:val="center"/>
              <w:cnfStyle w:val="000000000000"/>
              <w:rPr>
                <w:rFonts w:ascii="Arial" w:eastAsia="Times New Roman" w:hAnsi="Arial" w:cs="Arial"/>
                <w:color w:val="000000"/>
                <w:sz w:val="20"/>
                <w:szCs w:val="20"/>
                <w:lang w:val="en-US" w:eastAsia="pt-BR"/>
              </w:rPr>
            </w:pPr>
            <w:proofErr w:type="spellStart"/>
            <w:r w:rsidRPr="00462EAD">
              <w:rPr>
                <w:rFonts w:ascii="Arial" w:eastAsia="Times New Roman" w:hAnsi="Arial" w:cs="Arial"/>
                <w:color w:val="000000"/>
                <w:sz w:val="20"/>
                <w:szCs w:val="20"/>
                <w:lang w:val="en-US" w:eastAsia="pt-BR"/>
              </w:rPr>
              <w:t>0.303</w:t>
            </w:r>
            <w:r w:rsidRPr="00462EAD">
              <w:rPr>
                <w:rFonts w:ascii="Arial" w:eastAsia="Times New Roman" w:hAnsi="Arial" w:cs="Arial"/>
                <w:color w:val="000000"/>
                <w:sz w:val="20"/>
                <w:szCs w:val="20"/>
                <w:vertAlign w:val="superscript"/>
                <w:lang w:val="en-US" w:eastAsia="pt-BR"/>
              </w:rPr>
              <w:t>b</w:t>
            </w:r>
            <w:proofErr w:type="spellEnd"/>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DAP</w:t>
            </w:r>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proofErr w:type="spellStart"/>
            <w:r w:rsidRPr="00462EAD">
              <w:rPr>
                <w:rFonts w:ascii="Arial" w:eastAsia="Times New Roman" w:hAnsi="Arial" w:cs="Arial"/>
                <w:color w:val="000000"/>
                <w:sz w:val="20"/>
                <w:szCs w:val="20"/>
                <w:lang w:val="en-US" w:eastAsia="pt-BR"/>
              </w:rPr>
              <w:t>0.353</w:t>
            </w:r>
            <w:r w:rsidRPr="00462EAD">
              <w:rPr>
                <w:rFonts w:ascii="Arial" w:eastAsia="Times New Roman" w:hAnsi="Arial" w:cs="Arial"/>
                <w:color w:val="000000"/>
                <w:sz w:val="20"/>
                <w:szCs w:val="20"/>
                <w:vertAlign w:val="superscript"/>
                <w:lang w:val="en-US" w:eastAsia="pt-BR"/>
              </w:rPr>
              <w:t>b</w:t>
            </w:r>
            <w:proofErr w:type="spellEnd"/>
          </w:p>
        </w:tc>
      </w:tr>
      <w:tr w:rsidR="008833C0" w:rsidRPr="00462EAD" w:rsidTr="00D656D4">
        <w:trPr>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KH</w:t>
            </w:r>
            <w:r w:rsidRPr="00462EAD">
              <w:rPr>
                <w:rFonts w:ascii="Arial" w:eastAsia="Times New Roman" w:hAnsi="Arial" w:cs="Arial"/>
                <w:b w:val="0"/>
                <w:color w:val="000000"/>
                <w:sz w:val="20"/>
                <w:szCs w:val="20"/>
                <w:vertAlign w:val="subscript"/>
                <w:lang w:val="en-US" w:eastAsia="pt-BR"/>
              </w:rPr>
              <w:t>2</w:t>
            </w:r>
            <w:r w:rsidRPr="00462EAD">
              <w:rPr>
                <w:rFonts w:ascii="Arial" w:eastAsia="Times New Roman" w:hAnsi="Arial" w:cs="Arial"/>
                <w:b w:val="0"/>
                <w:color w:val="000000"/>
                <w:sz w:val="20"/>
                <w:szCs w:val="20"/>
                <w:lang w:val="en-US" w:eastAsia="pt-BR"/>
              </w:rPr>
              <w:t>PO</w:t>
            </w:r>
            <w:r w:rsidRPr="00462EAD">
              <w:rPr>
                <w:rFonts w:ascii="Arial" w:eastAsia="Times New Roman" w:hAnsi="Arial" w:cs="Arial"/>
                <w:b w:val="0"/>
                <w:color w:val="000000"/>
                <w:sz w:val="20"/>
                <w:szCs w:val="20"/>
                <w:vertAlign w:val="subscript"/>
                <w:lang w:val="en-US" w:eastAsia="pt-BR"/>
              </w:rPr>
              <w:t>4</w:t>
            </w:r>
            <w:proofErr w:type="spellEnd"/>
          </w:p>
        </w:tc>
        <w:tc>
          <w:tcPr>
            <w:tcW w:w="3227" w:type="dxa"/>
            <w:noWrap/>
            <w:hideMark/>
          </w:tcPr>
          <w:p w:rsidR="008833C0" w:rsidRPr="00462EAD" w:rsidRDefault="008833C0" w:rsidP="00D656D4">
            <w:pPr>
              <w:spacing w:line="276" w:lineRule="auto"/>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1.29</w:t>
            </w:r>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Process Water</w:t>
            </w:r>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proofErr w:type="spellStart"/>
            <w:r w:rsidRPr="00462EAD">
              <w:rPr>
                <w:rFonts w:ascii="Arial" w:eastAsia="Times New Roman" w:hAnsi="Arial" w:cs="Arial"/>
                <w:color w:val="000000"/>
                <w:sz w:val="20"/>
                <w:szCs w:val="20"/>
                <w:lang w:val="en-US" w:eastAsia="pt-BR"/>
              </w:rPr>
              <w:t>0.00018</w:t>
            </w:r>
            <w:r w:rsidRPr="00462EAD">
              <w:rPr>
                <w:rFonts w:ascii="Arial" w:eastAsia="Times New Roman" w:hAnsi="Arial" w:cs="Arial"/>
                <w:color w:val="000000"/>
                <w:sz w:val="20"/>
                <w:szCs w:val="20"/>
                <w:vertAlign w:val="superscript"/>
                <w:lang w:val="en-US" w:eastAsia="pt-BR"/>
              </w:rPr>
              <w:t>c</w:t>
            </w:r>
            <w:proofErr w:type="spellEnd"/>
          </w:p>
        </w:tc>
      </w:tr>
      <w:tr w:rsidR="008833C0" w:rsidRPr="00462EAD" w:rsidTr="00D656D4">
        <w:trPr>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Citric Acid</w:t>
            </w:r>
          </w:p>
        </w:tc>
        <w:tc>
          <w:tcPr>
            <w:tcW w:w="3227" w:type="dxa"/>
            <w:noWrap/>
            <w:hideMark/>
          </w:tcPr>
          <w:p w:rsidR="008833C0" w:rsidRPr="00462EAD" w:rsidRDefault="008833C0" w:rsidP="00D656D4">
            <w:pPr>
              <w:spacing w:line="276" w:lineRule="auto"/>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0.82</w:t>
            </w:r>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CoCl</w:t>
            </w:r>
            <w:r w:rsidRPr="00462EAD">
              <w:rPr>
                <w:rFonts w:ascii="Arial" w:eastAsia="Times New Roman" w:hAnsi="Arial" w:cs="Arial"/>
                <w:b w:val="0"/>
                <w:color w:val="000000"/>
                <w:sz w:val="20"/>
                <w:szCs w:val="20"/>
                <w:vertAlign w:val="subscript"/>
                <w:lang w:val="en-US" w:eastAsia="pt-BR"/>
              </w:rPr>
              <w:t>2</w:t>
            </w:r>
            <w:proofErr w:type="spellEnd"/>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9.52</w:t>
            </w:r>
          </w:p>
        </w:tc>
      </w:tr>
      <w:tr w:rsidR="008833C0" w:rsidRPr="00462EAD" w:rsidTr="00D656D4">
        <w:trPr>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CuCl</w:t>
            </w:r>
            <w:r w:rsidRPr="00462EAD">
              <w:rPr>
                <w:rFonts w:ascii="Arial" w:eastAsia="Times New Roman" w:hAnsi="Arial" w:cs="Arial"/>
                <w:b w:val="0"/>
                <w:color w:val="000000"/>
                <w:sz w:val="20"/>
                <w:szCs w:val="20"/>
                <w:vertAlign w:val="subscript"/>
                <w:lang w:val="en-US" w:eastAsia="pt-BR"/>
              </w:rPr>
              <w:t>2</w:t>
            </w:r>
            <w:proofErr w:type="spellEnd"/>
          </w:p>
        </w:tc>
        <w:tc>
          <w:tcPr>
            <w:tcW w:w="3227" w:type="dxa"/>
            <w:noWrap/>
            <w:hideMark/>
          </w:tcPr>
          <w:p w:rsidR="008833C0" w:rsidRPr="00462EAD" w:rsidRDefault="008833C0" w:rsidP="00D656D4">
            <w:pPr>
              <w:spacing w:line="276" w:lineRule="auto"/>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4.30</w:t>
            </w:r>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EDTA*</w:t>
            </w:r>
            <w:proofErr w:type="spellStart"/>
            <w:r w:rsidRPr="00462EAD">
              <w:rPr>
                <w:rFonts w:ascii="Arial" w:eastAsia="Times New Roman" w:hAnsi="Arial" w:cs="Arial"/>
                <w:b w:val="0"/>
                <w:color w:val="000000"/>
                <w:sz w:val="20"/>
                <w:szCs w:val="20"/>
                <w:lang w:val="en-US" w:eastAsia="pt-BR"/>
              </w:rPr>
              <w:t>Na</w:t>
            </w:r>
            <w:r w:rsidRPr="00462EAD">
              <w:rPr>
                <w:rFonts w:ascii="Arial" w:eastAsia="Times New Roman" w:hAnsi="Arial" w:cs="Arial"/>
                <w:b w:val="0"/>
                <w:color w:val="000000"/>
                <w:sz w:val="20"/>
                <w:szCs w:val="20"/>
                <w:vertAlign w:val="subscript"/>
                <w:lang w:val="en-US" w:eastAsia="pt-BR"/>
              </w:rPr>
              <w:t>2</w:t>
            </w:r>
            <w:proofErr w:type="spellEnd"/>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2.74</w:t>
            </w:r>
          </w:p>
        </w:tc>
      </w:tr>
      <w:tr w:rsidR="008833C0" w:rsidRPr="00462EAD" w:rsidTr="00D656D4">
        <w:trPr>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H</w:t>
            </w:r>
            <w:r w:rsidRPr="00462EAD">
              <w:rPr>
                <w:rFonts w:ascii="Arial" w:eastAsia="Times New Roman" w:hAnsi="Arial" w:cs="Arial"/>
                <w:b w:val="0"/>
                <w:color w:val="000000"/>
                <w:sz w:val="20"/>
                <w:szCs w:val="20"/>
                <w:vertAlign w:val="subscript"/>
                <w:lang w:val="en-US" w:eastAsia="pt-BR"/>
              </w:rPr>
              <w:t>3</w:t>
            </w:r>
            <w:r w:rsidRPr="00462EAD">
              <w:rPr>
                <w:rFonts w:ascii="Arial" w:eastAsia="Times New Roman" w:hAnsi="Arial" w:cs="Arial"/>
                <w:b w:val="0"/>
                <w:color w:val="000000"/>
                <w:sz w:val="20"/>
                <w:szCs w:val="20"/>
                <w:lang w:val="en-US" w:eastAsia="pt-BR"/>
              </w:rPr>
              <w:t>BO</w:t>
            </w:r>
            <w:r w:rsidRPr="00462EAD">
              <w:rPr>
                <w:rFonts w:ascii="Arial" w:eastAsia="Times New Roman" w:hAnsi="Arial" w:cs="Arial"/>
                <w:b w:val="0"/>
                <w:color w:val="000000"/>
                <w:sz w:val="20"/>
                <w:szCs w:val="20"/>
                <w:vertAlign w:val="subscript"/>
                <w:lang w:val="en-US" w:eastAsia="pt-BR"/>
              </w:rPr>
              <w:t>3</w:t>
            </w:r>
            <w:proofErr w:type="spellEnd"/>
          </w:p>
        </w:tc>
        <w:tc>
          <w:tcPr>
            <w:tcW w:w="3227" w:type="dxa"/>
            <w:noWrap/>
            <w:hideMark/>
          </w:tcPr>
          <w:p w:rsidR="008833C0" w:rsidRPr="00462EAD" w:rsidRDefault="008833C0" w:rsidP="00D656D4">
            <w:pPr>
              <w:spacing w:line="276" w:lineRule="auto"/>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0.73</w:t>
            </w:r>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Iron III Citrate</w:t>
            </w:r>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7.63</w:t>
            </w:r>
          </w:p>
        </w:tc>
      </w:tr>
      <w:tr w:rsidR="008833C0" w:rsidRPr="00462EAD" w:rsidTr="00D656D4">
        <w:trPr>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MgSO</w:t>
            </w:r>
            <w:r w:rsidRPr="00462EAD">
              <w:rPr>
                <w:rFonts w:ascii="Arial" w:eastAsia="Times New Roman" w:hAnsi="Arial" w:cs="Arial"/>
                <w:b w:val="0"/>
                <w:color w:val="000000"/>
                <w:sz w:val="20"/>
                <w:szCs w:val="20"/>
                <w:vertAlign w:val="subscript"/>
                <w:lang w:val="en-US" w:eastAsia="pt-BR"/>
              </w:rPr>
              <w:t>4</w:t>
            </w:r>
            <w:proofErr w:type="spellEnd"/>
          </w:p>
        </w:tc>
        <w:tc>
          <w:tcPr>
            <w:tcW w:w="3227" w:type="dxa"/>
            <w:noWrap/>
            <w:hideMark/>
          </w:tcPr>
          <w:p w:rsidR="008833C0" w:rsidRPr="00462EAD" w:rsidRDefault="008833C0" w:rsidP="00D656D4">
            <w:pPr>
              <w:spacing w:line="276" w:lineRule="auto"/>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0.48</w:t>
            </w:r>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MnCl2</w:t>
            </w:r>
            <w:proofErr w:type="spellEnd"/>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1.71</w:t>
            </w:r>
          </w:p>
        </w:tc>
      </w:tr>
      <w:tr w:rsidR="008833C0" w:rsidRPr="00462EAD" w:rsidTr="00D656D4">
        <w:trPr>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Na</w:t>
            </w:r>
            <w:r w:rsidRPr="00462EAD">
              <w:rPr>
                <w:rFonts w:ascii="Arial" w:eastAsia="Times New Roman" w:hAnsi="Arial" w:cs="Arial"/>
                <w:b w:val="0"/>
                <w:color w:val="000000"/>
                <w:sz w:val="20"/>
                <w:szCs w:val="20"/>
                <w:vertAlign w:val="subscript"/>
                <w:lang w:val="en-US" w:eastAsia="pt-BR"/>
              </w:rPr>
              <w:t>2</w:t>
            </w:r>
            <w:r w:rsidRPr="00462EAD">
              <w:rPr>
                <w:rFonts w:ascii="Arial" w:eastAsia="Times New Roman" w:hAnsi="Arial" w:cs="Arial"/>
                <w:b w:val="0"/>
                <w:color w:val="000000"/>
                <w:sz w:val="20"/>
                <w:szCs w:val="20"/>
                <w:lang w:val="en-US" w:eastAsia="pt-BR"/>
              </w:rPr>
              <w:t>MoO4</w:t>
            </w:r>
            <w:proofErr w:type="spellEnd"/>
          </w:p>
        </w:tc>
        <w:tc>
          <w:tcPr>
            <w:tcW w:w="3227" w:type="dxa"/>
            <w:noWrap/>
            <w:hideMark/>
          </w:tcPr>
          <w:p w:rsidR="008833C0" w:rsidRPr="00462EAD" w:rsidRDefault="008833C0" w:rsidP="00D656D4">
            <w:pPr>
              <w:spacing w:line="276" w:lineRule="auto"/>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13.48</w:t>
            </w:r>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Zn(</w:t>
            </w:r>
            <w:proofErr w:type="spellStart"/>
            <w:r w:rsidRPr="00462EAD">
              <w:rPr>
                <w:rFonts w:ascii="Arial" w:eastAsia="Times New Roman" w:hAnsi="Arial" w:cs="Arial"/>
                <w:b w:val="0"/>
                <w:color w:val="000000"/>
                <w:sz w:val="20"/>
                <w:szCs w:val="20"/>
                <w:lang w:val="en-US" w:eastAsia="pt-BR"/>
              </w:rPr>
              <w:t>OAc</w:t>
            </w:r>
            <w:proofErr w:type="spellEnd"/>
            <w:r w:rsidRPr="00462EAD">
              <w:rPr>
                <w:rFonts w:ascii="Arial" w:eastAsia="Times New Roman" w:hAnsi="Arial" w:cs="Arial"/>
                <w:b w:val="0"/>
                <w:color w:val="000000"/>
                <w:sz w:val="20"/>
                <w:szCs w:val="20"/>
                <w:lang w:val="en-US" w:eastAsia="pt-BR"/>
              </w:rPr>
              <w:t>)</w:t>
            </w:r>
            <w:r w:rsidRPr="00462EAD">
              <w:rPr>
                <w:rFonts w:ascii="Arial" w:eastAsia="Times New Roman" w:hAnsi="Arial" w:cs="Arial"/>
                <w:b w:val="0"/>
                <w:color w:val="000000"/>
                <w:sz w:val="20"/>
                <w:szCs w:val="20"/>
                <w:vertAlign w:val="subscript"/>
                <w:lang w:val="en-US" w:eastAsia="pt-BR"/>
              </w:rPr>
              <w:t>2</w:t>
            </w:r>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1.72</w:t>
            </w:r>
          </w:p>
        </w:tc>
      </w:tr>
      <w:tr w:rsidR="008833C0" w:rsidRPr="00462EAD" w:rsidTr="00D656D4">
        <w:trPr>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Kanamycin Sulfate</w:t>
            </w:r>
          </w:p>
        </w:tc>
        <w:tc>
          <w:tcPr>
            <w:tcW w:w="3227" w:type="dxa"/>
            <w:noWrap/>
            <w:hideMark/>
          </w:tcPr>
          <w:p w:rsidR="008833C0" w:rsidRPr="00462EAD" w:rsidRDefault="008833C0" w:rsidP="00D656D4">
            <w:pPr>
              <w:spacing w:line="276" w:lineRule="auto"/>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31.72</w:t>
            </w:r>
          </w:p>
        </w:tc>
      </w:tr>
      <w:tr w:rsidR="008833C0" w:rsidRPr="00462EAD" w:rsidTr="00D656D4">
        <w:trPr>
          <w:cnfStyle w:val="000000100000"/>
          <w:trHeight w:hRule="exact" w:val="340"/>
        </w:trPr>
        <w:tc>
          <w:tcPr>
            <w:cnfStyle w:val="001000000000"/>
            <w:tcW w:w="2018" w:type="dxa"/>
            <w:noWrap/>
            <w:hideMark/>
          </w:tcPr>
          <w:p w:rsidR="008833C0" w:rsidRPr="00462EAD" w:rsidRDefault="008833C0" w:rsidP="00D656D4">
            <w:pPr>
              <w:spacing w:line="276"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IPTG</w:t>
            </w:r>
            <w:proofErr w:type="spellEnd"/>
          </w:p>
        </w:tc>
        <w:tc>
          <w:tcPr>
            <w:tcW w:w="3227" w:type="dxa"/>
            <w:noWrap/>
            <w:hideMark/>
          </w:tcPr>
          <w:p w:rsidR="008833C0" w:rsidRPr="00462EAD" w:rsidRDefault="008833C0" w:rsidP="00D656D4">
            <w:pPr>
              <w:spacing w:line="276" w:lineRule="auto"/>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601.00</w:t>
            </w:r>
          </w:p>
        </w:tc>
      </w:tr>
    </w:tbl>
    <w:p w:rsidR="008833C0" w:rsidRPr="00462EAD" w:rsidRDefault="008833C0" w:rsidP="008833C0">
      <w:pPr>
        <w:spacing w:after="0"/>
        <w:rPr>
          <w:lang w:val="en-US"/>
        </w:rPr>
      </w:pPr>
      <w:r w:rsidRPr="00462EAD">
        <w:rPr>
          <w:vertAlign w:val="superscript"/>
          <w:lang w:val="en-US"/>
        </w:rPr>
        <w:t>a</w:t>
      </w:r>
      <w:r w:rsidRPr="00462EAD">
        <w:rPr>
          <w:lang w:val="en-US"/>
        </w:rPr>
        <w:t xml:space="preserve"> </w:t>
      </w:r>
      <w:r w:rsidR="00172413" w:rsidRPr="00462EAD">
        <w:rPr>
          <w:sz w:val="18"/>
          <w:szCs w:val="18"/>
          <w:lang w:val="en-US"/>
        </w:rPr>
        <w:fldChar w:fldCharType="begin" w:fldLock="1"/>
      </w:r>
      <w:r w:rsidRPr="00462EAD">
        <w:rPr>
          <w:sz w:val="18"/>
          <w:szCs w:val="18"/>
          <w:lang w:val="en-US"/>
        </w:rPr>
        <w:instrText>ADDIN CSL_CITATION { "citationItems" : [ { "id" : "ITEM-1", "itemData" : { "author" : [ { "dropping-particle" : "", "family" : "Mosaic Corporation", "given" : "", "non-dropping-particle" : "", "parse-names" : false, "suffix" : "" } ], "id" : "ITEM-1", "issued" : { "date-parts" : [ [ "2016" ] ] }, "number-of-pages" : "4", "title" : "Brazil NPK Statistical Update - May 2016", "type" : "report" }, "uris" : [ "http://www.mendeley.com/documents/?uuid=25b1b842-d919-41bf-a9f4-0eab841d8803" ] } ], "mendeley" : { "formattedCitation" : "(MOSAIC CORPORATION, 2016)", "plainTextFormattedCitation" : "(MOSAIC CORPORATION, 2016)", "previouslyFormattedCitation" : "(MOSAIC CORPORATION, 2016)" }, "properties" : { "noteIndex" : 0 }, "schema" : "https://github.com/citation-style-language/schema/raw/master/csl-citation.json" }</w:instrText>
      </w:r>
      <w:r w:rsidR="00172413" w:rsidRPr="00172413">
        <w:rPr>
          <w:sz w:val="18"/>
          <w:szCs w:val="18"/>
          <w:vertAlign w:val="superscript"/>
          <w:lang w:val="en-US"/>
        </w:rPr>
        <w:fldChar w:fldCharType="separate"/>
      </w:r>
      <w:r w:rsidRPr="00462EAD">
        <w:rPr>
          <w:sz w:val="18"/>
          <w:szCs w:val="18"/>
          <w:lang w:val="en-US"/>
        </w:rPr>
        <w:t>Mosaic Corporation (2016)</w:t>
      </w:r>
      <w:r w:rsidR="00172413" w:rsidRPr="00462EAD">
        <w:rPr>
          <w:sz w:val="18"/>
          <w:szCs w:val="18"/>
          <w:lang w:val="en-US"/>
        </w:rPr>
        <w:fldChar w:fldCharType="end"/>
      </w:r>
      <w:r w:rsidRPr="00462EAD">
        <w:rPr>
          <w:sz w:val="18"/>
          <w:szCs w:val="18"/>
          <w:lang w:val="en-US"/>
        </w:rPr>
        <w:t>;</w:t>
      </w:r>
      <w:r w:rsidRPr="00462EAD">
        <w:rPr>
          <w:vertAlign w:val="superscript"/>
          <w:lang w:val="en-US"/>
        </w:rPr>
        <w:t xml:space="preserve"> b</w:t>
      </w:r>
      <w:r w:rsidRPr="00462EAD">
        <w:rPr>
          <w:lang w:val="en-US"/>
        </w:rPr>
        <w:t xml:space="preserve"> </w:t>
      </w:r>
      <w:r w:rsidR="00172413" w:rsidRPr="00462EAD">
        <w:rPr>
          <w:sz w:val="18"/>
          <w:szCs w:val="18"/>
          <w:lang w:val="en-US"/>
        </w:rPr>
        <w:fldChar w:fldCharType="begin" w:fldLock="1"/>
      </w:r>
      <w:r w:rsidRPr="00462EAD">
        <w:rPr>
          <w:sz w:val="18"/>
          <w:szCs w:val="18"/>
          <w:lang w:val="en-US"/>
        </w:rPr>
        <w:instrText>ADDIN CSL_CITATION { "citationItems" : [ { "id" : "ITEM-1", "itemData" : { "URL" : "http://www.potashcorp.com/customers/markets/market_data/prices/", "accessed" : { "date-parts" : [ [ "2016", "5", "15" ] ] }, "author" : [ { "dropping-particle" : "", "family" : "PotashCorp", "given" : "", "non-dropping-particle" : "", "parse-names" : false, "suffix" : "" } ], "id" : "ITEM-1", "issued" : { "date-parts" : [ [ "0" ] ] }, "title" : "Market Data - Selected Fertilizer Prices", "type" : "webpage" }, "uris" : [ "http://www.mendeley.com/documents/?uuid=cfbcc37a-96b8-42c9-afea-09fca9fb4359" ] } ], "mendeley" : { "formattedCitation" : "(POTASHCORP, [s.d.])", "plainTextFormattedCitation" : "(POTASHCORP, [s.d.])", "previouslyFormattedCitation" : "(POTASHCORP, [s.d.])" }, "properties" : { "noteIndex" : 0 }, "schema" : "https://github.com/citation-style-language/schema/raw/master/csl-citation.json" }</w:instrText>
      </w:r>
      <w:r w:rsidR="00172413" w:rsidRPr="00172413">
        <w:rPr>
          <w:sz w:val="18"/>
          <w:szCs w:val="18"/>
          <w:vertAlign w:val="superscript"/>
          <w:lang w:val="en-US"/>
        </w:rPr>
        <w:fldChar w:fldCharType="separate"/>
      </w:r>
      <w:r w:rsidRPr="00462EAD">
        <w:rPr>
          <w:sz w:val="18"/>
          <w:szCs w:val="18"/>
          <w:lang w:val="en-US"/>
        </w:rPr>
        <w:t>Potachcorp (2016)</w:t>
      </w:r>
      <w:r w:rsidR="00172413" w:rsidRPr="00462EAD">
        <w:rPr>
          <w:sz w:val="18"/>
          <w:szCs w:val="18"/>
          <w:lang w:val="en-US"/>
        </w:rPr>
        <w:fldChar w:fldCharType="end"/>
      </w:r>
      <w:r w:rsidRPr="00462EAD">
        <w:rPr>
          <w:sz w:val="18"/>
          <w:szCs w:val="18"/>
          <w:lang w:val="en-US"/>
        </w:rPr>
        <w:t>;</w:t>
      </w:r>
      <w:r w:rsidRPr="00462EAD">
        <w:rPr>
          <w:sz w:val="18"/>
          <w:szCs w:val="18"/>
          <w:vertAlign w:val="superscript"/>
          <w:lang w:val="en-US"/>
        </w:rPr>
        <w:t xml:space="preserve"> c</w:t>
      </w:r>
      <w:r w:rsidRPr="00462EAD">
        <w:rPr>
          <w:sz w:val="18"/>
          <w:szCs w:val="18"/>
          <w:lang w:val="en-US"/>
        </w:rPr>
        <w:t xml:space="preserve"> </w:t>
      </w:r>
      <w:r w:rsidR="00172413" w:rsidRPr="00462EAD">
        <w:rPr>
          <w:sz w:val="18"/>
          <w:szCs w:val="18"/>
          <w:lang w:val="en-US"/>
        </w:rPr>
        <w:fldChar w:fldCharType="begin" w:fldLock="1"/>
      </w:r>
      <w:r w:rsidRPr="00462EAD">
        <w:rPr>
          <w:sz w:val="18"/>
          <w:szCs w:val="18"/>
          <w:lang w:val="en-US"/>
        </w:rPr>
        <w:instrText>ADDIN CSL_CITATION { "citationItems" : [ { "id" : "ITEM-1", "itemData" : { "DOI" : "10.1186/1754-6834-5-22", "ISBN" : "1754683452", "ISSN" : "1754-6834", "PMID" : "22502801", "abstract" : "BACKGROUND: Bioethanol produced from the lignocellulosic fractions of sugar cane (bagasse and leaves), i.e. second generation (2G) bioethanol, has a promising market potential as an automotive fuel; however, the process is still under investigation on pilot/demonstration scale. From a process perspective, improvements in plant design can lower the production cost, providing better profitability and competitiveness if the conversion of the whole sugar cane is considered. Simulations have been performed with AspenPlus to investigate how process integration can affect the minimum ethanol selling price of this 2G process (MESP-2G), as well as improve the plant energy efficiency. This is achieved by integrating the well-established sucrose-to-bioethanol process with the enzymatic process for lignocellulosic materials. Bagasse and leaves were steam pretreated using H3PO4 as catalyst and separately hydrolysed and fermented.\\n\\nRESULTS: The addition of a steam dryer, doubling of the enzyme dosage in enzymatic hydrolysis, including leaves as raw material in the 2G process, heat integration and the use of more energy-efficient equipment led to a 37 % reduction in MESP-2G compared to the Base case. Modelling showed that the MESP for 2G ethanol was 0.97 US$/L, while in the future it could be reduced to 0.78 US$/L. In this case the overall production cost of 1G + 2G ethanol would be about 0.40 US$/L with an output of 102 L/ton dry sugar cane including 50 % leaves. Sensitivity analysis of the future scenario showed that a 50 % decrease in the cost of enzymes, electricity or leaves would lower the MESP-2G by about 20%, 10% and 4.5%, respectively.\\n\\nCONCLUSIONS: According to the simulations, the production of 2G bioethanol from sugar cane bagasse and leaves in Brazil is already competitive (without subsidies) with 1G starch-based bioethanol production in Europe. Moreover 2G bioethanol could be produced at a lower cost if subsidies were used to compensate for the opportunity cost from the sale of excess electricity and if the cost of enzymes continues to fall.", "author" : [ { "dropping-particle" : "", "family" : "Macrelli", "given" : "Stefano", "non-dropping-particle" : "", "parse-names" : false, "suffix" : "" }, { "dropping-particle" : "", "family" : "Mogensen", "given" : "Johan", "non-dropping-particle" : "", "parse-names" : false, "suffix" : "" }, { "dropping-particle" : "", "family" : "Zacchi", "given" : "Guido", "non-dropping-particle" : "", "parse-names" : false, "suffix" : "" } ], "container-title" : "Biotechnology for Biofuels", "id" : "ITEM-1", "issue" : "1", "issued" : { "date-parts" : [ [ "2012" ] ] }, "page" : "22", "publisher" : "BioMed Central Ltd", "title" : "Techno-economic evaluation of 2nd generation bioethanol production from sugar cane bagasse and leaves integrated with the sugar-based ethanol process", "type" : "article-journal", "volume" : "5" }, "uris" : [ "http://www.mendeley.com/documents/?uuid=80b07627-4602-4105-9643-302fef6da644" ] } ], "mendeley" : { "formattedCitation" : "(MACRELLI; MOGENSEN; ZACCHI, 2012)", "plainTextFormattedCitation" : "(MACRELLI; MOGENSEN; ZACCHI, 2012)", "previouslyFormattedCitation" : "(MACRELLI; MOGENSEN; ZACCHI, 2012)" }, "properties" : { "noteIndex" : 0 }, "schema" : "https://github.com/citation-style-language/schema/raw/master/csl-citation.json" }</w:instrText>
      </w:r>
      <w:r w:rsidR="00172413" w:rsidRPr="00172413">
        <w:rPr>
          <w:sz w:val="18"/>
          <w:szCs w:val="18"/>
          <w:vertAlign w:val="superscript"/>
          <w:lang w:val="en-US"/>
        </w:rPr>
        <w:fldChar w:fldCharType="separate"/>
      </w:r>
      <w:r w:rsidRPr="00462EAD">
        <w:rPr>
          <w:sz w:val="18"/>
          <w:szCs w:val="18"/>
          <w:lang w:val="en-US"/>
        </w:rPr>
        <w:t>Macrelli et al. (2012)</w:t>
      </w:r>
      <w:r w:rsidR="00172413" w:rsidRPr="00462EAD">
        <w:rPr>
          <w:sz w:val="18"/>
          <w:szCs w:val="18"/>
          <w:lang w:val="en-US"/>
        </w:rPr>
        <w:fldChar w:fldCharType="end"/>
      </w:r>
      <w:r w:rsidRPr="00462EAD">
        <w:rPr>
          <w:sz w:val="18"/>
          <w:szCs w:val="18"/>
          <w:lang w:val="en-US"/>
        </w:rPr>
        <w:t>.</w:t>
      </w:r>
    </w:p>
    <w:p w:rsidR="008833C0" w:rsidRPr="00462EAD" w:rsidRDefault="008833C0" w:rsidP="008833C0">
      <w:pPr>
        <w:rPr>
          <w:lang w:val="en-US"/>
        </w:rPr>
      </w:pPr>
    </w:p>
    <w:p w:rsidR="008833C0" w:rsidRPr="00462EAD" w:rsidRDefault="008833C0" w:rsidP="008833C0">
      <w:pPr>
        <w:spacing w:before="120" w:after="0" w:line="360" w:lineRule="auto"/>
        <w:rPr>
          <w:rFonts w:ascii="Arial" w:hAnsi="Arial" w:cs="Arial"/>
          <w:sz w:val="18"/>
          <w:szCs w:val="18"/>
          <w:lang w:val="en-US"/>
        </w:rPr>
      </w:pPr>
    </w:p>
    <w:p w:rsidR="008833C0" w:rsidRPr="00462EAD" w:rsidRDefault="008833C0" w:rsidP="008833C0">
      <w:pPr>
        <w:spacing w:before="120" w:after="0" w:line="360" w:lineRule="auto"/>
        <w:rPr>
          <w:rFonts w:ascii="Arial" w:hAnsi="Arial" w:cs="Arial"/>
          <w:sz w:val="18"/>
          <w:szCs w:val="18"/>
          <w:lang w:val="en-US"/>
        </w:rPr>
      </w:pPr>
    </w:p>
    <w:p w:rsidR="008833C0" w:rsidRPr="00462EAD" w:rsidRDefault="008833C0" w:rsidP="008833C0">
      <w:pPr>
        <w:spacing w:before="120" w:after="0" w:line="360" w:lineRule="auto"/>
        <w:rPr>
          <w:rFonts w:ascii="Arial" w:hAnsi="Arial" w:cs="Arial"/>
          <w:sz w:val="18"/>
          <w:szCs w:val="18"/>
          <w:lang w:val="en-US"/>
        </w:rPr>
      </w:pPr>
    </w:p>
    <w:p w:rsidR="008833C0" w:rsidRPr="00462EAD" w:rsidRDefault="008833C0" w:rsidP="008833C0">
      <w:pPr>
        <w:spacing w:before="120" w:after="0" w:line="360" w:lineRule="auto"/>
        <w:rPr>
          <w:rFonts w:ascii="Arial" w:hAnsi="Arial" w:cs="Arial"/>
          <w:sz w:val="18"/>
          <w:szCs w:val="18"/>
          <w:lang w:val="en-US"/>
        </w:rPr>
      </w:pPr>
    </w:p>
    <w:p w:rsidR="008833C0" w:rsidRPr="00462EAD" w:rsidRDefault="008833C0" w:rsidP="008833C0">
      <w:pPr>
        <w:spacing w:before="120" w:after="0" w:line="360" w:lineRule="auto"/>
        <w:rPr>
          <w:rFonts w:ascii="Arial" w:hAnsi="Arial" w:cs="Arial"/>
          <w:sz w:val="18"/>
          <w:szCs w:val="18"/>
          <w:lang w:val="en-US"/>
        </w:rPr>
      </w:pPr>
    </w:p>
    <w:p w:rsidR="008833C0" w:rsidRPr="00462EAD" w:rsidRDefault="008833C0" w:rsidP="008833C0">
      <w:pPr>
        <w:spacing w:before="120" w:after="0" w:line="360" w:lineRule="auto"/>
        <w:rPr>
          <w:rFonts w:ascii="Arial" w:hAnsi="Arial" w:cs="Arial"/>
          <w:sz w:val="18"/>
          <w:szCs w:val="18"/>
          <w:lang w:val="en-US"/>
        </w:rPr>
      </w:pPr>
    </w:p>
    <w:p w:rsidR="008833C0" w:rsidRPr="00462EAD" w:rsidRDefault="008833C0" w:rsidP="008833C0">
      <w:pPr>
        <w:keepNext/>
        <w:spacing w:after="200" w:line="240" w:lineRule="auto"/>
        <w:rPr>
          <w:rFonts w:ascii="Arial" w:hAnsi="Arial" w:cs="Arial"/>
          <w:iCs/>
          <w:lang w:val="en-US"/>
        </w:rPr>
      </w:pPr>
      <w:bookmarkStart w:id="0" w:name="_Toc464474695"/>
      <w:r w:rsidRPr="00462EAD">
        <w:rPr>
          <w:rFonts w:ascii="Arial" w:hAnsi="Arial" w:cs="Arial"/>
          <w:iCs/>
          <w:lang w:val="en-US"/>
        </w:rPr>
        <w:t xml:space="preserve">Table </w:t>
      </w:r>
      <w:proofErr w:type="spellStart"/>
      <w:r w:rsidR="00E40B1E">
        <w:rPr>
          <w:rFonts w:ascii="Arial" w:hAnsi="Arial" w:cs="Arial"/>
          <w:iCs/>
          <w:lang w:val="en-US"/>
        </w:rPr>
        <w:t>S</w:t>
      </w:r>
      <w:r w:rsidR="00EC46B8">
        <w:rPr>
          <w:rFonts w:ascii="Arial" w:hAnsi="Arial" w:cs="Arial"/>
          <w:iCs/>
          <w:lang w:val="en-US"/>
        </w:rPr>
        <w:t>6</w:t>
      </w:r>
      <w:proofErr w:type="spellEnd"/>
      <w:r w:rsidRPr="00462EAD">
        <w:rPr>
          <w:rFonts w:ascii="Arial" w:hAnsi="Arial" w:cs="Arial"/>
          <w:iCs/>
          <w:lang w:val="en-US"/>
        </w:rPr>
        <w:t>: Costs of utilities, labo</w:t>
      </w:r>
      <w:r>
        <w:rPr>
          <w:rFonts w:ascii="Arial" w:hAnsi="Arial" w:cs="Arial"/>
          <w:iCs/>
          <w:lang w:val="en-US"/>
        </w:rPr>
        <w:t>r</w:t>
      </w:r>
      <w:r w:rsidRPr="00462EAD">
        <w:rPr>
          <w:rFonts w:ascii="Arial" w:hAnsi="Arial" w:cs="Arial"/>
          <w:iCs/>
          <w:lang w:val="en-US"/>
        </w:rPr>
        <w:t xml:space="preserve"> and financing.</w:t>
      </w:r>
      <w:bookmarkEnd w:id="0"/>
    </w:p>
    <w:tbl>
      <w:tblPr>
        <w:tblStyle w:val="LightList"/>
        <w:tblW w:w="9072" w:type="dxa"/>
        <w:tblLook w:val="04A0"/>
      </w:tblPr>
      <w:tblGrid>
        <w:gridCol w:w="3573"/>
        <w:gridCol w:w="1559"/>
        <w:gridCol w:w="1276"/>
        <w:gridCol w:w="2664"/>
      </w:tblGrid>
      <w:tr w:rsidR="008833C0" w:rsidRPr="00462EAD" w:rsidTr="00D656D4">
        <w:trPr>
          <w:cnfStyle w:val="100000000000"/>
          <w:trHeight w:val="300"/>
        </w:trPr>
        <w:tc>
          <w:tcPr>
            <w:cnfStyle w:val="001000000000"/>
            <w:tcW w:w="3573" w:type="dxa"/>
            <w:noWrap/>
          </w:tcPr>
          <w:p w:rsidR="008833C0" w:rsidRPr="00462EAD" w:rsidRDefault="008833C0" w:rsidP="00D656D4">
            <w:pPr>
              <w:rPr>
                <w:rFonts w:ascii="Arial" w:eastAsia="Times New Roman" w:hAnsi="Arial" w:cs="Arial"/>
                <w:sz w:val="20"/>
                <w:szCs w:val="20"/>
                <w:lang w:val="en-US" w:eastAsia="pt-BR"/>
              </w:rPr>
            </w:pPr>
            <w:r w:rsidRPr="00462EAD">
              <w:rPr>
                <w:rFonts w:ascii="Arial" w:eastAsia="Times New Roman" w:hAnsi="Arial" w:cs="Arial"/>
                <w:sz w:val="20"/>
                <w:szCs w:val="20"/>
                <w:lang w:val="en-US" w:eastAsia="pt-BR"/>
              </w:rPr>
              <w:t>Parameter</w:t>
            </w:r>
          </w:p>
        </w:tc>
        <w:tc>
          <w:tcPr>
            <w:tcW w:w="1559" w:type="dxa"/>
            <w:noWrap/>
          </w:tcPr>
          <w:p w:rsidR="008833C0" w:rsidRPr="00462EAD" w:rsidRDefault="008833C0" w:rsidP="00D656D4">
            <w:pPr>
              <w:jc w:val="center"/>
              <w:cnfStyle w:val="100000000000"/>
              <w:rPr>
                <w:rFonts w:ascii="Arial" w:eastAsia="Times New Roman" w:hAnsi="Arial" w:cs="Arial"/>
                <w:sz w:val="20"/>
                <w:szCs w:val="20"/>
                <w:lang w:val="en-US" w:eastAsia="pt-BR"/>
              </w:rPr>
            </w:pPr>
            <w:r w:rsidRPr="00462EAD">
              <w:rPr>
                <w:rFonts w:ascii="Arial" w:eastAsia="Times New Roman" w:hAnsi="Arial" w:cs="Arial"/>
                <w:sz w:val="20"/>
                <w:szCs w:val="20"/>
                <w:lang w:val="en-US" w:eastAsia="pt-BR"/>
              </w:rPr>
              <w:t>Value</w:t>
            </w:r>
          </w:p>
        </w:tc>
        <w:tc>
          <w:tcPr>
            <w:tcW w:w="1276" w:type="dxa"/>
            <w:noWrap/>
          </w:tcPr>
          <w:p w:rsidR="008833C0" w:rsidRPr="00462EAD" w:rsidRDefault="008833C0" w:rsidP="00D656D4">
            <w:pPr>
              <w:jc w:val="center"/>
              <w:cnfStyle w:val="100000000000"/>
              <w:rPr>
                <w:rFonts w:ascii="Arial" w:eastAsia="Times New Roman" w:hAnsi="Arial" w:cs="Arial"/>
                <w:sz w:val="20"/>
                <w:szCs w:val="20"/>
                <w:lang w:val="en-US" w:eastAsia="pt-BR"/>
              </w:rPr>
            </w:pPr>
            <w:r w:rsidRPr="00462EAD">
              <w:rPr>
                <w:rFonts w:ascii="Arial" w:eastAsia="Times New Roman" w:hAnsi="Arial" w:cs="Arial"/>
                <w:sz w:val="20"/>
                <w:szCs w:val="20"/>
                <w:lang w:val="en-US" w:eastAsia="pt-BR"/>
              </w:rPr>
              <w:t>Unit</w:t>
            </w:r>
          </w:p>
        </w:tc>
        <w:tc>
          <w:tcPr>
            <w:tcW w:w="2664" w:type="dxa"/>
          </w:tcPr>
          <w:p w:rsidR="008833C0" w:rsidRPr="00462EAD" w:rsidRDefault="008833C0" w:rsidP="00D656D4">
            <w:pPr>
              <w:jc w:val="center"/>
              <w:cnfStyle w:val="100000000000"/>
              <w:rPr>
                <w:rFonts w:ascii="Arial" w:eastAsia="Times New Roman" w:hAnsi="Arial" w:cs="Arial"/>
                <w:sz w:val="20"/>
                <w:szCs w:val="20"/>
                <w:lang w:val="en-US" w:eastAsia="pt-BR"/>
              </w:rPr>
            </w:pPr>
            <w:r w:rsidRPr="00462EAD">
              <w:rPr>
                <w:rFonts w:ascii="Arial" w:eastAsia="Times New Roman" w:hAnsi="Arial" w:cs="Arial"/>
                <w:sz w:val="20"/>
                <w:szCs w:val="20"/>
                <w:lang w:val="en-US" w:eastAsia="pt-BR"/>
              </w:rPr>
              <w:t>Source</w:t>
            </w:r>
          </w:p>
        </w:tc>
      </w:tr>
      <w:tr w:rsidR="008833C0" w:rsidRPr="00462EAD" w:rsidTr="00D656D4">
        <w:trPr>
          <w:cnfStyle w:val="000000100000"/>
          <w:trHeight w:val="300"/>
        </w:trPr>
        <w:tc>
          <w:tcPr>
            <w:cnfStyle w:val="001000000000"/>
            <w:tcW w:w="3573" w:type="dxa"/>
            <w:shd w:val="clear" w:color="auto" w:fill="BFBFBF" w:themeFill="background1" w:themeFillShade="BF"/>
            <w:noWrap/>
            <w:hideMark/>
          </w:tcPr>
          <w:p w:rsidR="008833C0" w:rsidRPr="00462EAD" w:rsidRDefault="008833C0" w:rsidP="00D656D4">
            <w:pPr>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Utilities</w:t>
            </w:r>
          </w:p>
        </w:tc>
        <w:tc>
          <w:tcPr>
            <w:tcW w:w="1559" w:type="dxa"/>
            <w:shd w:val="clear" w:color="auto" w:fill="BFBFBF" w:themeFill="background1" w:themeFillShade="BF"/>
            <w:noWrap/>
            <w:hideMark/>
          </w:tcPr>
          <w:p w:rsidR="008833C0" w:rsidRPr="00462EAD" w:rsidRDefault="008833C0" w:rsidP="00D656D4">
            <w:pPr>
              <w:jc w:val="center"/>
              <w:cnfStyle w:val="000000100000"/>
              <w:rPr>
                <w:rFonts w:ascii="Arial" w:eastAsia="Times New Roman" w:hAnsi="Arial" w:cs="Arial"/>
                <w:bCs/>
                <w:color w:val="000000"/>
                <w:sz w:val="20"/>
                <w:szCs w:val="20"/>
                <w:lang w:val="en-US" w:eastAsia="pt-BR"/>
              </w:rPr>
            </w:pPr>
          </w:p>
        </w:tc>
        <w:tc>
          <w:tcPr>
            <w:tcW w:w="1276" w:type="dxa"/>
            <w:shd w:val="clear" w:color="auto" w:fill="BFBFBF" w:themeFill="background1" w:themeFillShade="BF"/>
            <w:noWrap/>
            <w:hideMark/>
          </w:tcPr>
          <w:p w:rsidR="008833C0" w:rsidRPr="00462EAD" w:rsidRDefault="008833C0" w:rsidP="00D656D4">
            <w:pPr>
              <w:jc w:val="center"/>
              <w:cnfStyle w:val="000000100000"/>
              <w:rPr>
                <w:rFonts w:ascii="Arial" w:eastAsia="Times New Roman" w:hAnsi="Arial" w:cs="Arial"/>
                <w:bCs/>
                <w:color w:val="000000"/>
                <w:sz w:val="20"/>
                <w:szCs w:val="20"/>
                <w:lang w:val="en-US" w:eastAsia="pt-BR"/>
              </w:rPr>
            </w:pPr>
          </w:p>
        </w:tc>
        <w:tc>
          <w:tcPr>
            <w:tcW w:w="2664" w:type="dxa"/>
            <w:shd w:val="clear" w:color="auto" w:fill="BFBFBF" w:themeFill="background1" w:themeFillShade="BF"/>
          </w:tcPr>
          <w:p w:rsidR="008833C0" w:rsidRPr="00462EAD" w:rsidRDefault="008833C0" w:rsidP="00D656D4">
            <w:pPr>
              <w:jc w:val="center"/>
              <w:cnfStyle w:val="000000100000"/>
              <w:rPr>
                <w:rFonts w:ascii="Arial" w:eastAsia="Times New Roman" w:hAnsi="Arial" w:cs="Arial"/>
                <w:bCs/>
                <w:color w:val="000000"/>
                <w:sz w:val="20"/>
                <w:szCs w:val="20"/>
                <w:lang w:val="en-US" w:eastAsia="pt-BR"/>
              </w:rPr>
            </w:pPr>
          </w:p>
        </w:tc>
      </w:tr>
      <w:tr w:rsidR="008833C0" w:rsidRPr="00462EAD" w:rsidTr="00D656D4">
        <w:trPr>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Cooling Water (</w:t>
            </w:r>
            <w:proofErr w:type="spellStart"/>
            <w:r w:rsidRPr="00462EAD">
              <w:rPr>
                <w:rFonts w:ascii="Arial" w:eastAsia="Times New Roman" w:hAnsi="Arial" w:cs="Arial"/>
                <w:b w:val="0"/>
                <w:color w:val="000000"/>
                <w:sz w:val="20"/>
                <w:szCs w:val="20"/>
                <w:lang w:val="en-US" w:eastAsia="pt-BR"/>
              </w:rPr>
              <w:t>2</w:t>
            </w:r>
            <w:r>
              <w:rPr>
                <w:rFonts w:ascii="Arial" w:eastAsia="Times New Roman" w:hAnsi="Arial" w:cs="Arial"/>
                <w:b w:val="0"/>
                <w:color w:val="000000"/>
                <w:sz w:val="20"/>
                <w:szCs w:val="20"/>
                <w:lang w:val="en-US" w:eastAsia="pt-BR"/>
              </w:rPr>
              <w:t>0°C</w:t>
            </w:r>
            <w:proofErr w:type="spellEnd"/>
            <w:r w:rsidRPr="00462EAD">
              <w:rPr>
                <w:rFonts w:ascii="Arial" w:eastAsia="Times New Roman" w:hAnsi="Arial" w:cs="Arial"/>
                <w:b w:val="0"/>
                <w:color w:val="000000"/>
                <w:sz w:val="20"/>
                <w:szCs w:val="20"/>
                <w:lang w:val="en-US" w:eastAsia="pt-BR"/>
              </w:rPr>
              <w:t>)</w:t>
            </w:r>
          </w:p>
        </w:tc>
        <w:tc>
          <w:tcPr>
            <w:tcW w:w="1559"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0.04</w:t>
            </w:r>
          </w:p>
        </w:tc>
        <w:tc>
          <w:tcPr>
            <w:tcW w:w="1276"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US$/t</w:t>
            </w:r>
          </w:p>
        </w:tc>
        <w:tc>
          <w:tcPr>
            <w:tcW w:w="2664" w:type="dxa"/>
          </w:tcPr>
          <w:p w:rsidR="008833C0" w:rsidRPr="00462EAD" w:rsidRDefault="00172413"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"DOI" : "10.1186/1754-6834-5-22", "ISBN" : "1754683452", "ISSN" : "1754-6834", "PMID" : "22502801", "abstract" : "BACKGROUND: Bioethanol produced from the lignocellulosic fractions of sugar cane (bagasse and leaves), i.e. second generation (2G) bioethanol, has a promising market potential as an automotive fuel; however, the process is still under investigation on pilot/demonstration scale. From a process perspective, improvements in plant design can lower the production cost, providing better profitability and competitiveness if the conversion of the whole sugar cane is considered. Simulations have been performed with AspenPlus to investigate how process integration can affect the minimum ethanol selling price of this 2G process (MESP-2G), as well as improve the plant energy efficiency. This is achieved by integrating the well-established sucrose-to-bioethanol process with the enzymatic process for lignocellulosic materials. Bagasse and leaves were steam pretreated using H3PO4 as catalyst and separately hydrolysed and fermented.\\n\\nRESULTS: The addition of a steam dryer, doubling of the enzyme dosage in enzymatic hydrolysis, including leaves as raw material in the 2G process, heat integration and the use of more energy-efficient equipment led to a 37 % reduction in MESP-2G compared to the Base case. Modelling showed that the MESP for 2G ethanol was 0.97 US$/L, while in the future it could be reduced to 0.78 US$/L. In this case the overall production cost of 1G + 2G ethanol would be about 0.40 US$/L with an output of 102 L/ton dry sugar cane including 50 % leaves. Sensitivity analysis of the future scenario showed that a 50 % decrease in the cost of enzymes, electricity or leaves would lower the MESP-2G by about 20%, 10% and 4.5%, respectively.\\n\\nCONCLUSIONS: According to the simulations, the production of 2G bioethanol from sugar cane bagasse and leaves in Brazil is already competitive (without subsidies) with 1G starch-based bioethanol production in Europe. Moreover 2G bioethanol could be produced at a lower cost if subsidies were used to compensate for the opportunity cost from the sale of excess electricity and if the cost of enzymes continues to fall.", "author" : [ { "dropping-particle" : "", "family" : "Macrelli", "given" : "Stefano", "non-dropping-particle" : "", "parse-names" : false, "suffix" : "" }, { "dropping-particle" : "", "family" : "Mogensen", "given" : "Johan", "non-dropping-particle" : "", "parse-names" : false, "suffix" : "" }, { "dropping-particle" : "", "family" : "Zacchi", "given" : "Guido", "non-dropping-particle" : "", "parse-names" : false, "suffix" : "" } ], "container-title" : "Biotechnology for Biofuels", "id" : "ITEM-1", "issue" : "1", "issued" : { "date-parts" : [ [ "2012" ] ] }, "page" : "22", "publisher" : "BioMed Central Ltd", "title" : "Techno-economic evaluation of 2nd generation bioethanol production from sugar cane bagasse and leaves integrated with the sugar-based ethanol process", "type" : "article-journal", "volume" : "5" }, "uris" : [ "http://www.mendeley.com/documents/?uuid=80b07627-4602-4105-9643-302fef6da644" ] } ], "mendeley" : { "formattedCitation" : "(MACRELLI; MOGENSEN; ZACCHI, 2012)", "plainTextFormattedCitation" : "(MACRELLI; MOGENSEN; ZACCHI, 2012)", "previouslyFormattedCitation" : "(MACRELLI; MOGENSEN; ZACCHI, 2012)"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Macrelli et al. (2012)</w:t>
            </w:r>
            <w:r w:rsidRPr="00462EAD">
              <w:rPr>
                <w:rFonts w:ascii="Arial" w:eastAsia="Times New Roman" w:hAnsi="Arial" w:cs="Arial"/>
                <w:color w:val="000000"/>
                <w:sz w:val="20"/>
                <w:szCs w:val="20"/>
                <w:lang w:val="en-US" w:eastAsia="pt-BR"/>
              </w:rPr>
              <w:fldChar w:fldCharType="end"/>
            </w:r>
          </w:p>
        </w:tc>
      </w:tr>
      <w:tr w:rsidR="008833C0" w:rsidRPr="00462EAD" w:rsidTr="00D656D4">
        <w:trPr>
          <w:cnfStyle w:val="000000100000"/>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Chilled Water (</w:t>
            </w:r>
            <w:proofErr w:type="spellStart"/>
            <w:r>
              <w:rPr>
                <w:rFonts w:ascii="Arial" w:eastAsia="Times New Roman" w:hAnsi="Arial" w:cs="Arial"/>
                <w:b w:val="0"/>
                <w:color w:val="000000"/>
                <w:sz w:val="20"/>
                <w:szCs w:val="20"/>
                <w:lang w:val="en-US" w:eastAsia="pt-BR"/>
              </w:rPr>
              <w:t>5°C</w:t>
            </w:r>
            <w:proofErr w:type="spellEnd"/>
            <w:r w:rsidRPr="00462EAD">
              <w:rPr>
                <w:rFonts w:ascii="Arial" w:eastAsia="Times New Roman" w:hAnsi="Arial" w:cs="Arial"/>
                <w:b w:val="0"/>
                <w:color w:val="000000"/>
                <w:sz w:val="20"/>
                <w:szCs w:val="20"/>
                <w:lang w:val="en-US" w:eastAsia="pt-BR"/>
              </w:rPr>
              <w:t>)</w:t>
            </w:r>
          </w:p>
        </w:tc>
        <w:tc>
          <w:tcPr>
            <w:tcW w:w="1559"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0.35</w:t>
            </w:r>
          </w:p>
        </w:tc>
        <w:tc>
          <w:tcPr>
            <w:tcW w:w="1276"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US$/t</w:t>
            </w:r>
          </w:p>
        </w:tc>
        <w:tc>
          <w:tcPr>
            <w:tcW w:w="2664" w:type="dxa"/>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roofErr w:type="spellStart"/>
            <w:r w:rsidRPr="00462EAD">
              <w:rPr>
                <w:rFonts w:ascii="Arial" w:eastAsia="Times New Roman" w:hAnsi="Arial" w:cs="Arial"/>
                <w:color w:val="000000"/>
                <w:sz w:val="20"/>
                <w:szCs w:val="20"/>
                <w:lang w:val="en-US" w:eastAsia="pt-BR"/>
              </w:rPr>
              <w:t>SuperPro</w:t>
            </w:r>
            <w:proofErr w:type="spellEnd"/>
            <w:r w:rsidRPr="00462EAD">
              <w:rPr>
                <w:rFonts w:ascii="Arial" w:eastAsia="Times New Roman" w:hAnsi="Arial" w:cs="Arial"/>
                <w:color w:val="000000"/>
                <w:sz w:val="20"/>
                <w:szCs w:val="20"/>
                <w:lang w:val="en-US" w:eastAsia="pt-BR"/>
              </w:rPr>
              <w:t xml:space="preserve"> default </w:t>
            </w:r>
          </w:p>
        </w:tc>
      </w:tr>
      <w:tr w:rsidR="008833C0" w:rsidRPr="00462EAD" w:rsidTr="00D656D4">
        <w:trPr>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Steam</w:t>
            </w:r>
          </w:p>
        </w:tc>
        <w:tc>
          <w:tcPr>
            <w:tcW w:w="1559"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1.47</w:t>
            </w:r>
          </w:p>
        </w:tc>
        <w:tc>
          <w:tcPr>
            <w:tcW w:w="1276"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US$/t</w:t>
            </w:r>
          </w:p>
        </w:tc>
        <w:tc>
          <w:tcPr>
            <w:tcW w:w="2664" w:type="dxa"/>
          </w:tcPr>
          <w:p w:rsidR="008833C0" w:rsidRPr="00462EAD" w:rsidRDefault="00172413"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"DOI" : "10.1016/j.biortech.2013.08.046", "ISBN" : "3147471896", "ISSN" : "18732976", "PMID" : "24055973", "abstract" : "A techno-economic analysis for use of brewer's spent grains (BSG) on a biorefinery concept for the Brazilian case is presented. Four scenarios based on different levels of heat and mass integration for the production of xylitol, lactic acid, activated carbon and phenolic acids are shown. A simulation procedure using the software Aspen Plus and experimental yields was used. Such procedure served as basis for the techno-economic and environmental assessment according to the Brazilian conditions. Full mass integration on water and full energy integration was the configuration with the best economic and environmental performance. For this case, the obtained economic margin was 62.25%, the potential environmental impact was 0.012PEI/kg products, and the carbon footprint of the processing stage represented 0.96kg CO2-e/kg of BSG. This result served as basis to draw recommendations on the technological, economic and environmental feasibility for implementation of such type of biorefinery in Brazil. \u00a9 2013 Elsevier Ltd.", "author" : [ { "dropping-particle" : "", "family" : "Mussatto", "given" : "Solange I.", "non-dropping-particle" : "", "parse-names" : false, "suffix" : "" }, { "dropping-particle" : "", "family" : "Moncada", "given" : "Jonathan", "non-dropping-particle" : "", "parse-names" : false, "suffix" : "" }, { "dropping-particle" : "", "family" : "Roberto", "given" : "In\u00eas C.", "non-dropping-particle" : "", "parse-names" : false, "suffix" : "" }, { "dropping-particle" : "", "family" : "Cardona", "given" : "Carlos A.", "non-dropping-particle" : "", "parse-names" : false, "suffix" : "" } ], "container-title" : "Bioresource Technology", "id" : "ITEM-1", "issued" : { "date-parts" : [ [ "2013" ] ] }, "title" : "Techno-economic analysis for brewer's spent grains use on a biorefinery concept: The Brazilian case", "type" : "article-journal" }, "uris" : [ "http://www.mendeley.com/documents/?uuid=ad9ad6d5-a94d-3908-9742-3cfbf361990e" ] } ], "mendeley" : { "formattedCitation" : "(MUSSATTO et al., 2013)", "plainTextFormattedCitation" : "(MUSSATTO et al., 2013)", "previouslyFormattedCitation" : "(MUSSATTO et al., 2013)"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Mussatto et al. (2013)</w:t>
            </w:r>
            <w:r w:rsidRPr="00462EAD">
              <w:rPr>
                <w:rFonts w:ascii="Arial" w:eastAsia="Times New Roman" w:hAnsi="Arial" w:cs="Arial"/>
                <w:color w:val="000000"/>
                <w:sz w:val="20"/>
                <w:szCs w:val="20"/>
                <w:lang w:val="en-US" w:eastAsia="pt-BR"/>
              </w:rPr>
              <w:fldChar w:fldCharType="end"/>
            </w:r>
          </w:p>
        </w:tc>
      </w:tr>
      <w:tr w:rsidR="008833C0" w:rsidRPr="00462EAD" w:rsidTr="00D656D4">
        <w:trPr>
          <w:cnfStyle w:val="000000100000"/>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Electricity</w:t>
            </w:r>
          </w:p>
        </w:tc>
        <w:tc>
          <w:tcPr>
            <w:tcW w:w="1559"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56.00</w:t>
            </w:r>
          </w:p>
        </w:tc>
        <w:tc>
          <w:tcPr>
            <w:tcW w:w="1276"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US$/(</w:t>
            </w:r>
            <w:proofErr w:type="spellStart"/>
            <w:r w:rsidRPr="00462EAD">
              <w:rPr>
                <w:rFonts w:ascii="Arial" w:eastAsia="Times New Roman" w:hAnsi="Arial" w:cs="Arial"/>
                <w:color w:val="000000"/>
                <w:sz w:val="20"/>
                <w:szCs w:val="20"/>
                <w:lang w:val="en-US" w:eastAsia="pt-BR"/>
              </w:rPr>
              <w:t>kW.h</w:t>
            </w:r>
            <w:proofErr w:type="spellEnd"/>
            <w:r w:rsidRPr="00462EAD">
              <w:rPr>
                <w:rFonts w:ascii="Arial" w:eastAsia="Times New Roman" w:hAnsi="Arial" w:cs="Arial"/>
                <w:color w:val="000000"/>
                <w:sz w:val="20"/>
                <w:szCs w:val="20"/>
                <w:lang w:val="en-US" w:eastAsia="pt-BR"/>
              </w:rPr>
              <w:t>)</w:t>
            </w:r>
          </w:p>
        </w:tc>
        <w:tc>
          <w:tcPr>
            <w:tcW w:w="2664" w:type="dxa"/>
          </w:tcPr>
          <w:p w:rsidR="008833C0" w:rsidRPr="00462EAD" w:rsidRDefault="00172413"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"http://www.brasil.gov.br/infraestrutura/2016/04/energia-renovavel-soma-99-da-potencia-contratada-em-leilao-da-aneel", "accessed" : { "date-parts" : [ [ "2016", "5", "2" ] ] }, "author" : [ { "dropping-particle" : "", "family" : "Portal Brasil (Governo Federal)", "given" : "", "non-dropping-particle" : "", "parse-names" : false, "suffix" : "" } ], "id" : "ITEM-1", "issued" : { "date-parts" : [ [ "0" ] ] }, "title" : "Energia renov\u00e1vel soma 99% da pot\u00eancia contratada em leil\u00e3o da Aneel", "type" : "webpage" }, "uris" : [ "http://www.mendeley.com/documents/?uuid=d07a272c-8697-44a9-b829-c3718fcc18e3" ] } ], "mendeley" : { "formattedCitation" : "(PORTAL BRASIL (GOVERNO FEDERAL), [s.d.])", "plainTextFormattedCitation" : "(PORTAL BRASIL (GOVERNO FEDERAL), [s.d.])", "previouslyFormattedCitation" : "(PORTAL BRASIL (GOVERNO FEDERAL),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Brazilian Federal Government, (2016)</w:t>
            </w:r>
            <w:r w:rsidRPr="00462EAD">
              <w:rPr>
                <w:rFonts w:ascii="Arial" w:eastAsia="Times New Roman" w:hAnsi="Arial" w:cs="Arial"/>
                <w:color w:val="000000"/>
                <w:sz w:val="20"/>
                <w:szCs w:val="20"/>
                <w:lang w:val="en-US" w:eastAsia="pt-BR"/>
              </w:rPr>
              <w:fldChar w:fldCharType="end"/>
            </w:r>
          </w:p>
        </w:tc>
      </w:tr>
      <w:tr w:rsidR="008833C0" w:rsidRPr="00462EAD" w:rsidTr="00D656D4">
        <w:trPr>
          <w:trHeight w:val="300"/>
        </w:trPr>
        <w:tc>
          <w:tcPr>
            <w:cnfStyle w:val="001000000000"/>
            <w:tcW w:w="3573" w:type="dxa"/>
            <w:shd w:val="clear" w:color="auto" w:fill="BFBFBF" w:themeFill="background1" w:themeFillShade="BF"/>
            <w:noWrap/>
          </w:tcPr>
          <w:p w:rsidR="008833C0" w:rsidRPr="00462EAD" w:rsidRDefault="008833C0" w:rsidP="00D656D4">
            <w:pPr>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Waste Treatment</w:t>
            </w:r>
          </w:p>
        </w:tc>
        <w:tc>
          <w:tcPr>
            <w:tcW w:w="1559" w:type="dxa"/>
            <w:shd w:val="clear" w:color="auto" w:fill="BFBFBF" w:themeFill="background1" w:themeFillShade="BF"/>
            <w:noWrap/>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c>
          <w:tcPr>
            <w:tcW w:w="1276" w:type="dxa"/>
            <w:shd w:val="clear" w:color="auto" w:fill="BFBFBF" w:themeFill="background1" w:themeFillShade="BF"/>
            <w:noWrap/>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c>
          <w:tcPr>
            <w:tcW w:w="2664" w:type="dxa"/>
            <w:shd w:val="clear" w:color="auto" w:fill="BFBFBF" w:themeFill="background1" w:themeFillShade="BF"/>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r>
      <w:tr w:rsidR="008833C0" w:rsidRPr="00462EAD" w:rsidTr="00D656D4">
        <w:trPr>
          <w:cnfStyle w:val="000000100000"/>
          <w:trHeight w:val="300"/>
        </w:trPr>
        <w:tc>
          <w:tcPr>
            <w:cnfStyle w:val="001000000000"/>
            <w:tcW w:w="3573" w:type="dxa"/>
            <w:noWrap/>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Filter Cake</w:t>
            </w:r>
          </w:p>
        </w:tc>
        <w:tc>
          <w:tcPr>
            <w:tcW w:w="1559" w:type="dxa"/>
            <w:noWrap/>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4.07</w:t>
            </w:r>
          </w:p>
        </w:tc>
        <w:tc>
          <w:tcPr>
            <w:tcW w:w="1276" w:type="dxa"/>
            <w:noWrap/>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US$/t</w:t>
            </w:r>
          </w:p>
        </w:tc>
        <w:tc>
          <w:tcPr>
            <w:tcW w:w="2664" w:type="dxa"/>
          </w:tcPr>
          <w:p w:rsidR="008833C0" w:rsidRPr="00462EAD" w:rsidRDefault="00172413"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"abstract" : "Uma das \u00e1reas com relev\u00e2ncia consagrada no limiar deste novo s\u00e9culo \u00e9 a das quest\u00f5es ambientais. A internaliza\u00e7\u00e3o dos custos inerentes \u00e0 resolu\u00e7\u00e3o dos problemas ambientais passa a ser encarada como algo decorrente da pr\u00f3pria atividade empresarial. As organiza\u00e7\u00f5es n\u00e3o podem mais desconsiderar os aspectos relacionados \u00e0 preserva\u00e7\u00e3o do meio ambiente e a vari\u00e1vel ambiental torna-se um importante diferencial competitivo com a qual as empresas devem se preocupar. A pesquisa desenvolvida refere-se \u00e0 an\u00e1lise dos custos envolvidos nas atividades relacionadas ao acondicionamento, tratamento, lan\u00e7amento e disposi\u00e7\u00e3o de res\u00edduos s\u00f3lidos e efluentes industriais gerados durante o processo de fabrica\u00e7\u00e3o de a\u00e7\u00facar e \u00e1lcool. O trabalho estabelece e sugere a cria\u00e7\u00e3o de indicadores da rela\u00e7\u00e3o entre os custos ambientais de cada etapa de gera\u00e7\u00e3o de res\u00edduos s\u00f3lidos e efluentes industriais e a quantidade de cana processada, possibilitando a ado\u00e7\u00e3o de pol\u00edticas pelos gestores da \u00e1rea ambiental. Se n\u00e3o for ben\u00e9fico do ponto de vista econ\u00f4mico ou financeiro a implanta\u00e7\u00e3o de uma pol\u00edtica de mensura\u00e7\u00e3o das atividades de gera\u00e7\u00e3o dos res\u00edduos e efluentes, combinada com uma alternativa de produ\u00e7\u00e3o mais limpa, estes gastos continuar\u00e3o sendo tratados como ocultos ou intang\u00edveis, ou seja, continuar\u00e3o sendo incorporados indevidamente ao custo dos produtos.", "author" : [ { "dropping-particle" : "", "family" : "Theodoro", "given" : "J. M. P.", "non-dropping-particle" : "", "parse-names" : false, "suffix" : "" } ], "id" : "ITEM-1", "issued" : { "date-parts" : [ [ "2005" ] ] }, "number-of-pages" : "130", "publisher" : "Centro Universit\u00e1rio de Araraquara", "title" : "Considera\u00e7\u00f5es sobre os Custos Ambientais Decorrentes do Gerenciamento dos Res\u00edduos S\u00f3lidos e dos Efluentes Industriais Gerados no Setor Sucroalcooleiro: Um Estudo de Caso", "type" : "thesis" }, "uris" : [ "http://www.mendeley.com/documents/?uuid=aceb064a-7afa-47bd-af34-0862025b85d7" ] } ], "mendeley" : { "formattedCitation" : "(THEODORO, 2005)", "plainTextFormattedCitation" : "(THEODORO, 2005)", "previouslyFormattedCitation" : "(THEODORO, 2005)"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Theodoro (2005)</w:t>
            </w:r>
            <w:r w:rsidRPr="00462EAD">
              <w:rPr>
                <w:rFonts w:ascii="Arial" w:eastAsia="Times New Roman" w:hAnsi="Arial" w:cs="Arial"/>
                <w:color w:val="000000"/>
                <w:sz w:val="20"/>
                <w:szCs w:val="20"/>
                <w:lang w:val="en-US" w:eastAsia="pt-BR"/>
              </w:rPr>
              <w:fldChar w:fldCharType="end"/>
            </w:r>
          </w:p>
        </w:tc>
      </w:tr>
      <w:tr w:rsidR="008833C0" w:rsidRPr="00462EAD" w:rsidTr="00D656D4">
        <w:trPr>
          <w:trHeight w:val="300"/>
        </w:trPr>
        <w:tc>
          <w:tcPr>
            <w:cnfStyle w:val="001000000000"/>
            <w:tcW w:w="3573" w:type="dxa"/>
            <w:noWrap/>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Aqueous Waste</w:t>
            </w:r>
          </w:p>
        </w:tc>
        <w:tc>
          <w:tcPr>
            <w:tcW w:w="1559" w:type="dxa"/>
            <w:noWrap/>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1.71</w:t>
            </w:r>
          </w:p>
        </w:tc>
        <w:tc>
          <w:tcPr>
            <w:tcW w:w="1276" w:type="dxa"/>
            <w:noWrap/>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US$/</w:t>
            </w:r>
            <w:proofErr w:type="spellStart"/>
            <w:r w:rsidRPr="00462EAD">
              <w:rPr>
                <w:rFonts w:ascii="Arial" w:eastAsia="Times New Roman" w:hAnsi="Arial" w:cs="Arial"/>
                <w:color w:val="000000"/>
                <w:sz w:val="20"/>
                <w:szCs w:val="20"/>
                <w:lang w:val="en-US" w:eastAsia="pt-BR"/>
              </w:rPr>
              <w:t>m</w:t>
            </w:r>
            <w:r w:rsidRPr="00462EAD">
              <w:rPr>
                <w:rFonts w:ascii="Arial" w:eastAsia="Times New Roman" w:hAnsi="Arial" w:cs="Arial"/>
                <w:color w:val="000000"/>
                <w:sz w:val="20"/>
                <w:szCs w:val="20"/>
                <w:vertAlign w:val="superscript"/>
                <w:lang w:val="en-US" w:eastAsia="pt-BR"/>
              </w:rPr>
              <w:t>3</w:t>
            </w:r>
            <w:proofErr w:type="spellEnd"/>
          </w:p>
        </w:tc>
        <w:tc>
          <w:tcPr>
            <w:tcW w:w="2664" w:type="dxa"/>
          </w:tcPr>
          <w:p w:rsidR="008833C0" w:rsidRPr="00462EAD" w:rsidRDefault="00172413"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"abstract" : "Uma das \u00e1reas com relev\u00e2ncia consagrada no limiar deste novo s\u00e9culo \u00e9 a das quest\u00f5es ambientais. A internaliza\u00e7\u00e3o dos custos inerentes \u00e0 resolu\u00e7\u00e3o dos problemas ambientais passa a ser encarada como algo decorrente da pr\u00f3pria atividade empresarial. As organiza\u00e7\u00f5es n\u00e3o podem mais desconsiderar os aspectos relacionados \u00e0 preserva\u00e7\u00e3o do meio ambiente e a vari\u00e1vel ambiental torna-se um importante diferencial competitivo com a qual as empresas devem se preocupar. A pesquisa desenvolvida refere-se \u00e0 an\u00e1lise dos custos envolvidos nas atividades relacionadas ao acondicionamento, tratamento, lan\u00e7amento e disposi\u00e7\u00e3o de res\u00edduos s\u00f3lidos e efluentes industriais gerados durante o processo de fabrica\u00e7\u00e3o de a\u00e7\u00facar e \u00e1lcool. O trabalho estabelece e sugere a cria\u00e7\u00e3o de indicadores da rela\u00e7\u00e3o entre os custos ambientais de cada etapa de gera\u00e7\u00e3o de res\u00edduos s\u00f3lidos e efluentes industriais e a quantidade de cana processada, possibilitando a ado\u00e7\u00e3o de pol\u00edticas pelos gestores da \u00e1rea ambiental. Se n\u00e3o for ben\u00e9fico do ponto de vista econ\u00f4mico ou financeiro a implanta\u00e7\u00e3o de uma pol\u00edtica de mensura\u00e7\u00e3o das atividades de gera\u00e7\u00e3o dos res\u00edduos e efluentes, combinada com uma alternativa de produ\u00e7\u00e3o mais limpa, estes gastos continuar\u00e3o sendo tratados como ocultos ou intang\u00edveis, ou seja, continuar\u00e3o sendo incorporados indevidamente ao custo dos produtos.", "author" : [ { "dropping-particle" : "", "family" : "Theodoro", "given" : "J. M. P.", "non-dropping-particle" : "", "parse-names" : false, "suffix" : "" } ], "id" : "ITEM-1", "issued" : { "date-parts" : [ [ "2005" ] ] }, "number-of-pages" : "130", "publisher" : "Centro Universit\u00e1rio de Araraquara", "title" : "Considera\u00e7\u00f5es sobre os Custos Ambientais Decorrentes do Gerenciamento dos Res\u00edduos S\u00f3lidos e dos Efluentes Industriais Gerados no Setor Sucroalcooleiro: Um Estudo de Caso", "type" : "thesis" }, "uris" : [ "http://www.mendeley.com/documents/?uuid=aceb064a-7afa-47bd-af34-0862025b85d7" ] } ], "mendeley" : { "formattedCitation" : "(THEODORO, 2005)", "plainTextFormattedCitation" : "(THEODORO, 2005)", "previouslyFormattedCitation" : "(THEODORO, 2005)"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proofErr w:type="spellStart"/>
            <w:r w:rsidR="008833C0" w:rsidRPr="00462EAD">
              <w:rPr>
                <w:rFonts w:ascii="Arial" w:eastAsia="Times New Roman" w:hAnsi="Arial" w:cs="Arial"/>
                <w:color w:val="000000"/>
                <w:sz w:val="20"/>
                <w:szCs w:val="20"/>
                <w:lang w:val="en-US" w:eastAsia="pt-BR"/>
              </w:rPr>
              <w:t>Theodoro</w:t>
            </w:r>
            <w:proofErr w:type="spellEnd"/>
            <w:r w:rsidR="008833C0" w:rsidRPr="00462EAD">
              <w:rPr>
                <w:rFonts w:ascii="Arial" w:eastAsia="Times New Roman" w:hAnsi="Arial" w:cs="Arial"/>
                <w:color w:val="000000"/>
                <w:sz w:val="20"/>
                <w:szCs w:val="20"/>
                <w:lang w:val="en-US" w:eastAsia="pt-BR"/>
              </w:rPr>
              <w:t xml:space="preserve"> (2005)</w:t>
            </w:r>
            <w:r w:rsidRPr="00462EAD">
              <w:rPr>
                <w:rFonts w:ascii="Arial" w:eastAsia="Times New Roman" w:hAnsi="Arial" w:cs="Arial"/>
                <w:color w:val="000000"/>
                <w:sz w:val="20"/>
                <w:szCs w:val="20"/>
                <w:lang w:val="en-US" w:eastAsia="pt-BR"/>
              </w:rPr>
              <w:fldChar w:fldCharType="end"/>
            </w:r>
          </w:p>
        </w:tc>
      </w:tr>
      <w:tr w:rsidR="008833C0" w:rsidRPr="00462EAD" w:rsidTr="00D656D4">
        <w:trPr>
          <w:cnfStyle w:val="000000100000"/>
          <w:trHeight w:val="300"/>
        </w:trPr>
        <w:tc>
          <w:tcPr>
            <w:cnfStyle w:val="001000000000"/>
            <w:tcW w:w="3573" w:type="dxa"/>
            <w:noWrap/>
            <w:hideMark/>
          </w:tcPr>
          <w:p w:rsidR="008833C0" w:rsidRPr="00462EAD" w:rsidRDefault="008833C0" w:rsidP="00D656D4">
            <w:pPr>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Labo</w:t>
            </w:r>
            <w:r>
              <w:rPr>
                <w:rFonts w:ascii="Arial" w:eastAsia="Times New Roman" w:hAnsi="Arial" w:cs="Arial"/>
                <w:color w:val="000000"/>
                <w:sz w:val="20"/>
                <w:szCs w:val="20"/>
                <w:lang w:val="en-US" w:eastAsia="pt-BR"/>
              </w:rPr>
              <w:t>r</w:t>
            </w:r>
            <w:r w:rsidRPr="00462EAD">
              <w:rPr>
                <w:rFonts w:ascii="Arial" w:eastAsia="Times New Roman" w:hAnsi="Arial" w:cs="Arial"/>
                <w:color w:val="000000"/>
                <w:sz w:val="20"/>
                <w:szCs w:val="20"/>
                <w:lang w:val="en-US" w:eastAsia="pt-BR"/>
              </w:rPr>
              <w:t xml:space="preserve"> cost</w:t>
            </w:r>
          </w:p>
        </w:tc>
        <w:tc>
          <w:tcPr>
            <w:tcW w:w="1559"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c>
          <w:tcPr>
            <w:tcW w:w="1276"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c>
          <w:tcPr>
            <w:tcW w:w="2664" w:type="dxa"/>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r>
      <w:tr w:rsidR="008833C0" w:rsidRPr="00462EAD" w:rsidTr="00D656D4">
        <w:trPr>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Basic Rate</w:t>
            </w:r>
          </w:p>
        </w:tc>
        <w:tc>
          <w:tcPr>
            <w:tcW w:w="1559"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7.93</w:t>
            </w:r>
          </w:p>
        </w:tc>
        <w:tc>
          <w:tcPr>
            <w:tcW w:w="1276"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US$/h</w:t>
            </w:r>
          </w:p>
        </w:tc>
        <w:tc>
          <w:tcPr>
            <w:tcW w:w="2664" w:type="dxa"/>
          </w:tcPr>
          <w:p w:rsidR="008833C0" w:rsidRPr="00462EAD" w:rsidRDefault="00172413"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"http://www.bls.gov/fls/ichcc.htm", "author" : [ { "dropping-particle" : "", "family" : "US Bureau of Labor Statistics", "given" : "", "non-dropping-particle" : "", "parse-names" : false, "suffix" : "" } ], "id" : "ITEM-1", "issued" : { "date-parts" : [ [ "0" ] ] }, "title" : "International Comparisons of Hourly Compensation Costs in Manufacturing, 2012", "type" : "webpage" }, "uris" : [ "http://www.mendeley.com/documents/?uuid=af9159a3-f07f-44d3-be16-725d53acbd10" ] } ], "mendeley" : { "formattedCitation" : "(US BUREAU OF LABOR STATISTICS, [s.d.])", "plainTextFormattedCitation" : "(US BUREAU OF LABOR STATISTICS, [s.d.])", "previouslyFormattedCitation" : "(US BUREAU OF LABOR STATISTICS,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US Bureau of Labor Statistics (2016)</w:t>
            </w:r>
            <w:r w:rsidRPr="00462EAD">
              <w:rPr>
                <w:rFonts w:ascii="Arial" w:eastAsia="Times New Roman" w:hAnsi="Arial" w:cs="Arial"/>
                <w:color w:val="000000"/>
                <w:sz w:val="20"/>
                <w:szCs w:val="20"/>
                <w:lang w:val="en-US" w:eastAsia="pt-BR"/>
              </w:rPr>
              <w:fldChar w:fldCharType="end"/>
            </w:r>
          </w:p>
        </w:tc>
      </w:tr>
      <w:tr w:rsidR="008833C0" w:rsidRPr="00462EAD" w:rsidTr="00D656D4">
        <w:trPr>
          <w:cnfStyle w:val="000000100000"/>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Operating Supplies</w:t>
            </w:r>
          </w:p>
        </w:tc>
        <w:tc>
          <w:tcPr>
            <w:tcW w:w="1559"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10%</w:t>
            </w:r>
          </w:p>
        </w:tc>
        <w:tc>
          <w:tcPr>
            <w:tcW w:w="1276"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c>
          <w:tcPr>
            <w:tcW w:w="2664" w:type="dxa"/>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roofErr w:type="spellStart"/>
            <w:r w:rsidRPr="00462EAD">
              <w:rPr>
                <w:rFonts w:ascii="Arial" w:eastAsia="Times New Roman" w:hAnsi="Arial" w:cs="Arial"/>
                <w:color w:val="000000"/>
                <w:sz w:val="20"/>
                <w:szCs w:val="20"/>
                <w:lang w:val="en-US" w:eastAsia="pt-BR"/>
              </w:rPr>
              <w:t>SuperPro</w:t>
            </w:r>
            <w:proofErr w:type="spellEnd"/>
            <w:r w:rsidRPr="00462EAD">
              <w:rPr>
                <w:rFonts w:ascii="Arial" w:eastAsia="Times New Roman" w:hAnsi="Arial" w:cs="Arial"/>
                <w:color w:val="000000"/>
                <w:sz w:val="20"/>
                <w:szCs w:val="20"/>
                <w:lang w:val="en-US" w:eastAsia="pt-BR"/>
              </w:rPr>
              <w:t xml:space="preserve"> default</w:t>
            </w:r>
          </w:p>
        </w:tc>
      </w:tr>
      <w:tr w:rsidR="008833C0" w:rsidRPr="00462EAD" w:rsidTr="00D656D4">
        <w:trPr>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Supervision</w:t>
            </w:r>
          </w:p>
        </w:tc>
        <w:tc>
          <w:tcPr>
            <w:tcW w:w="1559"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20%</w:t>
            </w:r>
          </w:p>
        </w:tc>
        <w:tc>
          <w:tcPr>
            <w:tcW w:w="1276"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c>
          <w:tcPr>
            <w:tcW w:w="2664" w:type="dxa"/>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roofErr w:type="spellStart"/>
            <w:r w:rsidRPr="00462EAD">
              <w:rPr>
                <w:rFonts w:ascii="Arial" w:eastAsia="Times New Roman" w:hAnsi="Arial" w:cs="Arial"/>
                <w:color w:val="000000"/>
                <w:sz w:val="20"/>
                <w:szCs w:val="20"/>
                <w:lang w:val="en-US" w:eastAsia="pt-BR"/>
              </w:rPr>
              <w:t>SuperPro</w:t>
            </w:r>
            <w:proofErr w:type="spellEnd"/>
            <w:r w:rsidRPr="00462EAD">
              <w:rPr>
                <w:rFonts w:ascii="Arial" w:eastAsia="Times New Roman" w:hAnsi="Arial" w:cs="Arial"/>
                <w:color w:val="000000"/>
                <w:sz w:val="20"/>
                <w:szCs w:val="20"/>
                <w:lang w:val="en-US" w:eastAsia="pt-BR"/>
              </w:rPr>
              <w:t xml:space="preserve"> default</w:t>
            </w:r>
          </w:p>
        </w:tc>
      </w:tr>
      <w:tr w:rsidR="008833C0" w:rsidRPr="00462EAD" w:rsidTr="00D656D4">
        <w:trPr>
          <w:cnfStyle w:val="000000100000"/>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Administration</w:t>
            </w:r>
          </w:p>
        </w:tc>
        <w:tc>
          <w:tcPr>
            <w:tcW w:w="1559"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60%</w:t>
            </w:r>
          </w:p>
        </w:tc>
        <w:tc>
          <w:tcPr>
            <w:tcW w:w="1276"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c>
          <w:tcPr>
            <w:tcW w:w="2664" w:type="dxa"/>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roofErr w:type="spellStart"/>
            <w:r w:rsidRPr="00462EAD">
              <w:rPr>
                <w:rFonts w:ascii="Arial" w:eastAsia="Times New Roman" w:hAnsi="Arial" w:cs="Arial"/>
                <w:color w:val="000000"/>
                <w:sz w:val="20"/>
                <w:szCs w:val="20"/>
                <w:lang w:val="en-US" w:eastAsia="pt-BR"/>
              </w:rPr>
              <w:t>SuperPro</w:t>
            </w:r>
            <w:proofErr w:type="spellEnd"/>
            <w:r w:rsidRPr="00462EAD">
              <w:rPr>
                <w:rFonts w:ascii="Arial" w:eastAsia="Times New Roman" w:hAnsi="Arial" w:cs="Arial"/>
                <w:color w:val="000000"/>
                <w:sz w:val="20"/>
                <w:szCs w:val="20"/>
                <w:lang w:val="en-US" w:eastAsia="pt-BR"/>
              </w:rPr>
              <w:t xml:space="preserve"> default</w:t>
            </w:r>
          </w:p>
        </w:tc>
      </w:tr>
      <w:tr w:rsidR="008833C0" w:rsidRPr="00462EAD" w:rsidTr="00D656D4">
        <w:trPr>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Adjusted Rate</w:t>
            </w:r>
          </w:p>
        </w:tc>
        <w:tc>
          <w:tcPr>
            <w:tcW w:w="1559"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15.07</w:t>
            </w:r>
          </w:p>
        </w:tc>
        <w:tc>
          <w:tcPr>
            <w:tcW w:w="1276"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US$/h</w:t>
            </w:r>
          </w:p>
        </w:tc>
        <w:tc>
          <w:tcPr>
            <w:tcW w:w="2664" w:type="dxa"/>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Calculated from above</w:t>
            </w:r>
          </w:p>
        </w:tc>
      </w:tr>
      <w:tr w:rsidR="008833C0" w:rsidRPr="00462EAD" w:rsidTr="00D656D4">
        <w:trPr>
          <w:cnfStyle w:val="000000100000"/>
          <w:trHeight w:val="300"/>
        </w:trPr>
        <w:tc>
          <w:tcPr>
            <w:cnfStyle w:val="001000000000"/>
            <w:tcW w:w="3573" w:type="dxa"/>
            <w:shd w:val="clear" w:color="auto" w:fill="BFBFBF" w:themeFill="background1" w:themeFillShade="BF"/>
            <w:noWrap/>
            <w:hideMark/>
          </w:tcPr>
          <w:p w:rsidR="008833C0" w:rsidRPr="00462EAD" w:rsidRDefault="008833C0" w:rsidP="00D656D4">
            <w:pPr>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Time Parameters</w:t>
            </w:r>
          </w:p>
        </w:tc>
        <w:tc>
          <w:tcPr>
            <w:tcW w:w="1559" w:type="dxa"/>
            <w:shd w:val="clear" w:color="auto" w:fill="BFBFBF" w:themeFill="background1" w:themeFillShade="BF"/>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c>
          <w:tcPr>
            <w:tcW w:w="1276" w:type="dxa"/>
            <w:shd w:val="clear" w:color="auto" w:fill="BFBFBF" w:themeFill="background1" w:themeFillShade="BF"/>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c>
          <w:tcPr>
            <w:tcW w:w="2664" w:type="dxa"/>
            <w:shd w:val="clear" w:color="auto" w:fill="BFBFBF" w:themeFill="background1" w:themeFillShade="BF"/>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r>
      <w:tr w:rsidR="008833C0" w:rsidRPr="00462EAD" w:rsidTr="00D656D4">
        <w:trPr>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Month/Year of Analysis and Construction</w:t>
            </w:r>
          </w:p>
        </w:tc>
        <w:tc>
          <w:tcPr>
            <w:tcW w:w="1559"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May 2016</w:t>
            </w:r>
          </w:p>
        </w:tc>
        <w:tc>
          <w:tcPr>
            <w:tcW w:w="1276"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c>
          <w:tcPr>
            <w:tcW w:w="2664" w:type="dxa"/>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Defined</w:t>
            </w:r>
          </w:p>
        </w:tc>
      </w:tr>
      <w:tr w:rsidR="008833C0" w:rsidRPr="00462EAD" w:rsidTr="00D656D4">
        <w:trPr>
          <w:cnfStyle w:val="000000100000"/>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Construction Period</w:t>
            </w:r>
          </w:p>
        </w:tc>
        <w:tc>
          <w:tcPr>
            <w:tcW w:w="1559"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30</w:t>
            </w:r>
          </w:p>
        </w:tc>
        <w:tc>
          <w:tcPr>
            <w:tcW w:w="1276"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months</w:t>
            </w:r>
          </w:p>
        </w:tc>
        <w:tc>
          <w:tcPr>
            <w:tcW w:w="2664" w:type="dxa"/>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Defined</w:t>
            </w:r>
          </w:p>
        </w:tc>
      </w:tr>
      <w:tr w:rsidR="008833C0" w:rsidRPr="00462EAD" w:rsidTr="00D656D4">
        <w:trPr>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Startup Period</w:t>
            </w:r>
          </w:p>
        </w:tc>
        <w:tc>
          <w:tcPr>
            <w:tcW w:w="1559"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6</w:t>
            </w:r>
          </w:p>
        </w:tc>
        <w:tc>
          <w:tcPr>
            <w:tcW w:w="1276"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months</w:t>
            </w:r>
          </w:p>
        </w:tc>
        <w:tc>
          <w:tcPr>
            <w:tcW w:w="2664" w:type="dxa"/>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Defined</w:t>
            </w:r>
          </w:p>
        </w:tc>
      </w:tr>
      <w:tr w:rsidR="008833C0" w:rsidRPr="00462EAD" w:rsidTr="00D656D4">
        <w:trPr>
          <w:cnfStyle w:val="000000100000"/>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Project Lifetime</w:t>
            </w:r>
          </w:p>
        </w:tc>
        <w:tc>
          <w:tcPr>
            <w:tcW w:w="1559"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25</w:t>
            </w:r>
          </w:p>
        </w:tc>
        <w:tc>
          <w:tcPr>
            <w:tcW w:w="1276"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years</w:t>
            </w:r>
          </w:p>
        </w:tc>
        <w:tc>
          <w:tcPr>
            <w:tcW w:w="2664" w:type="dxa"/>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Defined</w:t>
            </w:r>
          </w:p>
        </w:tc>
      </w:tr>
      <w:tr w:rsidR="008833C0" w:rsidRPr="00462EAD" w:rsidTr="00D656D4">
        <w:trPr>
          <w:trHeight w:val="300"/>
        </w:trPr>
        <w:tc>
          <w:tcPr>
            <w:cnfStyle w:val="001000000000"/>
            <w:tcW w:w="3573" w:type="dxa"/>
            <w:shd w:val="clear" w:color="auto" w:fill="BFBFBF" w:themeFill="background1" w:themeFillShade="BF"/>
            <w:noWrap/>
            <w:hideMark/>
          </w:tcPr>
          <w:p w:rsidR="008833C0" w:rsidRPr="00462EAD" w:rsidRDefault="008833C0" w:rsidP="00D656D4">
            <w:pPr>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Financing</w:t>
            </w:r>
          </w:p>
        </w:tc>
        <w:tc>
          <w:tcPr>
            <w:tcW w:w="1559" w:type="dxa"/>
            <w:shd w:val="clear" w:color="auto" w:fill="BFBFBF" w:themeFill="background1" w:themeFillShade="BF"/>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c>
          <w:tcPr>
            <w:tcW w:w="1276" w:type="dxa"/>
            <w:shd w:val="clear" w:color="auto" w:fill="BFBFBF" w:themeFill="background1" w:themeFillShade="BF"/>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c>
          <w:tcPr>
            <w:tcW w:w="2664" w:type="dxa"/>
            <w:shd w:val="clear" w:color="auto" w:fill="BFBFBF" w:themeFill="background1" w:themeFillShade="BF"/>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r>
      <w:tr w:rsidR="008833C0" w:rsidRPr="00462EAD" w:rsidTr="00D656D4">
        <w:trPr>
          <w:cnfStyle w:val="000000100000"/>
          <w:trHeight w:val="347"/>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Debt</w:t>
            </w:r>
          </w:p>
        </w:tc>
        <w:tc>
          <w:tcPr>
            <w:tcW w:w="1559"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50% of project</w:t>
            </w:r>
          </w:p>
        </w:tc>
        <w:tc>
          <w:tcPr>
            <w:tcW w:w="1276" w:type="dxa"/>
            <w:noWrap/>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c>
          <w:tcPr>
            <w:tcW w:w="2664" w:type="dxa"/>
          </w:tcPr>
          <w:p w:rsidR="008833C0" w:rsidRPr="00462EAD" w:rsidRDefault="00172413"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"http://www.bndes.gov.br/SiteBNDES/bndes/bndes_pt/Institucional/Apoio_Financeiro/Programas_e_Fundos/Prorenova/prorenova_industrial.html", "accessed" : { "date-parts" : [ [ "2016", "5", "15" ] ] }, "author" : [ { "dropping-particle" : "", "family" : "BNDES", "given" : "", "non-dropping-particle" : "", "parse-names" : false, "suffix" : "" } ], "id" : "ITEM-1", "issued" : { "date-parts" : [ [ "0" ] ] }, "title" : "BNDES Prorenova Industrial", "type" : "webpage" }, "uris" : [ "http://www.mendeley.com/documents/?uuid=6e21ce24-190f-498e-a695-151fdc230cc4" ] } ], "mendeley" : { "formattedCitation" : "(BNDES, [s.d.])", "plainTextFormattedCitation" : "(BNDES, [s.d.])", "previouslyFormattedCitation" : "(BNDES,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BNDES, Brazil (2016)</w:t>
            </w:r>
            <w:r w:rsidRPr="00462EAD">
              <w:rPr>
                <w:rFonts w:ascii="Arial" w:eastAsia="Times New Roman" w:hAnsi="Arial" w:cs="Arial"/>
                <w:color w:val="000000"/>
                <w:sz w:val="20"/>
                <w:szCs w:val="20"/>
                <w:lang w:val="en-US" w:eastAsia="pt-BR"/>
              </w:rPr>
              <w:fldChar w:fldCharType="end"/>
            </w:r>
          </w:p>
        </w:tc>
      </w:tr>
      <w:tr w:rsidR="008833C0" w:rsidRPr="00462EAD" w:rsidTr="00D656D4">
        <w:trPr>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Loan Period</w:t>
            </w:r>
          </w:p>
        </w:tc>
        <w:tc>
          <w:tcPr>
            <w:tcW w:w="1559" w:type="dxa"/>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6</w:t>
            </w:r>
          </w:p>
        </w:tc>
        <w:tc>
          <w:tcPr>
            <w:tcW w:w="1276" w:type="dxa"/>
            <w:noWrap/>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years</w:t>
            </w:r>
          </w:p>
        </w:tc>
        <w:tc>
          <w:tcPr>
            <w:tcW w:w="2664" w:type="dxa"/>
          </w:tcPr>
          <w:p w:rsidR="008833C0" w:rsidRPr="00462EAD" w:rsidRDefault="00172413"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"http://www.bndes.gov.br/SiteBNDES/bndes/bndes_pt/Institucional/Apoio_Financeiro/Programas_e_Fundos/Prorenova/prorenova_industrial.html", "accessed" : { "date-parts" : [ [ "2016", "5", "15" ] ] }, "author" : [ { "dropping-particle" : "", "family" : "BNDES", "given" : "", "non-dropping-particle" : "", "parse-names" : false, "suffix" : "" } ], "id" : "ITEM-1", "issued" : { "date-parts" : [ [ "0" ] ] }, "title" : "BNDES Prorenova Industrial", "type" : "webpage" }, "uris" : [ "http://www.mendeley.com/documents/?uuid=6e21ce24-190f-498e-a695-151fdc230cc4" ] } ], "mendeley" : { "formattedCitation" : "(BNDES, [s.d.])", "plainTextFormattedCitation" : "(BNDES, [s.d.])", "previouslyFormattedCitation" : "(BNDES,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BNDES, Brazil (2016)</w:t>
            </w:r>
            <w:r w:rsidRPr="00462EAD">
              <w:rPr>
                <w:rFonts w:ascii="Arial" w:eastAsia="Times New Roman" w:hAnsi="Arial" w:cs="Arial"/>
                <w:color w:val="000000"/>
                <w:sz w:val="20"/>
                <w:szCs w:val="20"/>
                <w:lang w:val="en-US" w:eastAsia="pt-BR"/>
              </w:rPr>
              <w:fldChar w:fldCharType="end"/>
            </w:r>
          </w:p>
        </w:tc>
      </w:tr>
      <w:tr w:rsidR="008833C0" w:rsidRPr="00462EAD" w:rsidTr="00D656D4">
        <w:trPr>
          <w:cnfStyle w:val="000000100000"/>
          <w:trHeight w:val="300"/>
        </w:trPr>
        <w:tc>
          <w:tcPr>
            <w:cnfStyle w:val="001000000000"/>
            <w:tcW w:w="3573" w:type="dxa"/>
            <w:noWrap/>
            <w:hideMark/>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Loan Interest Rate</w:t>
            </w:r>
          </w:p>
        </w:tc>
        <w:tc>
          <w:tcPr>
            <w:tcW w:w="1559"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10.25%</w:t>
            </w:r>
          </w:p>
        </w:tc>
        <w:tc>
          <w:tcPr>
            <w:tcW w:w="1276" w:type="dxa"/>
            <w:noWrap/>
            <w:hideMark/>
          </w:tcPr>
          <w:p w:rsidR="008833C0" w:rsidRPr="00462EAD" w:rsidRDefault="008833C0" w:rsidP="00D656D4">
            <w:pPr>
              <w:jc w:val="center"/>
              <w:cnfStyle w:val="000000100000"/>
              <w:rPr>
                <w:rFonts w:ascii="Arial" w:eastAsia="Times New Roman" w:hAnsi="Arial" w:cs="Arial"/>
                <w:color w:val="000000"/>
                <w:sz w:val="20"/>
                <w:szCs w:val="20"/>
                <w:lang w:val="en-US" w:eastAsia="pt-BR"/>
              </w:rPr>
            </w:pPr>
          </w:p>
        </w:tc>
        <w:tc>
          <w:tcPr>
            <w:tcW w:w="2664" w:type="dxa"/>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 xml:space="preserve">Calculated </w:t>
            </w:r>
            <w:proofErr w:type="spellStart"/>
            <w:r w:rsidRPr="00462EAD">
              <w:rPr>
                <w:rFonts w:ascii="Arial" w:eastAsia="Times New Roman" w:hAnsi="Arial" w:cs="Arial"/>
                <w:color w:val="000000"/>
                <w:sz w:val="20"/>
                <w:szCs w:val="20"/>
                <w:lang w:val="en-US" w:eastAsia="pt-BR"/>
              </w:rPr>
              <w:t>BNDES</w:t>
            </w:r>
            <w:proofErr w:type="spellEnd"/>
            <w:r w:rsidRPr="00462EAD">
              <w:rPr>
                <w:rFonts w:ascii="Arial" w:eastAsia="Times New Roman" w:hAnsi="Arial" w:cs="Arial"/>
                <w:color w:val="000000"/>
                <w:sz w:val="20"/>
                <w:szCs w:val="20"/>
                <w:lang w:val="en-US" w:eastAsia="pt-BR"/>
              </w:rPr>
              <w:t xml:space="preserve"> rate for medium/large ethanol plants</w:t>
            </w:r>
          </w:p>
        </w:tc>
      </w:tr>
      <w:tr w:rsidR="008833C0" w:rsidRPr="00462EAD" w:rsidTr="00D656D4">
        <w:trPr>
          <w:trHeight w:val="300"/>
        </w:trPr>
        <w:tc>
          <w:tcPr>
            <w:cnfStyle w:val="001000000000"/>
            <w:tcW w:w="3573" w:type="dxa"/>
            <w:shd w:val="clear" w:color="auto" w:fill="BFBFBF" w:themeFill="background1" w:themeFillShade="BF"/>
            <w:noWrap/>
            <w:hideMark/>
          </w:tcPr>
          <w:p w:rsidR="008833C0" w:rsidRPr="00462EAD" w:rsidRDefault="008833C0" w:rsidP="00D656D4">
            <w:pPr>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Price Indices</w:t>
            </w:r>
          </w:p>
        </w:tc>
        <w:tc>
          <w:tcPr>
            <w:tcW w:w="2835" w:type="dxa"/>
            <w:gridSpan w:val="2"/>
            <w:shd w:val="clear" w:color="auto" w:fill="BFBFBF" w:themeFill="background1" w:themeFillShade="BF"/>
            <w:noWrap/>
            <w:hideMark/>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c>
          <w:tcPr>
            <w:tcW w:w="2664" w:type="dxa"/>
            <w:shd w:val="clear" w:color="auto" w:fill="BFBFBF" w:themeFill="background1" w:themeFillShade="BF"/>
          </w:tcPr>
          <w:p w:rsidR="008833C0" w:rsidRPr="00462EAD" w:rsidRDefault="008833C0" w:rsidP="00D656D4">
            <w:pPr>
              <w:jc w:val="center"/>
              <w:cnfStyle w:val="000000000000"/>
              <w:rPr>
                <w:rFonts w:ascii="Arial" w:eastAsia="Times New Roman" w:hAnsi="Arial" w:cs="Arial"/>
                <w:color w:val="000000"/>
                <w:sz w:val="20"/>
                <w:szCs w:val="20"/>
                <w:lang w:val="en-US" w:eastAsia="pt-BR"/>
              </w:rPr>
            </w:pPr>
          </w:p>
        </w:tc>
      </w:tr>
      <w:tr w:rsidR="008833C0" w:rsidRPr="00462EAD" w:rsidTr="00D656D4">
        <w:trPr>
          <w:cnfStyle w:val="000000100000"/>
          <w:trHeight w:val="300"/>
        </w:trPr>
        <w:tc>
          <w:tcPr>
            <w:cnfStyle w:val="001000000000"/>
            <w:tcW w:w="3573" w:type="dxa"/>
            <w:noWrap/>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Chemical Engineering Plant Cost Index (</w:t>
            </w:r>
            <w:proofErr w:type="spellStart"/>
            <w:r w:rsidRPr="00462EAD">
              <w:rPr>
                <w:rFonts w:ascii="Arial" w:eastAsia="Times New Roman" w:hAnsi="Arial" w:cs="Arial"/>
                <w:b w:val="0"/>
                <w:color w:val="000000"/>
                <w:sz w:val="20"/>
                <w:szCs w:val="20"/>
                <w:lang w:val="en-US" w:eastAsia="pt-BR"/>
              </w:rPr>
              <w:t>CEPCI</w:t>
            </w:r>
            <w:proofErr w:type="spellEnd"/>
            <w:r w:rsidRPr="00462EAD">
              <w:rPr>
                <w:rFonts w:ascii="Arial" w:eastAsia="Times New Roman" w:hAnsi="Arial" w:cs="Arial"/>
                <w:b w:val="0"/>
                <w:color w:val="000000"/>
                <w:sz w:val="20"/>
                <w:szCs w:val="20"/>
                <w:lang w:val="en-US" w:eastAsia="pt-BR"/>
              </w:rPr>
              <w:t>)</w:t>
            </w:r>
          </w:p>
        </w:tc>
        <w:tc>
          <w:tcPr>
            <w:tcW w:w="2835" w:type="dxa"/>
            <w:gridSpan w:val="2"/>
            <w:noWrap/>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 xml:space="preserve">Piping/Equipment Estimated using </w:t>
            </w:r>
            <w:proofErr w:type="spellStart"/>
            <w:r w:rsidRPr="00462EAD">
              <w:rPr>
                <w:rFonts w:ascii="Arial" w:eastAsia="Times New Roman" w:hAnsi="Arial" w:cs="Arial"/>
                <w:color w:val="000000"/>
                <w:sz w:val="20"/>
                <w:szCs w:val="20"/>
                <w:lang w:val="en-US" w:eastAsia="pt-BR"/>
              </w:rPr>
              <w:t>SuperPro</w:t>
            </w:r>
            <w:proofErr w:type="spellEnd"/>
            <w:r w:rsidRPr="00462EAD">
              <w:rPr>
                <w:rFonts w:ascii="Arial" w:eastAsia="Times New Roman" w:hAnsi="Arial" w:cs="Arial"/>
                <w:color w:val="000000"/>
                <w:sz w:val="20"/>
                <w:szCs w:val="20"/>
                <w:lang w:val="en-US" w:eastAsia="pt-BR"/>
              </w:rPr>
              <w:t xml:space="preserve"> Design</w:t>
            </w:r>
          </w:p>
        </w:tc>
        <w:tc>
          <w:tcPr>
            <w:tcW w:w="2664" w:type="dxa"/>
          </w:tcPr>
          <w:p w:rsidR="008833C0" w:rsidRPr="00462EAD" w:rsidRDefault="00172413"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"http://www.chemengonline.com/pci-home", "author" : [ { "dropping-particle" : "", "family" : "Chemical Engineering magazine", "given" : "", "non-dropping-particle" : "", "parse-names" : false, "suffix" : "" } ], "id" : "ITEM-1", "issued" : { "date-parts" : [ [ "0" ] ] }, "title" : "Chemical Engineering Plant Cost Index", "type" : "webpage" }, "uris" : [ "http://www.mendeley.com/documents/?uuid=fac0a15b-f7cb-4131-974e-44385a5d1c24" ] } ], "mendeley" : { "formattedCitation" : "(CHEMICAL ENGINEERING MAGAZINE, [s.d.])", "plainTextFormattedCitation" : "(CHEMICAL ENGINEERING MAGAZINE, [s.d.])", "previouslyFormattedCitation" : "(CHEMICAL ENGINEERING MAGAZINE,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Chemical Engineerin</w:t>
            </w:r>
            <w:r w:rsidR="008833C0">
              <w:rPr>
                <w:rFonts w:ascii="Arial" w:eastAsia="Times New Roman" w:hAnsi="Arial" w:cs="Arial"/>
                <w:color w:val="000000"/>
                <w:sz w:val="20"/>
                <w:szCs w:val="20"/>
                <w:lang w:val="en-US" w:eastAsia="pt-BR"/>
              </w:rPr>
              <w:t>g M</w:t>
            </w:r>
            <w:r w:rsidR="008833C0" w:rsidRPr="00462EAD">
              <w:rPr>
                <w:rFonts w:ascii="Arial" w:eastAsia="Times New Roman" w:hAnsi="Arial" w:cs="Arial"/>
                <w:color w:val="000000"/>
                <w:sz w:val="20"/>
                <w:szCs w:val="20"/>
                <w:lang w:val="en-US" w:eastAsia="pt-BR"/>
              </w:rPr>
              <w:t>agazine (2016)</w:t>
            </w:r>
            <w:r w:rsidRPr="00462EAD">
              <w:rPr>
                <w:rFonts w:ascii="Arial" w:eastAsia="Times New Roman" w:hAnsi="Arial" w:cs="Arial"/>
                <w:color w:val="000000"/>
                <w:sz w:val="20"/>
                <w:szCs w:val="20"/>
                <w:lang w:val="en-US" w:eastAsia="pt-BR"/>
              </w:rPr>
              <w:fldChar w:fldCharType="end"/>
            </w:r>
          </w:p>
        </w:tc>
      </w:tr>
      <w:tr w:rsidR="008833C0" w:rsidRPr="00462EAD" w:rsidTr="00D656D4">
        <w:trPr>
          <w:trHeight w:val="300"/>
        </w:trPr>
        <w:tc>
          <w:tcPr>
            <w:cnfStyle w:val="001000000000"/>
            <w:tcW w:w="3573" w:type="dxa"/>
            <w:noWrap/>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 xml:space="preserve">Nominal Average Salary in Sao Paulo </w:t>
            </w:r>
            <w:r w:rsidRPr="00462EAD">
              <w:rPr>
                <w:rFonts w:ascii="Arial" w:eastAsia="Times New Roman" w:hAnsi="Arial" w:cs="Arial"/>
                <w:b w:val="0"/>
                <w:color w:val="000000"/>
                <w:sz w:val="20"/>
                <w:szCs w:val="20"/>
                <w:lang w:val="en-US" w:eastAsia="pt-BR"/>
              </w:rPr>
              <w:lastRenderedPageBreak/>
              <w:t>state</w:t>
            </w:r>
          </w:p>
        </w:tc>
        <w:tc>
          <w:tcPr>
            <w:tcW w:w="2835" w:type="dxa"/>
            <w:gridSpan w:val="2"/>
            <w:noWrap/>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lastRenderedPageBreak/>
              <w:t>Labor cost in Brazilian Plant</w:t>
            </w:r>
          </w:p>
        </w:tc>
        <w:tc>
          <w:tcPr>
            <w:tcW w:w="2664" w:type="dxa"/>
          </w:tcPr>
          <w:p w:rsidR="008833C0" w:rsidRPr="00462EAD" w:rsidRDefault="00172413"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"http://www.ipeadata.gov.br/", "accessed" : { "date-parts" : [ [ "2016", "5", "5" ] ] }, "author" : [ { "dropping-particle" : "", "family" : "IPEA", "given" : "", "non-dropping-particle" : "", "parse-names" : false, "suffix" : "" } ], "id" : "ITEM-1", "issued" : { "date-parts" : [ [ "0" ] ] }, "title" : "IPEA data", "type" : "webpage" }, "uris" : [ "http://www.mendeley.com/documents/?uuid=df998861-b3a6-45cd-9a72-839527ea8201" ] } ], "mendeley" : { "formattedCitation" : "(IPEA, [s.d.])", "plainTextFormattedCitation" : "(IPEA, [s.d.])", "previouslyFormattedCitation" : "(IPEA,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IPEA, Brazil (2016)</w:t>
            </w:r>
            <w:r w:rsidRPr="00462EAD">
              <w:rPr>
                <w:rFonts w:ascii="Arial" w:eastAsia="Times New Roman" w:hAnsi="Arial" w:cs="Arial"/>
                <w:color w:val="000000"/>
                <w:sz w:val="20"/>
                <w:szCs w:val="20"/>
                <w:lang w:val="en-US" w:eastAsia="pt-BR"/>
              </w:rPr>
              <w:fldChar w:fldCharType="end"/>
            </w:r>
          </w:p>
        </w:tc>
      </w:tr>
      <w:tr w:rsidR="008833C0" w:rsidRPr="00462EAD" w:rsidTr="00D656D4">
        <w:trPr>
          <w:cnfStyle w:val="000000100000"/>
          <w:trHeight w:val="300"/>
        </w:trPr>
        <w:tc>
          <w:tcPr>
            <w:cnfStyle w:val="001000000000"/>
            <w:tcW w:w="3573" w:type="dxa"/>
            <w:noWrap/>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lastRenderedPageBreak/>
              <w:t>Unit labor cost data for the Chemical Industry</w:t>
            </w:r>
          </w:p>
        </w:tc>
        <w:tc>
          <w:tcPr>
            <w:tcW w:w="2835" w:type="dxa"/>
            <w:gridSpan w:val="2"/>
            <w:noWrap/>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Update of American Labor Cost</w:t>
            </w:r>
          </w:p>
        </w:tc>
        <w:tc>
          <w:tcPr>
            <w:tcW w:w="2664" w:type="dxa"/>
          </w:tcPr>
          <w:p w:rsidR="008833C0" w:rsidRPr="00462EAD" w:rsidRDefault="00172413"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"http://www.bls.gov/fls/ichcc.htm", "author" : [ { "dropping-particle" : "", "family" : "US Bureau of Labor Statistics", "given" : "", "non-dropping-particle" : "", "parse-names" : false, "suffix" : "" } ], "id" : "ITEM-1", "issued" : { "date-parts" : [ [ "0" ] ] }, "title" : "International Comparisons of Hourly Compensation Costs in Manufacturing, 2012", "type" : "webpage" }, "uris" : [ "http://www.mendeley.com/documents/?uuid=af9159a3-f07f-44d3-be16-725d53acbd10" ] } ], "mendeley" : { "formattedCitation" : "(US BUREAU OF LABOR STATISTICS, [s.d.])", "plainTextFormattedCitation" : "(US BUREAU OF LABOR STATISTICS, [s.d.])", "previouslyFormattedCitation" : "(US BUREAU OF LABOR STATISTICS,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US Bureau of Labor Statistics (2016)</w:t>
            </w:r>
            <w:r w:rsidRPr="00462EAD">
              <w:rPr>
                <w:rFonts w:ascii="Arial" w:eastAsia="Times New Roman" w:hAnsi="Arial" w:cs="Arial"/>
                <w:color w:val="000000"/>
                <w:sz w:val="20"/>
                <w:szCs w:val="20"/>
                <w:lang w:val="en-US" w:eastAsia="pt-BR"/>
              </w:rPr>
              <w:fldChar w:fldCharType="end"/>
            </w:r>
          </w:p>
        </w:tc>
      </w:tr>
      <w:tr w:rsidR="008833C0" w:rsidRPr="00462EAD" w:rsidTr="00D656D4">
        <w:trPr>
          <w:trHeight w:val="300"/>
        </w:trPr>
        <w:tc>
          <w:tcPr>
            <w:cnfStyle w:val="001000000000"/>
            <w:tcW w:w="3573" w:type="dxa"/>
            <w:noWrap/>
          </w:tcPr>
          <w:p w:rsidR="008833C0" w:rsidRPr="00462EAD" w:rsidRDefault="008833C0" w:rsidP="00D656D4">
            <w:pPr>
              <w:rPr>
                <w:rFonts w:ascii="Arial" w:eastAsia="Times New Roman" w:hAnsi="Arial" w:cs="Arial"/>
                <w:b w:val="0"/>
                <w:color w:val="000000"/>
                <w:sz w:val="20"/>
                <w:szCs w:val="20"/>
                <w:lang w:val="en-US" w:eastAsia="pt-BR"/>
              </w:rPr>
            </w:pPr>
            <w:r>
              <w:rPr>
                <w:rFonts w:ascii="Arial" w:eastAsia="Times New Roman" w:hAnsi="Arial" w:cs="Arial"/>
                <w:b w:val="0"/>
                <w:color w:val="000000"/>
                <w:sz w:val="20"/>
                <w:szCs w:val="20"/>
                <w:lang w:val="pt-BR" w:eastAsia="pt-BR"/>
              </w:rPr>
              <w:t>Producer Price Index (USA)</w:t>
            </w:r>
          </w:p>
        </w:tc>
        <w:tc>
          <w:tcPr>
            <w:tcW w:w="2835" w:type="dxa"/>
            <w:gridSpan w:val="2"/>
            <w:noWrap/>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Utilities Cost Update</w:t>
            </w:r>
          </w:p>
        </w:tc>
        <w:tc>
          <w:tcPr>
            <w:tcW w:w="2664" w:type="dxa"/>
          </w:tcPr>
          <w:p w:rsidR="008833C0" w:rsidRPr="00462EAD" w:rsidRDefault="00172413"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"http://www.bls.gov/fls/ichcc.htm", "author" : [ { "dropping-particle" : "", "family" : "US Bureau of Labor Statistics", "given" : "", "non-dropping-particle" : "", "parse-names" : false, "suffix" : "" } ], "id" : "ITEM-1", "issued" : { "date-parts" : [ [ "0" ] ] }, "title" : "International Comparisons of Hourly Compensation Costs in Manufacturing, 2012", "type" : "webpage" }, "uris" : [ "http://www.mendeley.com/documents/?uuid=af9159a3-f07f-44d3-be16-725d53acbd10" ] } ], "mendeley" : { "formattedCitation" : "(US BUREAU OF LABOR STATISTICS, [s.d.])", "plainTextFormattedCitation" : "(US BUREAU OF LABOR STATISTICS, [s.d.])", "previouslyFormattedCitation" : "(US BUREAU OF LABOR STATISTICS,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US Bureau of Labor Statistics (2016)</w:t>
            </w:r>
            <w:r w:rsidRPr="00462EAD">
              <w:rPr>
                <w:rFonts w:ascii="Arial" w:eastAsia="Times New Roman" w:hAnsi="Arial" w:cs="Arial"/>
                <w:color w:val="000000"/>
                <w:sz w:val="20"/>
                <w:szCs w:val="20"/>
                <w:lang w:val="en-US" w:eastAsia="pt-BR"/>
              </w:rPr>
              <w:fldChar w:fldCharType="end"/>
            </w:r>
          </w:p>
        </w:tc>
      </w:tr>
      <w:tr w:rsidR="008833C0" w:rsidRPr="00462EAD" w:rsidTr="00D656D4">
        <w:trPr>
          <w:cnfStyle w:val="000000100000"/>
          <w:trHeight w:val="300"/>
        </w:trPr>
        <w:tc>
          <w:tcPr>
            <w:cnfStyle w:val="001000000000"/>
            <w:tcW w:w="3573" w:type="dxa"/>
            <w:noWrap/>
          </w:tcPr>
          <w:p w:rsidR="008833C0" w:rsidRPr="00813D66" w:rsidRDefault="008833C0" w:rsidP="00D656D4">
            <w:pPr>
              <w:rPr>
                <w:rFonts w:ascii="Arial" w:eastAsia="Times New Roman" w:hAnsi="Arial" w:cs="Arial"/>
                <w:b w:val="0"/>
                <w:color w:val="000000"/>
                <w:sz w:val="20"/>
                <w:szCs w:val="20"/>
                <w:lang w:val="en-US" w:eastAsia="pt-BR"/>
              </w:rPr>
            </w:pPr>
            <w:r w:rsidRPr="00813D66">
              <w:rPr>
                <w:rFonts w:ascii="Arial" w:eastAsia="Times New Roman" w:hAnsi="Arial" w:cs="Arial"/>
                <w:b w:val="0"/>
                <w:color w:val="000000"/>
                <w:sz w:val="20"/>
                <w:szCs w:val="20"/>
                <w:lang w:val="en-US" w:eastAsia="pt-BR"/>
              </w:rPr>
              <w:t>Producer Price Index</w:t>
            </w:r>
            <w:r>
              <w:rPr>
                <w:rFonts w:ascii="Arial" w:eastAsia="Times New Roman" w:hAnsi="Arial" w:cs="Arial"/>
                <w:b w:val="0"/>
                <w:color w:val="000000"/>
                <w:sz w:val="20"/>
                <w:szCs w:val="20"/>
                <w:lang w:val="en-US" w:eastAsia="pt-BR"/>
              </w:rPr>
              <w:t xml:space="preserve"> (Brazil</w:t>
            </w:r>
            <w:r w:rsidRPr="00813D66">
              <w:rPr>
                <w:rFonts w:ascii="Arial" w:eastAsia="Times New Roman" w:hAnsi="Arial" w:cs="Arial"/>
                <w:b w:val="0"/>
                <w:color w:val="000000"/>
                <w:sz w:val="20"/>
                <w:szCs w:val="20"/>
                <w:lang w:val="en-US" w:eastAsia="pt-BR"/>
              </w:rPr>
              <w:t>) - Processing/</w:t>
            </w:r>
            <w:r>
              <w:rPr>
                <w:rFonts w:ascii="Arial" w:eastAsia="Times New Roman" w:hAnsi="Arial" w:cs="Arial"/>
                <w:b w:val="0"/>
                <w:color w:val="000000"/>
                <w:sz w:val="20"/>
                <w:szCs w:val="20"/>
                <w:lang w:val="en-US" w:eastAsia="pt-BR"/>
              </w:rPr>
              <w:t>Oil/Biofuels Industry</w:t>
            </w:r>
          </w:p>
        </w:tc>
        <w:tc>
          <w:tcPr>
            <w:tcW w:w="2835" w:type="dxa"/>
            <w:gridSpan w:val="2"/>
            <w:noWrap/>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Utilities and Materials from Brazilian Sources</w:t>
            </w:r>
          </w:p>
        </w:tc>
        <w:tc>
          <w:tcPr>
            <w:tcW w:w="2664" w:type="dxa"/>
          </w:tcPr>
          <w:p w:rsidR="008833C0" w:rsidRPr="00462EAD" w:rsidRDefault="00172413"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"http://www.ipeadata.gov.br/", "accessed" : { "date-parts" : [ [ "2016", "5", "5" ] ] }, "author" : [ { "dropping-particle" : "", "family" : "IPEA", "given" : "", "non-dropping-particle" : "", "parse-names" : false, "suffix" : "" } ], "id" : "ITEM-1", "issued" : { "date-parts" : [ [ "0" ] ] }, "title" : "IPEA data", "type" : "webpage" }, "uris" : [ "http://www.mendeley.com/documents/?uuid=df998861-b3a6-45cd-9a72-839527ea8201" ] } ], "mendeley" : { "formattedCitation" : "(IPEA, [s.d.])", "plainTextFormattedCitation" : "(IPEA, [s.d.])", "previouslyFormattedCitation" : "(IPEA,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IPEA, Brazil (2016)</w:t>
            </w:r>
            <w:r w:rsidRPr="00462EAD">
              <w:rPr>
                <w:rFonts w:ascii="Arial" w:eastAsia="Times New Roman" w:hAnsi="Arial" w:cs="Arial"/>
                <w:color w:val="000000"/>
                <w:sz w:val="20"/>
                <w:szCs w:val="20"/>
                <w:lang w:val="en-US" w:eastAsia="pt-BR"/>
              </w:rPr>
              <w:fldChar w:fldCharType="end"/>
            </w:r>
          </w:p>
        </w:tc>
      </w:tr>
      <w:tr w:rsidR="008833C0" w:rsidRPr="00462EAD" w:rsidTr="00D656D4">
        <w:trPr>
          <w:trHeight w:val="300"/>
        </w:trPr>
        <w:tc>
          <w:tcPr>
            <w:cnfStyle w:val="001000000000"/>
            <w:tcW w:w="3573" w:type="dxa"/>
            <w:noWrap/>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IPA-M</w:t>
            </w:r>
          </w:p>
        </w:tc>
        <w:tc>
          <w:tcPr>
            <w:tcW w:w="2835" w:type="dxa"/>
            <w:gridSpan w:val="2"/>
            <w:noWrap/>
          </w:tcPr>
          <w:p w:rsidR="008833C0" w:rsidRPr="00462EAD" w:rsidRDefault="008833C0"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Update of Waste Treatment Costs in Brazil</w:t>
            </w:r>
          </w:p>
        </w:tc>
        <w:tc>
          <w:tcPr>
            <w:tcW w:w="2664" w:type="dxa"/>
          </w:tcPr>
          <w:p w:rsidR="008833C0" w:rsidRPr="00462EAD" w:rsidRDefault="00172413" w:rsidP="00D656D4">
            <w:pPr>
              <w:jc w:val="center"/>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"http://www.ipeadata.gov.br/", "accessed" : { "date-parts" : [ [ "2016", "5", "5" ] ] }, "author" : [ { "dropping-particle" : "", "family" : "IPEA", "given" : "", "non-dropping-particle" : "", "parse-names" : false, "suffix" : "" } ], "id" : "ITEM-1", "issued" : { "date-parts" : [ [ "0" ] ] }, "title" : "IPEA data", "type" : "webpage" }, "uris" : [ "http://www.mendeley.com/documents/?uuid=df998861-b3a6-45cd-9a72-839527ea8201" ] } ], "mendeley" : { "formattedCitation" : "(IPEA, [s.d.])", "plainTextFormattedCitation" : "(IPEA, [s.d.])", "previouslyFormattedCitation" : "(IPEA,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IPEA, Brazil (2016)</w:t>
            </w:r>
            <w:r w:rsidRPr="00462EAD">
              <w:rPr>
                <w:rFonts w:ascii="Arial" w:eastAsia="Times New Roman" w:hAnsi="Arial" w:cs="Arial"/>
                <w:color w:val="000000"/>
                <w:sz w:val="20"/>
                <w:szCs w:val="20"/>
                <w:lang w:val="en-US" w:eastAsia="pt-BR"/>
              </w:rPr>
              <w:fldChar w:fldCharType="end"/>
            </w:r>
          </w:p>
        </w:tc>
      </w:tr>
      <w:tr w:rsidR="008833C0" w:rsidRPr="00462EAD" w:rsidTr="00D656D4">
        <w:trPr>
          <w:cnfStyle w:val="000000100000"/>
          <w:trHeight w:val="300"/>
        </w:trPr>
        <w:tc>
          <w:tcPr>
            <w:cnfStyle w:val="001000000000"/>
            <w:tcW w:w="3573" w:type="dxa"/>
            <w:noWrap/>
          </w:tcPr>
          <w:p w:rsidR="008833C0" w:rsidRPr="00462EAD" w:rsidRDefault="008833C0" w:rsidP="00D656D4">
            <w:pPr>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Dollar/Real Exchange Rate</w:t>
            </w:r>
          </w:p>
        </w:tc>
        <w:tc>
          <w:tcPr>
            <w:tcW w:w="2835" w:type="dxa"/>
            <w:gridSpan w:val="2"/>
            <w:noWrap/>
          </w:tcPr>
          <w:p w:rsidR="008833C0" w:rsidRPr="00462EAD" w:rsidRDefault="008833C0"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3.54</w:t>
            </w:r>
          </w:p>
        </w:tc>
        <w:tc>
          <w:tcPr>
            <w:tcW w:w="2664" w:type="dxa"/>
          </w:tcPr>
          <w:p w:rsidR="008833C0" w:rsidRPr="00462EAD" w:rsidRDefault="00172413" w:rsidP="00D656D4">
            <w:pPr>
              <w:jc w:val="center"/>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fldChar w:fldCharType="begin" w:fldLock="1"/>
            </w:r>
            <w:r w:rsidR="008833C0" w:rsidRPr="00462EAD">
              <w:rPr>
                <w:rFonts w:ascii="Arial" w:eastAsia="Times New Roman" w:hAnsi="Arial" w:cs="Arial"/>
                <w:color w:val="000000"/>
                <w:sz w:val="20"/>
                <w:szCs w:val="20"/>
                <w:lang w:val="en-US" w:eastAsia="pt-BR"/>
              </w:rPr>
              <w:instrText>ADDIN CSL_CITATION { "citationItems" : [ { "id" : "ITEM-1", "itemData" : { "URL" : "http://www4.bcb.gov.br/pec/taxas/port/ptaxnpesq.asp", "author" : [ { "dropping-particle" : "", "family" : "Banco Central do Brasil", "given" : "", "non-dropping-particle" : "", "parse-names" : false, "suffix" : "" } ], "id" : "ITEM-1", "issued" : { "date-parts" : [ [ "0" ] ] }, "title" : "Banco Central do Brasil - Taxas de C\u00e2mbio", "type" : "webpage" }, "uris" : [ "http://www.mendeley.com/documents/?uuid=977201a0-bbc1-4f95-8b84-15ee30850c40" ] } ], "mendeley" : { "formattedCitation" : "(BANCO CENTRAL DO BRASIL, [s.d.])", "plainTextFormattedCitation" : "(BANCO CENTRAL DO BRASIL, [s.d.])", "previouslyFormattedCitation" : "(BANCO CENTRAL DO BRASIL, [s.d.])" }, "properties" : { "noteIndex" : 0 }, "schema" : "https://github.com/citation-style-language/schema/raw/master/csl-citation.json" }</w:instrText>
            </w:r>
            <w:r w:rsidRPr="00172413">
              <w:rPr>
                <w:rFonts w:ascii="Arial" w:eastAsia="Times New Roman" w:hAnsi="Arial" w:cs="Arial"/>
                <w:color w:val="000000"/>
                <w:sz w:val="20"/>
                <w:szCs w:val="20"/>
                <w:vertAlign w:val="superscript"/>
                <w:lang w:val="en-US" w:eastAsia="pt-BR"/>
              </w:rPr>
              <w:fldChar w:fldCharType="separate"/>
            </w:r>
            <w:r w:rsidR="008833C0" w:rsidRPr="00462EAD">
              <w:rPr>
                <w:rFonts w:ascii="Arial" w:eastAsia="Times New Roman" w:hAnsi="Arial" w:cs="Arial"/>
                <w:color w:val="000000"/>
                <w:sz w:val="20"/>
                <w:szCs w:val="20"/>
                <w:lang w:val="en-US" w:eastAsia="pt-BR"/>
              </w:rPr>
              <w:t>Brazilian Central Ban</w:t>
            </w:r>
            <w:r w:rsidR="008833C0">
              <w:rPr>
                <w:rFonts w:ascii="Arial" w:eastAsia="Times New Roman" w:hAnsi="Arial" w:cs="Arial"/>
                <w:color w:val="000000"/>
                <w:sz w:val="20"/>
                <w:szCs w:val="20"/>
                <w:lang w:val="en-US" w:eastAsia="pt-BR"/>
              </w:rPr>
              <w:t>k (</w:t>
            </w:r>
            <w:r w:rsidR="008833C0" w:rsidRPr="00462EAD">
              <w:rPr>
                <w:rFonts w:ascii="Arial" w:eastAsia="Times New Roman" w:hAnsi="Arial" w:cs="Arial"/>
                <w:color w:val="000000"/>
                <w:sz w:val="20"/>
                <w:szCs w:val="20"/>
                <w:lang w:val="en-US" w:eastAsia="pt-BR"/>
              </w:rPr>
              <w:t>2016)</w:t>
            </w:r>
            <w:r w:rsidRPr="00462EAD">
              <w:rPr>
                <w:rFonts w:ascii="Arial" w:eastAsia="Times New Roman" w:hAnsi="Arial" w:cs="Arial"/>
                <w:color w:val="000000"/>
                <w:sz w:val="20"/>
                <w:szCs w:val="20"/>
                <w:lang w:val="en-US" w:eastAsia="pt-BR"/>
              </w:rPr>
              <w:fldChar w:fldCharType="end"/>
            </w:r>
          </w:p>
        </w:tc>
      </w:tr>
    </w:tbl>
    <w:p w:rsidR="008833C0" w:rsidRDefault="008833C0" w:rsidP="008833C0">
      <w:pPr>
        <w:spacing w:before="120" w:after="0" w:line="360" w:lineRule="auto"/>
        <w:rPr>
          <w:rFonts w:ascii="Arial" w:hAnsi="Arial" w:cs="Arial"/>
          <w:sz w:val="18"/>
          <w:szCs w:val="18"/>
          <w:lang w:val="en-US"/>
        </w:rPr>
      </w:pPr>
    </w:p>
    <w:p w:rsidR="008833C0" w:rsidRPr="001773A9" w:rsidRDefault="008833C0" w:rsidP="008833C0">
      <w:pPr>
        <w:spacing w:before="120" w:after="0" w:line="360" w:lineRule="auto"/>
        <w:rPr>
          <w:rFonts w:ascii="Arial" w:hAnsi="Arial" w:cs="Arial"/>
          <w:lang w:val="en-US"/>
        </w:rPr>
      </w:pPr>
    </w:p>
    <w:p w:rsidR="008833C0" w:rsidRPr="00C05B3C" w:rsidRDefault="008833C0" w:rsidP="008833C0">
      <w:pPr>
        <w:spacing w:before="120" w:after="0" w:line="360" w:lineRule="auto"/>
        <w:rPr>
          <w:rFonts w:ascii="Arial" w:hAnsi="Arial" w:cs="Arial"/>
          <w:b/>
          <w:sz w:val="24"/>
          <w:szCs w:val="24"/>
          <w:lang w:val="en-US"/>
        </w:rPr>
      </w:pPr>
      <w:r w:rsidRPr="00C05B3C">
        <w:rPr>
          <w:rFonts w:ascii="Arial" w:hAnsi="Arial" w:cs="Arial"/>
          <w:b/>
          <w:sz w:val="24"/>
          <w:szCs w:val="24"/>
          <w:lang w:val="en-US"/>
        </w:rPr>
        <w:t>References</w:t>
      </w:r>
    </w:p>
    <w:p w:rsidR="008833C0" w:rsidRPr="00761E37" w:rsidRDefault="008833C0" w:rsidP="008833C0">
      <w:pPr>
        <w:spacing w:before="120" w:after="120" w:line="360" w:lineRule="auto"/>
        <w:ind w:left="142" w:hanging="142"/>
        <w:jc w:val="both"/>
        <w:rPr>
          <w:rFonts w:ascii="Arial" w:hAnsi="Arial" w:cs="Arial"/>
          <w:szCs w:val="24"/>
          <w:lang w:val="pt-BR"/>
        </w:rPr>
      </w:pPr>
      <w:proofErr w:type="spellStart"/>
      <w:r w:rsidRPr="00462EAD">
        <w:rPr>
          <w:rFonts w:ascii="Arial" w:hAnsi="Arial" w:cs="Arial"/>
          <w:szCs w:val="24"/>
          <w:lang w:val="en-US"/>
        </w:rPr>
        <w:t>Macrelli</w:t>
      </w:r>
      <w:proofErr w:type="spellEnd"/>
      <w:r w:rsidRPr="00462EAD">
        <w:rPr>
          <w:rFonts w:ascii="Arial" w:hAnsi="Arial" w:cs="Arial"/>
          <w:szCs w:val="24"/>
          <w:lang w:val="en-US"/>
        </w:rPr>
        <w:t xml:space="preserve"> S, </w:t>
      </w:r>
      <w:proofErr w:type="spellStart"/>
      <w:r w:rsidRPr="00462EAD">
        <w:rPr>
          <w:rFonts w:ascii="Arial" w:hAnsi="Arial" w:cs="Arial"/>
          <w:szCs w:val="24"/>
          <w:lang w:val="en-US"/>
        </w:rPr>
        <w:t>Mogensen</w:t>
      </w:r>
      <w:proofErr w:type="spellEnd"/>
      <w:r w:rsidRPr="00462EAD">
        <w:rPr>
          <w:rFonts w:ascii="Arial" w:hAnsi="Arial" w:cs="Arial"/>
          <w:szCs w:val="24"/>
          <w:lang w:val="en-US"/>
        </w:rPr>
        <w:t xml:space="preserve"> J and Zacchi G. Techno-economic evaluation of 2nd generation bioethanol production from sugar cane bagasse and leaves integrated with the sugar-based ethanol process. </w:t>
      </w:r>
      <w:r w:rsidRPr="00761E37">
        <w:rPr>
          <w:rFonts w:ascii="Arial" w:hAnsi="Arial" w:cs="Arial"/>
          <w:szCs w:val="24"/>
          <w:lang w:val="pt-BR"/>
        </w:rPr>
        <w:t>Biotechnol Biofuels. 2012;5:22.</w:t>
      </w:r>
    </w:p>
    <w:p w:rsidR="008833C0" w:rsidRDefault="008833C0" w:rsidP="008833C0">
      <w:pPr>
        <w:spacing w:before="120" w:after="0" w:line="360" w:lineRule="auto"/>
        <w:ind w:left="142" w:hanging="142"/>
        <w:jc w:val="both"/>
        <w:rPr>
          <w:rFonts w:ascii="Arial" w:hAnsi="Arial" w:cs="Arial"/>
          <w:lang w:val="en-US"/>
        </w:rPr>
      </w:pPr>
      <w:r w:rsidRPr="00C05B3C">
        <w:rPr>
          <w:rFonts w:ascii="Arial" w:hAnsi="Arial" w:cs="Arial"/>
          <w:lang w:val="pt-BR"/>
        </w:rPr>
        <w:t xml:space="preserve">Mussatto SI, Moncada J, Roberto IC, Cardona CA. </w:t>
      </w:r>
      <w:r w:rsidRPr="001773A9">
        <w:rPr>
          <w:rFonts w:ascii="Arial" w:hAnsi="Arial" w:cs="Arial"/>
          <w:lang w:val="en-US"/>
        </w:rPr>
        <w:t>Techno-economic analysis for brewer's spent grains use on a biorefinery concept: The Brazilian case</w:t>
      </w:r>
      <w:r>
        <w:rPr>
          <w:rFonts w:ascii="Arial" w:hAnsi="Arial" w:cs="Arial"/>
          <w:lang w:val="en-US"/>
        </w:rPr>
        <w:t xml:space="preserve">. </w:t>
      </w:r>
      <w:proofErr w:type="spellStart"/>
      <w:proofErr w:type="gramStart"/>
      <w:r>
        <w:rPr>
          <w:rFonts w:ascii="Arial" w:hAnsi="Arial" w:cs="Arial"/>
          <w:lang w:val="en-US"/>
        </w:rPr>
        <w:t>BioresTechnol</w:t>
      </w:r>
      <w:proofErr w:type="spellEnd"/>
      <w:r>
        <w:rPr>
          <w:rFonts w:ascii="Arial" w:hAnsi="Arial" w:cs="Arial"/>
          <w:lang w:val="en-US"/>
        </w:rPr>
        <w:t>.</w:t>
      </w:r>
      <w:proofErr w:type="gramEnd"/>
      <w:r>
        <w:rPr>
          <w:rFonts w:ascii="Arial" w:hAnsi="Arial" w:cs="Arial"/>
          <w:lang w:val="en-US"/>
        </w:rPr>
        <w:t xml:space="preserve"> 2013</w:t>
      </w:r>
      <w:proofErr w:type="gramStart"/>
      <w:r>
        <w:rPr>
          <w:rFonts w:ascii="Arial" w:hAnsi="Arial" w:cs="Arial"/>
          <w:lang w:val="en-US"/>
        </w:rPr>
        <w:t>;148</w:t>
      </w:r>
      <w:proofErr w:type="gramEnd"/>
      <w:r>
        <w:rPr>
          <w:rFonts w:ascii="Arial" w:hAnsi="Arial" w:cs="Arial"/>
          <w:lang w:val="en-US"/>
        </w:rPr>
        <w:t>, 302:310.</w:t>
      </w:r>
    </w:p>
    <w:p w:rsidR="008833C0" w:rsidRPr="00761E37" w:rsidRDefault="008833C0" w:rsidP="008833C0">
      <w:pPr>
        <w:spacing w:before="120" w:after="0" w:line="360" w:lineRule="auto"/>
        <w:ind w:left="142" w:hanging="142"/>
        <w:jc w:val="both"/>
        <w:rPr>
          <w:rFonts w:ascii="Arial" w:hAnsi="Arial" w:cs="Arial"/>
          <w:lang w:val="en-US"/>
        </w:rPr>
      </w:pPr>
      <w:r w:rsidRPr="00761E37">
        <w:rPr>
          <w:rFonts w:ascii="Arial" w:hAnsi="Arial" w:cs="Arial"/>
          <w:lang w:val="en-US"/>
        </w:rPr>
        <w:t xml:space="preserve">Mosaic Corporation. Brazil </w:t>
      </w:r>
      <w:proofErr w:type="spellStart"/>
      <w:r w:rsidRPr="00761E37">
        <w:rPr>
          <w:rFonts w:ascii="Arial" w:hAnsi="Arial" w:cs="Arial"/>
          <w:lang w:val="en-US"/>
        </w:rPr>
        <w:t>NPK</w:t>
      </w:r>
      <w:proofErr w:type="spellEnd"/>
      <w:r w:rsidRPr="00761E37">
        <w:rPr>
          <w:rFonts w:ascii="Arial" w:hAnsi="Arial" w:cs="Arial"/>
          <w:lang w:val="en-US"/>
        </w:rPr>
        <w:t xml:space="preserve"> Statistical Update - May 2016. Available from: http://www.mosaicco.com/documents/Brazil_NPK_Update___May_2016_Statistics.pdf. </w:t>
      </w:r>
      <w:proofErr w:type="gramStart"/>
      <w:r w:rsidRPr="00761E37">
        <w:rPr>
          <w:rFonts w:ascii="Arial" w:hAnsi="Arial" w:cs="Arial"/>
          <w:lang w:val="en-US"/>
        </w:rPr>
        <w:t>Accessed 15 May 2016.</w:t>
      </w:r>
      <w:proofErr w:type="gramEnd"/>
    </w:p>
    <w:p w:rsidR="008833C0" w:rsidRPr="00761E37" w:rsidRDefault="008833C0" w:rsidP="008833C0">
      <w:pPr>
        <w:spacing w:before="120" w:after="0" w:line="360" w:lineRule="auto"/>
        <w:ind w:left="142" w:hanging="142"/>
        <w:jc w:val="both"/>
        <w:rPr>
          <w:rFonts w:ascii="Arial" w:hAnsi="Arial" w:cs="Arial"/>
          <w:lang w:val="en-US"/>
        </w:rPr>
      </w:pPr>
      <w:proofErr w:type="spellStart"/>
      <w:proofErr w:type="gramStart"/>
      <w:r w:rsidRPr="00761E37">
        <w:rPr>
          <w:rFonts w:ascii="Arial" w:hAnsi="Arial" w:cs="Arial"/>
          <w:lang w:val="en-US"/>
        </w:rPr>
        <w:t>PotashCorp</w:t>
      </w:r>
      <w:proofErr w:type="spellEnd"/>
      <w:r w:rsidRPr="00761E37">
        <w:rPr>
          <w:rFonts w:ascii="Arial" w:hAnsi="Arial" w:cs="Arial"/>
          <w:lang w:val="en-US"/>
        </w:rPr>
        <w:t>.</w:t>
      </w:r>
      <w:proofErr w:type="gramEnd"/>
      <w:r w:rsidRPr="00761E37">
        <w:rPr>
          <w:rFonts w:ascii="Arial" w:hAnsi="Arial" w:cs="Arial"/>
          <w:lang w:val="en-US"/>
        </w:rPr>
        <w:t xml:space="preserve"> </w:t>
      </w:r>
      <w:proofErr w:type="gramStart"/>
      <w:r w:rsidRPr="00761E37">
        <w:rPr>
          <w:rFonts w:ascii="Arial" w:hAnsi="Arial" w:cs="Arial"/>
          <w:lang w:val="en-US"/>
        </w:rPr>
        <w:t>Market Data - Selected Fertilizer Prices.</w:t>
      </w:r>
      <w:proofErr w:type="gramEnd"/>
      <w:r w:rsidRPr="00761E37">
        <w:rPr>
          <w:rFonts w:ascii="Arial" w:hAnsi="Arial" w:cs="Arial"/>
          <w:lang w:val="en-US"/>
        </w:rPr>
        <w:t xml:space="preserve"> Available from: http://www.potashcorp.com/customers/markets/market_data/prices/. </w:t>
      </w:r>
      <w:proofErr w:type="gramStart"/>
      <w:r w:rsidRPr="00761E37">
        <w:rPr>
          <w:rFonts w:ascii="Arial" w:hAnsi="Arial" w:cs="Arial"/>
          <w:lang w:val="en-US"/>
        </w:rPr>
        <w:t>Accessed 14 May 2016.</w:t>
      </w:r>
      <w:proofErr w:type="gramEnd"/>
    </w:p>
    <w:p w:rsidR="008833C0" w:rsidRPr="00761E37" w:rsidRDefault="008833C0" w:rsidP="008833C0">
      <w:pPr>
        <w:spacing w:before="120" w:after="0" w:line="360" w:lineRule="auto"/>
        <w:ind w:left="142" w:hanging="142"/>
        <w:jc w:val="both"/>
        <w:rPr>
          <w:rFonts w:ascii="Arial" w:hAnsi="Arial" w:cs="Arial"/>
          <w:lang w:val="pt-BR"/>
        </w:rPr>
      </w:pPr>
      <w:r w:rsidRPr="00761E37">
        <w:rPr>
          <w:rFonts w:ascii="Arial" w:hAnsi="Arial" w:cs="Arial"/>
          <w:lang w:val="pt-BR"/>
        </w:rPr>
        <w:t>Theodoro JMP. Considerações sobre os Custos Ambientais Decorrentes do Gerenciamento dos Resíduos Sólidos e dos Efluentes Industriais Gerados no Setor Sucroalcooleiro: Um Estudo de Caso [Internet]. Centro Universitário de Araraquara; 2005. Available from: http://www.uniara.com.br/mestrado_drma/arquivos/dissertacao/Jose_Marcos_Paula_Theodoro_2005.pdf. Accessed 15 May 2016.</w:t>
      </w:r>
    </w:p>
    <w:p w:rsidR="008833C0" w:rsidRPr="00761E37" w:rsidRDefault="008833C0" w:rsidP="008833C0">
      <w:pPr>
        <w:spacing w:before="120" w:after="0" w:line="360" w:lineRule="auto"/>
        <w:rPr>
          <w:rFonts w:ascii="Arial" w:hAnsi="Arial" w:cs="Arial"/>
          <w:lang w:val="pt-BR"/>
        </w:rPr>
      </w:pPr>
    </w:p>
    <w:p w:rsidR="001773A9" w:rsidRPr="008833C0" w:rsidRDefault="001773A9" w:rsidP="008833C0"/>
    <w:sectPr w:rsidR="001773A9" w:rsidRPr="008833C0" w:rsidSect="008833C0">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813D66"/>
    <w:rsid w:val="00053E7D"/>
    <w:rsid w:val="00124BFD"/>
    <w:rsid w:val="00143643"/>
    <w:rsid w:val="0014706B"/>
    <w:rsid w:val="00172413"/>
    <w:rsid w:val="001773A9"/>
    <w:rsid w:val="00194836"/>
    <w:rsid w:val="00230FD3"/>
    <w:rsid w:val="00280DD4"/>
    <w:rsid w:val="004B77C2"/>
    <w:rsid w:val="005665A9"/>
    <w:rsid w:val="005A703E"/>
    <w:rsid w:val="005D4568"/>
    <w:rsid w:val="00722F9C"/>
    <w:rsid w:val="00761E37"/>
    <w:rsid w:val="00813D66"/>
    <w:rsid w:val="00826613"/>
    <w:rsid w:val="00877FE7"/>
    <w:rsid w:val="008833C0"/>
    <w:rsid w:val="00891672"/>
    <w:rsid w:val="009029FF"/>
    <w:rsid w:val="009403EB"/>
    <w:rsid w:val="00C05B3C"/>
    <w:rsid w:val="00C123C5"/>
    <w:rsid w:val="00C972DA"/>
    <w:rsid w:val="00D0514D"/>
    <w:rsid w:val="00D24528"/>
    <w:rsid w:val="00D45860"/>
    <w:rsid w:val="00DB6FE1"/>
    <w:rsid w:val="00E40B1E"/>
    <w:rsid w:val="00EB39EF"/>
    <w:rsid w:val="00EC46B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66"/>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D66"/>
    <w:rPr>
      <w:color w:val="0000FF" w:themeColor="hyperlink"/>
      <w:u w:val="single"/>
    </w:rPr>
  </w:style>
  <w:style w:type="character" w:styleId="CommentReference">
    <w:name w:val="annotation reference"/>
    <w:basedOn w:val="DefaultParagraphFont"/>
    <w:uiPriority w:val="99"/>
    <w:semiHidden/>
    <w:unhideWhenUsed/>
    <w:rsid w:val="00813D66"/>
    <w:rPr>
      <w:sz w:val="16"/>
      <w:szCs w:val="16"/>
    </w:rPr>
  </w:style>
  <w:style w:type="paragraph" w:styleId="CommentText">
    <w:name w:val="annotation text"/>
    <w:basedOn w:val="Normal"/>
    <w:link w:val="CommentTextChar"/>
    <w:uiPriority w:val="99"/>
    <w:semiHidden/>
    <w:unhideWhenUsed/>
    <w:rsid w:val="00813D66"/>
    <w:pPr>
      <w:spacing w:line="240" w:lineRule="auto"/>
    </w:pPr>
    <w:rPr>
      <w:rFonts w:ascii="Tahoma" w:hAnsi="Tahoma" w:cs="Tahoma"/>
      <w:sz w:val="16"/>
      <w:szCs w:val="20"/>
      <w:lang w:val="en-US"/>
    </w:rPr>
  </w:style>
  <w:style w:type="character" w:customStyle="1" w:styleId="CommentTextChar">
    <w:name w:val="Comment Text Char"/>
    <w:basedOn w:val="DefaultParagraphFont"/>
    <w:link w:val="CommentText"/>
    <w:uiPriority w:val="99"/>
    <w:semiHidden/>
    <w:rsid w:val="00813D66"/>
    <w:rPr>
      <w:rFonts w:ascii="Tahoma" w:hAnsi="Tahoma" w:cs="Tahoma"/>
      <w:sz w:val="16"/>
      <w:szCs w:val="20"/>
      <w:lang w:val="en-US"/>
    </w:rPr>
  </w:style>
  <w:style w:type="table" w:customStyle="1" w:styleId="TabeladeLista4-nfase11">
    <w:name w:val="Tabela de Lista 4 - Ênfase 11"/>
    <w:basedOn w:val="TableNormal"/>
    <w:uiPriority w:val="49"/>
    <w:rsid w:val="00813D66"/>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deLista4-nfase12">
    <w:name w:val="Tabela de Lista 4 - Ênfase 12"/>
    <w:basedOn w:val="TableNormal"/>
    <w:uiPriority w:val="49"/>
    <w:rsid w:val="00813D66"/>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deLista3-nfase12">
    <w:name w:val="Tabela de Lista 3 - Ênfase 12"/>
    <w:basedOn w:val="TableNormal"/>
    <w:uiPriority w:val="48"/>
    <w:rsid w:val="00813D66"/>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BalloonText">
    <w:name w:val="Balloon Text"/>
    <w:basedOn w:val="Normal"/>
    <w:link w:val="BalloonTextChar"/>
    <w:uiPriority w:val="99"/>
    <w:semiHidden/>
    <w:unhideWhenUsed/>
    <w:rsid w:val="00813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D66"/>
    <w:rPr>
      <w:rFonts w:ascii="Tahoma" w:hAnsi="Tahoma" w:cs="Tahoma"/>
      <w:sz w:val="16"/>
      <w:szCs w:val="16"/>
      <w:lang w:val="en-GB"/>
    </w:rPr>
  </w:style>
  <w:style w:type="table" w:styleId="LightList">
    <w:name w:val="Light List"/>
    <w:basedOn w:val="TableNormal"/>
    <w:uiPriority w:val="61"/>
    <w:rsid w:val="0089167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lbase.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4505</Words>
  <Characters>25679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da Gama</dc:creator>
  <cp:lastModifiedBy>0013358</cp:lastModifiedBy>
  <cp:revision>15</cp:revision>
  <dcterms:created xsi:type="dcterms:W3CDTF">2017-12-08T12:47:00Z</dcterms:created>
  <dcterms:modified xsi:type="dcterms:W3CDTF">2018-03-19T07:14:00Z</dcterms:modified>
</cp:coreProperties>
</file>