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AF544D" w14:textId="3E37AAAD" w:rsidR="00C1232A" w:rsidRPr="004E7FAF" w:rsidRDefault="00304943" w:rsidP="004E7FAF">
      <w:pPr>
        <w:widowControl w:val="0"/>
        <w:adjustRightInd w:val="0"/>
        <w:snapToGrid w:val="0"/>
        <w:rPr>
          <w:bCs/>
        </w:rPr>
      </w:pPr>
      <w:r w:rsidRPr="00D43CFF">
        <w:rPr>
          <w:b/>
          <w:bCs/>
        </w:rPr>
        <w:t xml:space="preserve">Table S2 </w:t>
      </w:r>
      <w:r w:rsidRPr="00B01821">
        <w:rPr>
          <w:bCs/>
        </w:rPr>
        <w:t>The levels of mCG, mCHG, and mCHH and genome size in genomes of different species.</w:t>
      </w:r>
    </w:p>
    <w:tbl>
      <w:tblPr>
        <w:tblW w:w="5633" w:type="pct"/>
        <w:tblInd w:w="-426" w:type="dxa"/>
        <w:tblLook w:val="04A0" w:firstRow="1" w:lastRow="0" w:firstColumn="1" w:lastColumn="0" w:noHBand="0" w:noVBand="1"/>
      </w:tblPr>
      <w:tblGrid>
        <w:gridCol w:w="2162"/>
        <w:gridCol w:w="958"/>
        <w:gridCol w:w="1067"/>
        <w:gridCol w:w="1132"/>
        <w:gridCol w:w="1905"/>
        <w:gridCol w:w="2134"/>
      </w:tblGrid>
      <w:tr w:rsidR="00C1232A" w:rsidRPr="00797CA5" w14:paraId="62D58541" w14:textId="77777777" w:rsidTr="004B1A79">
        <w:trPr>
          <w:trHeight w:val="276"/>
        </w:trPr>
        <w:tc>
          <w:tcPr>
            <w:tcW w:w="1155" w:type="pct"/>
            <w:tcBorders>
              <w:top w:val="single" w:sz="12" w:space="0" w:color="auto"/>
              <w:left w:val="nil"/>
              <w:bottom w:val="single" w:sz="4" w:space="0" w:color="auto"/>
              <w:right w:val="nil"/>
            </w:tcBorders>
            <w:shd w:val="clear" w:color="auto" w:fill="auto"/>
            <w:hideMark/>
          </w:tcPr>
          <w:p w14:paraId="219154AA" w14:textId="77777777" w:rsidR="00C1232A" w:rsidRPr="00797CA5" w:rsidRDefault="00C1232A" w:rsidP="004D2A6C">
            <w:pPr>
              <w:jc w:val="center"/>
              <w:rPr>
                <w:rFonts w:eastAsia="等线"/>
                <w:color w:val="000000"/>
                <w:sz w:val="18"/>
                <w:szCs w:val="20"/>
              </w:rPr>
            </w:pPr>
            <w:r w:rsidRPr="00797CA5">
              <w:rPr>
                <w:rFonts w:eastAsia="等线"/>
                <w:color w:val="000000"/>
                <w:sz w:val="18"/>
                <w:szCs w:val="20"/>
              </w:rPr>
              <w:t>Species</w:t>
            </w:r>
          </w:p>
        </w:tc>
        <w:tc>
          <w:tcPr>
            <w:tcW w:w="512" w:type="pct"/>
            <w:tcBorders>
              <w:top w:val="single" w:sz="12" w:space="0" w:color="auto"/>
              <w:left w:val="nil"/>
              <w:bottom w:val="single" w:sz="4" w:space="0" w:color="auto"/>
              <w:right w:val="nil"/>
            </w:tcBorders>
            <w:shd w:val="clear" w:color="auto" w:fill="auto"/>
            <w:hideMark/>
          </w:tcPr>
          <w:p w14:paraId="5F69CC81" w14:textId="77777777" w:rsidR="00C1232A" w:rsidRPr="00797CA5" w:rsidRDefault="00C1232A" w:rsidP="004D2A6C">
            <w:pPr>
              <w:jc w:val="center"/>
              <w:rPr>
                <w:rFonts w:eastAsia="等线"/>
                <w:color w:val="000000"/>
                <w:sz w:val="18"/>
                <w:szCs w:val="20"/>
              </w:rPr>
            </w:pPr>
            <w:r w:rsidRPr="00797CA5">
              <w:rPr>
                <w:rFonts w:eastAsia="等线"/>
                <w:color w:val="000000"/>
                <w:sz w:val="18"/>
                <w:szCs w:val="20"/>
              </w:rPr>
              <w:t>mCG (%)</w:t>
            </w:r>
          </w:p>
        </w:tc>
        <w:tc>
          <w:tcPr>
            <w:tcW w:w="570" w:type="pct"/>
            <w:tcBorders>
              <w:top w:val="single" w:sz="12" w:space="0" w:color="auto"/>
              <w:left w:val="nil"/>
              <w:bottom w:val="single" w:sz="4" w:space="0" w:color="auto"/>
              <w:right w:val="nil"/>
            </w:tcBorders>
            <w:shd w:val="clear" w:color="auto" w:fill="auto"/>
            <w:hideMark/>
          </w:tcPr>
          <w:p w14:paraId="78D76D64" w14:textId="77777777" w:rsidR="00C1232A" w:rsidRPr="00797CA5" w:rsidRDefault="00C1232A" w:rsidP="004D2A6C">
            <w:pPr>
              <w:jc w:val="center"/>
              <w:rPr>
                <w:rFonts w:eastAsia="等线"/>
                <w:color w:val="000000"/>
                <w:sz w:val="18"/>
                <w:szCs w:val="20"/>
              </w:rPr>
            </w:pPr>
            <w:r w:rsidRPr="00797CA5">
              <w:rPr>
                <w:rFonts w:eastAsia="等线"/>
                <w:color w:val="000000"/>
                <w:sz w:val="18"/>
                <w:szCs w:val="20"/>
              </w:rPr>
              <w:t>mCHG (%)</w:t>
            </w:r>
          </w:p>
        </w:tc>
        <w:tc>
          <w:tcPr>
            <w:tcW w:w="605" w:type="pct"/>
            <w:tcBorders>
              <w:top w:val="single" w:sz="12" w:space="0" w:color="auto"/>
              <w:left w:val="nil"/>
              <w:bottom w:val="single" w:sz="4" w:space="0" w:color="auto"/>
              <w:right w:val="nil"/>
            </w:tcBorders>
            <w:shd w:val="clear" w:color="auto" w:fill="auto"/>
            <w:hideMark/>
          </w:tcPr>
          <w:p w14:paraId="7B8C912E" w14:textId="77777777" w:rsidR="00C1232A" w:rsidRPr="00797CA5" w:rsidRDefault="00C1232A" w:rsidP="004D2A6C">
            <w:pPr>
              <w:jc w:val="center"/>
              <w:rPr>
                <w:rFonts w:eastAsia="等线"/>
                <w:color w:val="000000"/>
                <w:sz w:val="18"/>
                <w:szCs w:val="20"/>
              </w:rPr>
            </w:pPr>
            <w:r w:rsidRPr="00797CA5">
              <w:rPr>
                <w:rFonts w:eastAsia="等线"/>
                <w:color w:val="000000"/>
                <w:sz w:val="18"/>
                <w:szCs w:val="20"/>
              </w:rPr>
              <w:t>mCHH (%)</w:t>
            </w:r>
          </w:p>
        </w:tc>
        <w:tc>
          <w:tcPr>
            <w:tcW w:w="1018" w:type="pct"/>
            <w:tcBorders>
              <w:top w:val="single" w:sz="12" w:space="0" w:color="auto"/>
              <w:left w:val="nil"/>
              <w:bottom w:val="single" w:sz="4" w:space="0" w:color="auto"/>
              <w:right w:val="nil"/>
            </w:tcBorders>
            <w:shd w:val="clear" w:color="auto" w:fill="auto"/>
            <w:hideMark/>
          </w:tcPr>
          <w:p w14:paraId="5AAA9BA7" w14:textId="77777777" w:rsidR="00C1232A" w:rsidRPr="00797CA5" w:rsidRDefault="00C1232A" w:rsidP="004D2A6C">
            <w:pPr>
              <w:jc w:val="center"/>
              <w:rPr>
                <w:rFonts w:eastAsia="等线"/>
                <w:color w:val="000000"/>
                <w:sz w:val="18"/>
                <w:szCs w:val="20"/>
              </w:rPr>
            </w:pPr>
            <w:r w:rsidRPr="00797CA5">
              <w:rPr>
                <w:rFonts w:eastAsia="等线"/>
                <w:color w:val="000000"/>
                <w:sz w:val="18"/>
                <w:szCs w:val="20"/>
              </w:rPr>
              <w:t>Genome size (Mb)</w:t>
            </w:r>
          </w:p>
        </w:tc>
        <w:tc>
          <w:tcPr>
            <w:tcW w:w="1140" w:type="pct"/>
            <w:tcBorders>
              <w:top w:val="single" w:sz="12" w:space="0" w:color="auto"/>
              <w:left w:val="nil"/>
              <w:bottom w:val="single" w:sz="4" w:space="0" w:color="auto"/>
              <w:right w:val="nil"/>
            </w:tcBorders>
            <w:shd w:val="clear" w:color="auto" w:fill="auto"/>
            <w:hideMark/>
          </w:tcPr>
          <w:p w14:paraId="5E223EF1" w14:textId="77777777" w:rsidR="00C1232A" w:rsidRPr="00797CA5" w:rsidRDefault="00C1232A" w:rsidP="004D2A6C">
            <w:pPr>
              <w:jc w:val="center"/>
              <w:rPr>
                <w:rFonts w:eastAsia="等线"/>
                <w:color w:val="000000"/>
                <w:sz w:val="18"/>
                <w:szCs w:val="20"/>
              </w:rPr>
            </w:pPr>
            <w:r w:rsidRPr="00797CA5">
              <w:rPr>
                <w:rFonts w:eastAsia="等线"/>
                <w:color w:val="000000"/>
                <w:sz w:val="18"/>
                <w:szCs w:val="20"/>
              </w:rPr>
              <w:t>Reference</w:t>
            </w:r>
          </w:p>
        </w:tc>
      </w:tr>
      <w:tr w:rsidR="00C1232A" w:rsidRPr="00797CA5" w14:paraId="56933FAF" w14:textId="77777777" w:rsidTr="004B1A79">
        <w:trPr>
          <w:trHeight w:val="276"/>
        </w:trPr>
        <w:tc>
          <w:tcPr>
            <w:tcW w:w="1155" w:type="pct"/>
            <w:tcBorders>
              <w:top w:val="single" w:sz="4" w:space="0" w:color="auto"/>
              <w:left w:val="nil"/>
              <w:bottom w:val="nil"/>
              <w:right w:val="nil"/>
            </w:tcBorders>
            <w:shd w:val="clear" w:color="auto" w:fill="auto"/>
            <w:noWrap/>
            <w:hideMark/>
          </w:tcPr>
          <w:p w14:paraId="3466096C" w14:textId="77777777" w:rsidR="00C1232A" w:rsidRPr="00797CA5" w:rsidRDefault="00C1232A" w:rsidP="004D2A6C">
            <w:pPr>
              <w:rPr>
                <w:rFonts w:eastAsia="等线"/>
                <w:i/>
                <w:iCs/>
                <w:color w:val="000000"/>
                <w:sz w:val="18"/>
                <w:szCs w:val="20"/>
              </w:rPr>
            </w:pPr>
            <w:r w:rsidRPr="00797CA5">
              <w:rPr>
                <w:rFonts w:eastAsia="等线"/>
                <w:i/>
                <w:iCs/>
                <w:color w:val="000000"/>
                <w:sz w:val="18"/>
                <w:szCs w:val="20"/>
              </w:rPr>
              <w:t>Arabidopsis thaliana</w:t>
            </w:r>
          </w:p>
        </w:tc>
        <w:tc>
          <w:tcPr>
            <w:tcW w:w="512" w:type="pct"/>
            <w:tcBorders>
              <w:top w:val="single" w:sz="4" w:space="0" w:color="auto"/>
              <w:left w:val="nil"/>
              <w:bottom w:val="nil"/>
              <w:right w:val="nil"/>
            </w:tcBorders>
            <w:shd w:val="clear" w:color="auto" w:fill="auto"/>
            <w:hideMark/>
          </w:tcPr>
          <w:p w14:paraId="498442E9" w14:textId="77777777" w:rsidR="00C1232A" w:rsidRPr="00797CA5" w:rsidRDefault="00C1232A" w:rsidP="004D2A6C">
            <w:pPr>
              <w:jc w:val="center"/>
              <w:rPr>
                <w:rFonts w:eastAsia="等线"/>
                <w:color w:val="000000"/>
                <w:sz w:val="18"/>
                <w:szCs w:val="20"/>
              </w:rPr>
            </w:pPr>
            <w:r w:rsidRPr="00797CA5">
              <w:rPr>
                <w:rFonts w:eastAsia="等线"/>
                <w:color w:val="000000"/>
                <w:sz w:val="18"/>
                <w:szCs w:val="20"/>
              </w:rPr>
              <w:t xml:space="preserve">30.45 </w:t>
            </w:r>
          </w:p>
        </w:tc>
        <w:tc>
          <w:tcPr>
            <w:tcW w:w="570" w:type="pct"/>
            <w:tcBorders>
              <w:top w:val="single" w:sz="4" w:space="0" w:color="auto"/>
              <w:left w:val="nil"/>
              <w:bottom w:val="nil"/>
              <w:right w:val="nil"/>
            </w:tcBorders>
            <w:shd w:val="clear" w:color="auto" w:fill="auto"/>
            <w:hideMark/>
          </w:tcPr>
          <w:p w14:paraId="7207B3D7" w14:textId="77777777" w:rsidR="00C1232A" w:rsidRPr="00797CA5" w:rsidRDefault="00C1232A" w:rsidP="004D2A6C">
            <w:pPr>
              <w:jc w:val="center"/>
              <w:rPr>
                <w:rFonts w:eastAsia="等线"/>
                <w:color w:val="000000"/>
                <w:sz w:val="18"/>
                <w:szCs w:val="20"/>
              </w:rPr>
            </w:pPr>
            <w:r w:rsidRPr="00797CA5">
              <w:rPr>
                <w:rFonts w:eastAsia="等线"/>
                <w:color w:val="000000"/>
                <w:sz w:val="18"/>
                <w:szCs w:val="20"/>
              </w:rPr>
              <w:t xml:space="preserve">9.99 </w:t>
            </w:r>
          </w:p>
        </w:tc>
        <w:tc>
          <w:tcPr>
            <w:tcW w:w="605" w:type="pct"/>
            <w:tcBorders>
              <w:top w:val="single" w:sz="4" w:space="0" w:color="auto"/>
              <w:left w:val="nil"/>
              <w:bottom w:val="nil"/>
              <w:right w:val="nil"/>
            </w:tcBorders>
            <w:shd w:val="clear" w:color="auto" w:fill="auto"/>
            <w:hideMark/>
          </w:tcPr>
          <w:p w14:paraId="2C8B3F16" w14:textId="77777777" w:rsidR="00C1232A" w:rsidRPr="00797CA5" w:rsidRDefault="00C1232A" w:rsidP="004D2A6C">
            <w:pPr>
              <w:jc w:val="center"/>
              <w:rPr>
                <w:rFonts w:eastAsia="等线"/>
                <w:color w:val="000000"/>
                <w:sz w:val="18"/>
                <w:szCs w:val="20"/>
              </w:rPr>
            </w:pPr>
            <w:r w:rsidRPr="00797CA5">
              <w:rPr>
                <w:rFonts w:eastAsia="等线"/>
                <w:color w:val="000000"/>
                <w:sz w:val="18"/>
                <w:szCs w:val="20"/>
              </w:rPr>
              <w:t xml:space="preserve">3.91 </w:t>
            </w:r>
          </w:p>
        </w:tc>
        <w:tc>
          <w:tcPr>
            <w:tcW w:w="1018" w:type="pct"/>
            <w:tcBorders>
              <w:top w:val="single" w:sz="4" w:space="0" w:color="auto"/>
              <w:left w:val="nil"/>
              <w:bottom w:val="nil"/>
              <w:right w:val="nil"/>
            </w:tcBorders>
            <w:shd w:val="clear" w:color="auto" w:fill="auto"/>
            <w:hideMark/>
          </w:tcPr>
          <w:p w14:paraId="74FFEBC2" w14:textId="77777777" w:rsidR="00C1232A" w:rsidRPr="00797CA5" w:rsidRDefault="00C1232A" w:rsidP="004D2A6C">
            <w:pPr>
              <w:jc w:val="center"/>
              <w:rPr>
                <w:rFonts w:eastAsia="等线"/>
                <w:color w:val="000000"/>
                <w:sz w:val="18"/>
                <w:szCs w:val="20"/>
              </w:rPr>
            </w:pPr>
            <w:r w:rsidRPr="00797CA5">
              <w:rPr>
                <w:rFonts w:eastAsia="等线"/>
                <w:color w:val="000000"/>
                <w:sz w:val="18"/>
                <w:szCs w:val="20"/>
              </w:rPr>
              <w:t xml:space="preserve">135.0 </w:t>
            </w:r>
          </w:p>
        </w:tc>
        <w:tc>
          <w:tcPr>
            <w:tcW w:w="1140" w:type="pct"/>
            <w:tcBorders>
              <w:top w:val="single" w:sz="4" w:space="0" w:color="auto"/>
              <w:left w:val="nil"/>
              <w:bottom w:val="nil"/>
              <w:right w:val="nil"/>
            </w:tcBorders>
            <w:shd w:val="clear" w:color="auto" w:fill="auto"/>
            <w:hideMark/>
          </w:tcPr>
          <w:p w14:paraId="1904573B" w14:textId="0BD4DF93" w:rsidR="00C1232A" w:rsidRPr="00FD7DCB" w:rsidRDefault="00C1232A" w:rsidP="004D2A6C">
            <w:pPr>
              <w:jc w:val="center"/>
              <w:rPr>
                <w:rFonts w:eastAsia="等线"/>
                <w:color w:val="000000"/>
                <w:sz w:val="18"/>
                <w:szCs w:val="18"/>
              </w:rPr>
            </w:pPr>
            <w:r w:rsidRPr="00FD7DCB">
              <w:rPr>
                <w:rFonts w:eastAsia="等线"/>
                <w:color w:val="000000"/>
                <w:sz w:val="18"/>
                <w:szCs w:val="18"/>
              </w:rPr>
              <w:t xml:space="preserve"> </w:t>
            </w:r>
            <w:r w:rsidR="00156711" w:rsidRPr="00FD7DCB">
              <w:rPr>
                <w:noProof/>
                <w:sz w:val="18"/>
                <w:szCs w:val="18"/>
              </w:rPr>
              <w:fldChar w:fldCharType="begin"/>
            </w:r>
            <w:r w:rsidR="00FD7DCB" w:rsidRPr="00FD7DCB">
              <w:rPr>
                <w:noProof/>
                <w:sz w:val="18"/>
                <w:szCs w:val="18"/>
              </w:rPr>
              <w:instrText xml:space="preserve"> ADDIN EN.CITE &lt;EndNote&gt;&lt;Cite&gt;&lt;Author&gt;Schmitz&lt;/Author&gt;&lt;Year&gt;2011&lt;/Year&gt;&lt;RecNum&gt;181&lt;/RecNum&gt;&lt;DisplayText&gt;(Schmitz&lt;style face="italic"&gt; et al.&lt;/style&gt;, 2011)&lt;/DisplayText&gt;&lt;record&gt;&lt;rec-number&gt;181&lt;/rec-number&gt;&lt;foreign-keys&gt;&lt;key app="EN" db-id="dpvpt2e9ma0ptcepxd9x2w5t2p25xr0dvd0t"&gt;181&lt;/key&gt;&lt;/foreign-keys&gt;&lt;ref-type name="Journal Article"&gt;17&lt;/ref-type&gt;&lt;contributors&gt;&lt;authors&gt;&lt;author&gt;Schmitz, Robert J&lt;/author&gt;&lt;author&gt;Schultz, Matthew D&lt;/author&gt;&lt;author&gt;Lewsey, Mathew G&lt;/author&gt;&lt;author&gt;O’Malley, Ronan C&lt;/author&gt;&lt;author&gt;Urich, Mark A&lt;/author&gt;&lt;author&gt;Libiger, Ondrej&lt;/author&gt;&lt;author&gt;Schork, Nicholas J&lt;/author&gt;&lt;author&gt;Ecker, Joseph R&lt;/author&gt;&lt;/authors&gt;&lt;/contributors&gt;&lt;titles&gt;&lt;title&gt;Transgenerational epigenetic instability is a source of novel methylation variants&lt;/title&gt;&lt;secondary-title&gt;Sci&lt;/secondary-title&gt;&lt;/titles&gt;&lt;periodical&gt;&lt;full-title&gt;Sci&lt;/full-title&gt;&lt;/periodical&gt;&lt;pages&gt;369-373&lt;/pages&gt;&lt;volume&gt;334&lt;/volume&gt;&lt;number&gt;6054&lt;/number&gt;&lt;dates&gt;&lt;year&gt;2011&lt;/year&gt;&lt;/dates&gt;&lt;urls&gt;&lt;/urls&gt;&lt;/record&gt;&lt;/Cite&gt;&lt;/EndNote&gt;</w:instrText>
            </w:r>
            <w:r w:rsidR="00156711" w:rsidRPr="00FD7DCB">
              <w:rPr>
                <w:noProof/>
                <w:sz w:val="18"/>
                <w:szCs w:val="18"/>
              </w:rPr>
              <w:fldChar w:fldCharType="separate"/>
            </w:r>
            <w:r w:rsidR="00FD7DCB" w:rsidRPr="00FD7DCB">
              <w:rPr>
                <w:noProof/>
                <w:sz w:val="18"/>
                <w:szCs w:val="18"/>
              </w:rPr>
              <w:t>(</w:t>
            </w:r>
            <w:hyperlink w:anchor="_ENREF_6" w:tooltip="Schmitz, 2011 #181" w:history="1">
              <w:r w:rsidR="003644B1" w:rsidRPr="00FD7DCB">
                <w:rPr>
                  <w:noProof/>
                  <w:sz w:val="18"/>
                  <w:szCs w:val="18"/>
                </w:rPr>
                <w:t>Schmitz</w:t>
              </w:r>
              <w:r w:rsidR="003644B1" w:rsidRPr="00FD7DCB">
                <w:rPr>
                  <w:i/>
                  <w:noProof/>
                  <w:sz w:val="18"/>
                  <w:szCs w:val="18"/>
                </w:rPr>
                <w:t xml:space="preserve"> et al.</w:t>
              </w:r>
              <w:r w:rsidR="003644B1" w:rsidRPr="00FD7DCB">
                <w:rPr>
                  <w:noProof/>
                  <w:sz w:val="18"/>
                  <w:szCs w:val="18"/>
                </w:rPr>
                <w:t>, 2011</w:t>
              </w:r>
            </w:hyperlink>
            <w:r w:rsidR="00FD7DCB" w:rsidRPr="00FD7DCB">
              <w:rPr>
                <w:noProof/>
                <w:sz w:val="18"/>
                <w:szCs w:val="18"/>
              </w:rPr>
              <w:t>)</w:t>
            </w:r>
            <w:r w:rsidR="00156711" w:rsidRPr="00FD7DCB">
              <w:rPr>
                <w:noProof/>
                <w:sz w:val="18"/>
                <w:szCs w:val="18"/>
              </w:rPr>
              <w:fldChar w:fldCharType="end"/>
            </w:r>
          </w:p>
        </w:tc>
      </w:tr>
      <w:tr w:rsidR="00C1232A" w:rsidRPr="00797CA5" w14:paraId="7F4B4DCE" w14:textId="77777777" w:rsidTr="004B1A79">
        <w:trPr>
          <w:trHeight w:val="276"/>
        </w:trPr>
        <w:tc>
          <w:tcPr>
            <w:tcW w:w="1155" w:type="pct"/>
            <w:tcBorders>
              <w:top w:val="nil"/>
              <w:left w:val="nil"/>
              <w:bottom w:val="nil"/>
              <w:right w:val="nil"/>
            </w:tcBorders>
            <w:shd w:val="clear" w:color="auto" w:fill="auto"/>
            <w:hideMark/>
          </w:tcPr>
          <w:p w14:paraId="69FF00D3" w14:textId="77777777" w:rsidR="00C1232A" w:rsidRPr="00797CA5" w:rsidRDefault="00C1232A" w:rsidP="004D2A6C">
            <w:pPr>
              <w:rPr>
                <w:rFonts w:eastAsia="等线"/>
                <w:i/>
                <w:iCs/>
                <w:color w:val="000000"/>
                <w:sz w:val="18"/>
                <w:szCs w:val="20"/>
              </w:rPr>
            </w:pPr>
            <w:r w:rsidRPr="00797CA5">
              <w:rPr>
                <w:rFonts w:eastAsia="等线"/>
                <w:i/>
                <w:iCs/>
                <w:color w:val="000000"/>
                <w:sz w:val="18"/>
                <w:szCs w:val="20"/>
              </w:rPr>
              <w:t>Brassica rapa</w:t>
            </w:r>
          </w:p>
        </w:tc>
        <w:tc>
          <w:tcPr>
            <w:tcW w:w="512" w:type="pct"/>
            <w:tcBorders>
              <w:top w:val="nil"/>
              <w:left w:val="nil"/>
              <w:bottom w:val="nil"/>
              <w:right w:val="nil"/>
            </w:tcBorders>
            <w:shd w:val="clear" w:color="auto" w:fill="auto"/>
            <w:hideMark/>
          </w:tcPr>
          <w:p w14:paraId="76CFA033" w14:textId="77777777" w:rsidR="00C1232A" w:rsidRPr="00797CA5" w:rsidRDefault="00C1232A" w:rsidP="004D2A6C">
            <w:pPr>
              <w:jc w:val="center"/>
              <w:rPr>
                <w:rFonts w:eastAsia="等线"/>
                <w:color w:val="000000"/>
                <w:sz w:val="18"/>
                <w:szCs w:val="20"/>
              </w:rPr>
            </w:pPr>
            <w:r w:rsidRPr="00797CA5">
              <w:rPr>
                <w:rFonts w:eastAsia="等线"/>
                <w:color w:val="000000"/>
                <w:sz w:val="18"/>
                <w:szCs w:val="20"/>
              </w:rPr>
              <w:t xml:space="preserve">37.18 </w:t>
            </w:r>
          </w:p>
        </w:tc>
        <w:tc>
          <w:tcPr>
            <w:tcW w:w="570" w:type="pct"/>
            <w:tcBorders>
              <w:top w:val="nil"/>
              <w:left w:val="nil"/>
              <w:bottom w:val="nil"/>
              <w:right w:val="nil"/>
            </w:tcBorders>
            <w:shd w:val="clear" w:color="auto" w:fill="auto"/>
            <w:hideMark/>
          </w:tcPr>
          <w:p w14:paraId="1641C6E8" w14:textId="77777777" w:rsidR="00C1232A" w:rsidRPr="00797CA5" w:rsidRDefault="00C1232A" w:rsidP="004D2A6C">
            <w:pPr>
              <w:jc w:val="center"/>
              <w:rPr>
                <w:rFonts w:eastAsia="等线"/>
                <w:color w:val="000000"/>
                <w:sz w:val="18"/>
                <w:szCs w:val="20"/>
              </w:rPr>
            </w:pPr>
            <w:r w:rsidRPr="00797CA5">
              <w:rPr>
                <w:rFonts w:eastAsia="等线"/>
                <w:color w:val="000000"/>
                <w:sz w:val="18"/>
                <w:szCs w:val="20"/>
              </w:rPr>
              <w:t xml:space="preserve">17.28 </w:t>
            </w:r>
          </w:p>
        </w:tc>
        <w:tc>
          <w:tcPr>
            <w:tcW w:w="605" w:type="pct"/>
            <w:tcBorders>
              <w:top w:val="nil"/>
              <w:left w:val="nil"/>
              <w:bottom w:val="nil"/>
              <w:right w:val="nil"/>
            </w:tcBorders>
            <w:shd w:val="clear" w:color="auto" w:fill="auto"/>
            <w:hideMark/>
          </w:tcPr>
          <w:p w14:paraId="747867DA" w14:textId="77777777" w:rsidR="00C1232A" w:rsidRPr="00797CA5" w:rsidRDefault="00C1232A" w:rsidP="004D2A6C">
            <w:pPr>
              <w:jc w:val="center"/>
              <w:rPr>
                <w:rFonts w:eastAsia="等线"/>
                <w:color w:val="000000"/>
                <w:sz w:val="18"/>
                <w:szCs w:val="20"/>
              </w:rPr>
            </w:pPr>
            <w:r w:rsidRPr="00797CA5">
              <w:rPr>
                <w:rFonts w:eastAsia="等线"/>
                <w:color w:val="000000"/>
                <w:sz w:val="18"/>
                <w:szCs w:val="20"/>
              </w:rPr>
              <w:t xml:space="preserve">4.44 </w:t>
            </w:r>
          </w:p>
        </w:tc>
        <w:tc>
          <w:tcPr>
            <w:tcW w:w="1018" w:type="pct"/>
            <w:tcBorders>
              <w:top w:val="nil"/>
              <w:left w:val="nil"/>
              <w:bottom w:val="nil"/>
              <w:right w:val="nil"/>
            </w:tcBorders>
            <w:shd w:val="clear" w:color="auto" w:fill="auto"/>
            <w:hideMark/>
          </w:tcPr>
          <w:p w14:paraId="4A351187" w14:textId="77777777" w:rsidR="00C1232A" w:rsidRPr="00797CA5" w:rsidRDefault="00C1232A" w:rsidP="004D2A6C">
            <w:pPr>
              <w:jc w:val="center"/>
              <w:rPr>
                <w:rFonts w:eastAsia="等线"/>
                <w:color w:val="000000"/>
                <w:sz w:val="18"/>
                <w:szCs w:val="20"/>
              </w:rPr>
            </w:pPr>
            <w:r w:rsidRPr="00797CA5">
              <w:rPr>
                <w:rFonts w:eastAsia="等线"/>
                <w:color w:val="000000"/>
                <w:sz w:val="18"/>
                <w:szCs w:val="20"/>
              </w:rPr>
              <w:t xml:space="preserve">283.8 </w:t>
            </w:r>
          </w:p>
        </w:tc>
        <w:tc>
          <w:tcPr>
            <w:tcW w:w="1140" w:type="pct"/>
            <w:tcBorders>
              <w:top w:val="nil"/>
              <w:left w:val="nil"/>
              <w:bottom w:val="nil"/>
              <w:right w:val="nil"/>
            </w:tcBorders>
            <w:shd w:val="clear" w:color="auto" w:fill="auto"/>
            <w:hideMark/>
          </w:tcPr>
          <w:p w14:paraId="70EE4148" w14:textId="399327AB" w:rsidR="00C1232A" w:rsidRPr="00FD7DCB" w:rsidRDefault="00156711" w:rsidP="004D2A6C">
            <w:pPr>
              <w:jc w:val="center"/>
              <w:rPr>
                <w:rFonts w:eastAsia="等线"/>
                <w:color w:val="000000"/>
                <w:sz w:val="18"/>
                <w:szCs w:val="18"/>
              </w:rPr>
            </w:pPr>
            <w:r w:rsidRPr="00FD7DCB">
              <w:rPr>
                <w:sz w:val="18"/>
                <w:szCs w:val="18"/>
              </w:rPr>
              <w:fldChar w:fldCharType="begin"/>
            </w:r>
            <w:r w:rsidR="00FD7DCB" w:rsidRPr="00FD7DCB">
              <w:rPr>
                <w:sz w:val="18"/>
                <w:szCs w:val="18"/>
              </w:rPr>
              <w:instrText xml:space="preserve"> ADDIN EN.CITE &lt;EndNote&gt;&lt;Cite&gt;&lt;Author&gt;Niederhuth&lt;/Author&gt;&lt;Year&gt;2016&lt;/Year&gt;&lt;RecNum&gt;70&lt;/RecNum&gt;&lt;DisplayText&gt;(Niederhuth&lt;style face="italic"&gt; et al.&lt;/style&gt;, 2016)&lt;/DisplayText&gt;&lt;record&gt;&lt;rec-number&gt;70&lt;/rec-number&gt;&lt;foreign-keys&gt;&lt;key app="EN" db-id="dpvpt2e9ma0ptcepxd9x2w5t2p25xr0dvd0t"&gt;70&lt;/key&gt;&lt;/foreign-keys&gt;&lt;ref-type name="Journal Article"&gt;17&lt;/ref-type&gt;&lt;contributors&gt;&lt;authors&gt;&lt;author&gt;Niederhuth, C. E.&lt;/author&gt;&lt;author&gt;Bewick, A. J.&lt;/author&gt;&lt;author&gt;Ji, L.&lt;/author&gt;&lt;author&gt;Alabady, M. S.&lt;/author&gt;&lt;author&gt;Kim, K. D.&lt;/author&gt;&lt;author&gt;Li, Q.&lt;/author&gt;&lt;author&gt;Rohr, N. A.&lt;/author&gt;&lt;author&gt;Rambani, A&lt;/author&gt;&lt;author&gt;Burke, J. M.&lt;/author&gt;&lt;author&gt;Udall, J. A.&lt;/author&gt;&lt;/authors&gt;&lt;/contributors&gt;&lt;titles&gt;&lt;title&gt;Widespread natural variation of DNA methylation within angiosperms&lt;/title&gt;&lt;secondary-title&gt;Genome Biol.&lt;/secondary-title&gt;&lt;/titles&gt;&lt;periodical&gt;&lt;full-title&gt;Genome Biol.&lt;/full-title&gt;&lt;/periodical&gt;&lt;pages&gt;194&lt;/pages&gt;&lt;volume&gt;17&lt;/volume&gt;&lt;number&gt;1&lt;/number&gt;&lt;dates&gt;&lt;year&gt;2016&lt;/year&gt;&lt;/dates&gt;&lt;urls&gt;&lt;/urls&gt;&lt;/record&gt;&lt;/Cite&gt;&lt;/EndNote&gt;</w:instrText>
            </w:r>
            <w:r w:rsidRPr="00FD7DCB">
              <w:rPr>
                <w:sz w:val="18"/>
                <w:szCs w:val="18"/>
              </w:rPr>
              <w:fldChar w:fldCharType="separate"/>
            </w:r>
            <w:r w:rsidR="00FD7DCB" w:rsidRPr="00FD7DCB">
              <w:rPr>
                <w:noProof/>
                <w:sz w:val="18"/>
                <w:szCs w:val="18"/>
              </w:rPr>
              <w:t>(</w:t>
            </w:r>
            <w:hyperlink w:anchor="_ENREF_4" w:tooltip="Niederhuth, 2016 #70" w:history="1">
              <w:r w:rsidR="003644B1" w:rsidRPr="00FD7DCB">
                <w:rPr>
                  <w:noProof/>
                  <w:sz w:val="18"/>
                  <w:szCs w:val="18"/>
                </w:rPr>
                <w:t>Niederhuth</w:t>
              </w:r>
              <w:r w:rsidR="003644B1" w:rsidRPr="00FD7DCB">
                <w:rPr>
                  <w:i/>
                  <w:noProof/>
                  <w:sz w:val="18"/>
                  <w:szCs w:val="18"/>
                </w:rPr>
                <w:t xml:space="preserve"> et al.</w:t>
              </w:r>
              <w:r w:rsidR="003644B1" w:rsidRPr="00FD7DCB">
                <w:rPr>
                  <w:noProof/>
                  <w:sz w:val="18"/>
                  <w:szCs w:val="18"/>
                </w:rPr>
                <w:t>, 2016</w:t>
              </w:r>
            </w:hyperlink>
            <w:r w:rsidR="00FD7DCB" w:rsidRPr="00FD7DCB">
              <w:rPr>
                <w:noProof/>
                <w:sz w:val="18"/>
                <w:szCs w:val="18"/>
              </w:rPr>
              <w:t>)</w:t>
            </w:r>
            <w:r w:rsidRPr="00FD7DCB">
              <w:rPr>
                <w:sz w:val="18"/>
                <w:szCs w:val="18"/>
              </w:rPr>
              <w:fldChar w:fldCharType="end"/>
            </w:r>
          </w:p>
        </w:tc>
      </w:tr>
      <w:tr w:rsidR="00C1232A" w:rsidRPr="00797CA5" w14:paraId="434C18CC" w14:textId="77777777" w:rsidTr="004B1A79">
        <w:trPr>
          <w:trHeight w:val="276"/>
        </w:trPr>
        <w:tc>
          <w:tcPr>
            <w:tcW w:w="1155" w:type="pct"/>
            <w:tcBorders>
              <w:top w:val="nil"/>
              <w:left w:val="nil"/>
              <w:bottom w:val="nil"/>
              <w:right w:val="nil"/>
            </w:tcBorders>
            <w:shd w:val="clear" w:color="auto" w:fill="auto"/>
            <w:hideMark/>
          </w:tcPr>
          <w:p w14:paraId="06F4D259" w14:textId="77777777" w:rsidR="00C1232A" w:rsidRPr="00797CA5" w:rsidRDefault="00C1232A" w:rsidP="004D2A6C">
            <w:pPr>
              <w:rPr>
                <w:rFonts w:eastAsia="等线"/>
                <w:i/>
                <w:iCs/>
                <w:color w:val="000000"/>
                <w:sz w:val="18"/>
                <w:szCs w:val="20"/>
              </w:rPr>
            </w:pPr>
            <w:bookmarkStart w:id="0" w:name="OLE_LINK83"/>
            <w:bookmarkStart w:id="1" w:name="OLE_LINK84"/>
            <w:r w:rsidRPr="00797CA5">
              <w:rPr>
                <w:rFonts w:eastAsia="等线"/>
                <w:i/>
                <w:iCs/>
                <w:color w:val="000000"/>
                <w:sz w:val="18"/>
                <w:szCs w:val="20"/>
              </w:rPr>
              <w:t>Glycine max</w:t>
            </w:r>
            <w:bookmarkEnd w:id="0"/>
            <w:bookmarkEnd w:id="1"/>
          </w:p>
        </w:tc>
        <w:tc>
          <w:tcPr>
            <w:tcW w:w="512" w:type="pct"/>
            <w:tcBorders>
              <w:top w:val="nil"/>
              <w:left w:val="nil"/>
              <w:bottom w:val="nil"/>
              <w:right w:val="nil"/>
            </w:tcBorders>
            <w:shd w:val="clear" w:color="auto" w:fill="auto"/>
            <w:hideMark/>
          </w:tcPr>
          <w:p w14:paraId="79365335" w14:textId="77777777" w:rsidR="00C1232A" w:rsidRPr="00797CA5" w:rsidRDefault="00C1232A" w:rsidP="004D2A6C">
            <w:pPr>
              <w:jc w:val="center"/>
              <w:rPr>
                <w:rFonts w:eastAsia="等线"/>
                <w:color w:val="000000"/>
                <w:sz w:val="18"/>
                <w:szCs w:val="20"/>
              </w:rPr>
            </w:pPr>
            <w:r w:rsidRPr="00797CA5">
              <w:rPr>
                <w:rFonts w:eastAsia="等线"/>
                <w:color w:val="000000"/>
                <w:sz w:val="18"/>
                <w:szCs w:val="20"/>
              </w:rPr>
              <w:t xml:space="preserve">71.07 </w:t>
            </w:r>
          </w:p>
        </w:tc>
        <w:tc>
          <w:tcPr>
            <w:tcW w:w="570" w:type="pct"/>
            <w:tcBorders>
              <w:top w:val="nil"/>
              <w:left w:val="nil"/>
              <w:bottom w:val="nil"/>
              <w:right w:val="nil"/>
            </w:tcBorders>
            <w:shd w:val="clear" w:color="auto" w:fill="auto"/>
            <w:hideMark/>
          </w:tcPr>
          <w:p w14:paraId="3422FEE8" w14:textId="77777777" w:rsidR="00C1232A" w:rsidRPr="00797CA5" w:rsidRDefault="00C1232A" w:rsidP="004D2A6C">
            <w:pPr>
              <w:jc w:val="center"/>
              <w:rPr>
                <w:rFonts w:eastAsia="等线"/>
                <w:color w:val="000000"/>
                <w:sz w:val="18"/>
                <w:szCs w:val="20"/>
              </w:rPr>
            </w:pPr>
            <w:r w:rsidRPr="00797CA5">
              <w:rPr>
                <w:rFonts w:eastAsia="等线"/>
                <w:color w:val="000000"/>
                <w:sz w:val="18"/>
                <w:szCs w:val="20"/>
              </w:rPr>
              <w:t xml:space="preserve">45.16 </w:t>
            </w:r>
          </w:p>
        </w:tc>
        <w:tc>
          <w:tcPr>
            <w:tcW w:w="605" w:type="pct"/>
            <w:tcBorders>
              <w:top w:val="nil"/>
              <w:left w:val="nil"/>
              <w:bottom w:val="nil"/>
              <w:right w:val="nil"/>
            </w:tcBorders>
            <w:shd w:val="clear" w:color="auto" w:fill="auto"/>
            <w:hideMark/>
          </w:tcPr>
          <w:p w14:paraId="3D99DE6D" w14:textId="77777777" w:rsidR="00C1232A" w:rsidRPr="00797CA5" w:rsidRDefault="00C1232A" w:rsidP="004D2A6C">
            <w:pPr>
              <w:jc w:val="center"/>
              <w:rPr>
                <w:rFonts w:eastAsia="等线"/>
                <w:color w:val="000000"/>
                <w:sz w:val="18"/>
                <w:szCs w:val="20"/>
              </w:rPr>
            </w:pPr>
            <w:r w:rsidRPr="00797CA5">
              <w:rPr>
                <w:rFonts w:eastAsia="等线"/>
                <w:color w:val="000000"/>
                <w:sz w:val="18"/>
                <w:szCs w:val="20"/>
              </w:rPr>
              <w:t xml:space="preserve">5.09 </w:t>
            </w:r>
          </w:p>
        </w:tc>
        <w:tc>
          <w:tcPr>
            <w:tcW w:w="1018" w:type="pct"/>
            <w:tcBorders>
              <w:top w:val="nil"/>
              <w:left w:val="nil"/>
              <w:bottom w:val="nil"/>
              <w:right w:val="nil"/>
            </w:tcBorders>
            <w:shd w:val="clear" w:color="auto" w:fill="auto"/>
            <w:hideMark/>
          </w:tcPr>
          <w:p w14:paraId="52F6D4C3" w14:textId="77777777" w:rsidR="00C1232A" w:rsidRPr="00797CA5" w:rsidRDefault="00C1232A" w:rsidP="004D2A6C">
            <w:pPr>
              <w:jc w:val="center"/>
              <w:rPr>
                <w:rFonts w:eastAsia="等线"/>
                <w:color w:val="000000"/>
                <w:sz w:val="18"/>
                <w:szCs w:val="20"/>
              </w:rPr>
            </w:pPr>
            <w:r w:rsidRPr="00797CA5">
              <w:rPr>
                <w:rFonts w:eastAsia="等线"/>
                <w:color w:val="000000"/>
                <w:sz w:val="18"/>
                <w:szCs w:val="20"/>
              </w:rPr>
              <w:t xml:space="preserve">978.0 </w:t>
            </w:r>
          </w:p>
        </w:tc>
        <w:tc>
          <w:tcPr>
            <w:tcW w:w="1140" w:type="pct"/>
            <w:tcBorders>
              <w:top w:val="nil"/>
              <w:left w:val="nil"/>
              <w:bottom w:val="nil"/>
              <w:right w:val="nil"/>
            </w:tcBorders>
            <w:shd w:val="clear" w:color="auto" w:fill="auto"/>
            <w:hideMark/>
          </w:tcPr>
          <w:p w14:paraId="624D1C86" w14:textId="7C7E0F71" w:rsidR="00C1232A" w:rsidRPr="00797CA5" w:rsidRDefault="00FD7DCB" w:rsidP="004D2A6C">
            <w:pPr>
              <w:jc w:val="center"/>
              <w:rPr>
                <w:rFonts w:eastAsia="等线"/>
                <w:color w:val="000000"/>
                <w:sz w:val="18"/>
                <w:szCs w:val="20"/>
              </w:rPr>
            </w:pPr>
            <w:r>
              <w:rPr>
                <w:rFonts w:eastAsia="等线"/>
                <w:color w:val="000000"/>
                <w:sz w:val="18"/>
                <w:szCs w:val="20"/>
              </w:rPr>
              <w:fldChar w:fldCharType="begin"/>
            </w:r>
            <w:r>
              <w:rPr>
                <w:rFonts w:eastAsia="等线"/>
                <w:color w:val="000000"/>
                <w:sz w:val="18"/>
                <w:szCs w:val="20"/>
              </w:rPr>
              <w:instrText xml:space="preserve"> ADDIN EN.CITE &lt;EndNote&gt;&lt;Cite&gt;&lt;Author&gt;RJ&lt;/Author&gt;&lt;Year&gt;2013&lt;/Year&gt;&lt;RecNum&gt;226&lt;/RecNum&gt;&lt;DisplayText&gt;(Schmitz&lt;style face="italic"&gt; et al.&lt;/style&gt;, 2013)&lt;/DisplayText&gt;&lt;record&gt;&lt;rec-number&gt;226&lt;/rec-number&gt;&lt;foreign-keys&gt;&lt;key app="EN" db-id="dpvpt2e9ma0ptcepxd9x2w5t2p25xr0dvd0t"&gt;226&lt;/key&gt;&lt;/foreign-keys&gt;&lt;ref-type name="Journal Article"&gt;17&lt;/ref-type&gt;&lt;contributors&gt;&lt;authors&gt;&lt;author&gt;Schmitz, RJ&lt;/author&gt;&lt;author&gt;He, Y&lt;/author&gt;&lt;author&gt;Valdés-López, O&lt;/author&gt;&lt;author&gt;Khan, SM&lt;/author&gt;&lt;author&gt;Joshi, T&lt;/author&gt;&lt;author&gt;Urich, MA&lt;/author&gt;&lt;author&gt;Nery, JR&lt;/author&gt;&lt;author&gt;Diers, B&lt;/author&gt;&lt;author&gt;Xu, D&lt;/author&gt;&lt;author&gt;Stacey, G&lt;/author&gt;&lt;author&gt;Ecker, JR&lt;/author&gt;&lt;/authors&gt;&lt;/contributors&gt;&lt;titles&gt;&lt;title&gt;Epigenome-wide inheritance of cytosine methylation variants in a recombinant inbred population&lt;/title&gt;&lt;secondary-title&gt;Genome Res&lt;/secondary-title&gt;&lt;/titles&gt;&lt;periodical&gt;&lt;full-title&gt;Genome Res&lt;/full-title&gt;&lt;/periodical&gt;&lt;pages&gt;1663-1674&lt;/pages&gt;&lt;volume&gt;23&lt;/volume&gt;&lt;number&gt;10&lt;/number&gt;&lt;dates&gt;&lt;year&gt;2013&lt;/year&gt;&lt;/dates&gt;&lt;urls&gt;&lt;/urls&gt;&lt;/record&gt;&lt;/Cite&gt;&lt;/EndNote&gt;</w:instrText>
            </w:r>
            <w:r>
              <w:rPr>
                <w:rFonts w:eastAsia="等线"/>
                <w:color w:val="000000"/>
                <w:sz w:val="18"/>
                <w:szCs w:val="20"/>
              </w:rPr>
              <w:fldChar w:fldCharType="separate"/>
            </w:r>
            <w:r>
              <w:rPr>
                <w:rFonts w:eastAsia="等线"/>
                <w:noProof/>
                <w:color w:val="000000"/>
                <w:sz w:val="18"/>
                <w:szCs w:val="20"/>
              </w:rPr>
              <w:t>(</w:t>
            </w:r>
            <w:hyperlink w:anchor="_ENREF_5" w:tooltip="Schmitz, 2013 #226" w:history="1">
              <w:r w:rsidR="003644B1">
                <w:rPr>
                  <w:rFonts w:eastAsia="等线"/>
                  <w:noProof/>
                  <w:color w:val="000000"/>
                  <w:sz w:val="18"/>
                  <w:szCs w:val="20"/>
                </w:rPr>
                <w:t>Schmitz</w:t>
              </w:r>
              <w:r w:rsidR="003644B1" w:rsidRPr="00FD7DCB">
                <w:rPr>
                  <w:rFonts w:eastAsia="等线"/>
                  <w:i/>
                  <w:noProof/>
                  <w:color w:val="000000"/>
                  <w:sz w:val="18"/>
                  <w:szCs w:val="20"/>
                </w:rPr>
                <w:t xml:space="preserve"> et al.</w:t>
              </w:r>
              <w:r w:rsidR="003644B1">
                <w:rPr>
                  <w:rFonts w:eastAsia="等线"/>
                  <w:noProof/>
                  <w:color w:val="000000"/>
                  <w:sz w:val="18"/>
                  <w:szCs w:val="20"/>
                </w:rPr>
                <w:t>, 2013</w:t>
              </w:r>
            </w:hyperlink>
            <w:r>
              <w:rPr>
                <w:rFonts w:eastAsia="等线"/>
                <w:noProof/>
                <w:color w:val="000000"/>
                <w:sz w:val="18"/>
                <w:szCs w:val="20"/>
              </w:rPr>
              <w:t>)</w:t>
            </w:r>
            <w:r>
              <w:rPr>
                <w:rFonts w:eastAsia="等线"/>
                <w:color w:val="000000"/>
                <w:sz w:val="18"/>
                <w:szCs w:val="20"/>
              </w:rPr>
              <w:fldChar w:fldCharType="end"/>
            </w:r>
          </w:p>
        </w:tc>
      </w:tr>
      <w:tr w:rsidR="004B1A79" w:rsidRPr="00797CA5" w14:paraId="2C74DC16" w14:textId="77777777" w:rsidTr="004B1A79">
        <w:trPr>
          <w:trHeight w:val="276"/>
        </w:trPr>
        <w:tc>
          <w:tcPr>
            <w:tcW w:w="1155" w:type="pct"/>
            <w:tcBorders>
              <w:top w:val="nil"/>
              <w:left w:val="nil"/>
              <w:bottom w:val="nil"/>
              <w:right w:val="nil"/>
            </w:tcBorders>
            <w:shd w:val="clear" w:color="auto" w:fill="auto"/>
            <w:noWrap/>
            <w:hideMark/>
          </w:tcPr>
          <w:p w14:paraId="596014F6" w14:textId="77777777" w:rsidR="004B1A79" w:rsidRPr="00797CA5" w:rsidRDefault="004B1A79" w:rsidP="004B1A79">
            <w:pPr>
              <w:rPr>
                <w:rFonts w:eastAsia="等线"/>
                <w:i/>
                <w:iCs/>
                <w:color w:val="000000"/>
                <w:sz w:val="18"/>
                <w:szCs w:val="20"/>
              </w:rPr>
            </w:pPr>
            <w:r w:rsidRPr="00797CA5">
              <w:rPr>
                <w:rFonts w:eastAsia="等线"/>
                <w:i/>
                <w:iCs/>
                <w:color w:val="000000"/>
                <w:sz w:val="18"/>
                <w:szCs w:val="20"/>
              </w:rPr>
              <w:t>Medicago truncatula</w:t>
            </w:r>
          </w:p>
        </w:tc>
        <w:tc>
          <w:tcPr>
            <w:tcW w:w="512" w:type="pct"/>
            <w:tcBorders>
              <w:top w:val="nil"/>
              <w:left w:val="nil"/>
              <w:bottom w:val="nil"/>
              <w:right w:val="nil"/>
            </w:tcBorders>
            <w:shd w:val="clear" w:color="auto" w:fill="auto"/>
            <w:hideMark/>
          </w:tcPr>
          <w:p w14:paraId="56110CD0" w14:textId="77777777" w:rsidR="004B1A79" w:rsidRPr="00797CA5" w:rsidRDefault="004B1A79" w:rsidP="004B1A79">
            <w:pPr>
              <w:jc w:val="center"/>
              <w:rPr>
                <w:rFonts w:eastAsia="等线"/>
                <w:color w:val="000000"/>
                <w:sz w:val="18"/>
                <w:szCs w:val="20"/>
              </w:rPr>
            </w:pPr>
            <w:r w:rsidRPr="00797CA5">
              <w:rPr>
                <w:rFonts w:eastAsia="等线"/>
                <w:color w:val="000000"/>
                <w:sz w:val="18"/>
                <w:szCs w:val="20"/>
              </w:rPr>
              <w:t xml:space="preserve">59.80 </w:t>
            </w:r>
          </w:p>
        </w:tc>
        <w:tc>
          <w:tcPr>
            <w:tcW w:w="570" w:type="pct"/>
            <w:tcBorders>
              <w:top w:val="nil"/>
              <w:left w:val="nil"/>
              <w:bottom w:val="nil"/>
              <w:right w:val="nil"/>
            </w:tcBorders>
            <w:shd w:val="clear" w:color="auto" w:fill="auto"/>
            <w:hideMark/>
          </w:tcPr>
          <w:p w14:paraId="67257388" w14:textId="77777777" w:rsidR="004B1A79" w:rsidRPr="00797CA5" w:rsidRDefault="004B1A79" w:rsidP="004B1A79">
            <w:pPr>
              <w:jc w:val="center"/>
              <w:rPr>
                <w:rFonts w:eastAsia="等线"/>
                <w:color w:val="000000"/>
                <w:sz w:val="18"/>
                <w:szCs w:val="20"/>
              </w:rPr>
            </w:pPr>
            <w:r w:rsidRPr="00797CA5">
              <w:rPr>
                <w:rFonts w:eastAsia="等线"/>
                <w:color w:val="000000"/>
                <w:sz w:val="18"/>
                <w:szCs w:val="20"/>
              </w:rPr>
              <w:t xml:space="preserve">16.95 </w:t>
            </w:r>
          </w:p>
        </w:tc>
        <w:tc>
          <w:tcPr>
            <w:tcW w:w="605" w:type="pct"/>
            <w:tcBorders>
              <w:top w:val="nil"/>
              <w:left w:val="nil"/>
              <w:bottom w:val="nil"/>
              <w:right w:val="nil"/>
            </w:tcBorders>
            <w:shd w:val="clear" w:color="auto" w:fill="auto"/>
            <w:hideMark/>
          </w:tcPr>
          <w:p w14:paraId="22CE1ECC" w14:textId="77777777" w:rsidR="004B1A79" w:rsidRPr="00797CA5" w:rsidRDefault="004B1A79" w:rsidP="004B1A79">
            <w:pPr>
              <w:jc w:val="center"/>
              <w:rPr>
                <w:rFonts w:eastAsia="等线"/>
                <w:color w:val="000000"/>
                <w:sz w:val="18"/>
                <w:szCs w:val="20"/>
              </w:rPr>
            </w:pPr>
            <w:r w:rsidRPr="00797CA5">
              <w:rPr>
                <w:rFonts w:eastAsia="等线"/>
                <w:color w:val="000000"/>
                <w:sz w:val="18"/>
                <w:szCs w:val="20"/>
              </w:rPr>
              <w:t xml:space="preserve">5.10 </w:t>
            </w:r>
          </w:p>
        </w:tc>
        <w:tc>
          <w:tcPr>
            <w:tcW w:w="1018" w:type="pct"/>
            <w:tcBorders>
              <w:top w:val="nil"/>
              <w:left w:val="nil"/>
              <w:bottom w:val="nil"/>
              <w:right w:val="nil"/>
            </w:tcBorders>
            <w:shd w:val="clear" w:color="auto" w:fill="auto"/>
            <w:hideMark/>
          </w:tcPr>
          <w:p w14:paraId="58802B49" w14:textId="77777777" w:rsidR="004B1A79" w:rsidRPr="00797CA5" w:rsidRDefault="004B1A79" w:rsidP="004B1A79">
            <w:pPr>
              <w:jc w:val="center"/>
              <w:rPr>
                <w:rFonts w:eastAsia="等线"/>
                <w:color w:val="000000"/>
                <w:sz w:val="18"/>
                <w:szCs w:val="20"/>
              </w:rPr>
            </w:pPr>
            <w:r w:rsidRPr="00797CA5">
              <w:rPr>
                <w:rFonts w:eastAsia="等线"/>
                <w:color w:val="000000"/>
                <w:sz w:val="18"/>
                <w:szCs w:val="20"/>
              </w:rPr>
              <w:t xml:space="preserve">390.0 </w:t>
            </w:r>
          </w:p>
        </w:tc>
        <w:tc>
          <w:tcPr>
            <w:tcW w:w="1140" w:type="pct"/>
            <w:tcBorders>
              <w:top w:val="nil"/>
              <w:left w:val="nil"/>
              <w:bottom w:val="nil"/>
              <w:right w:val="nil"/>
            </w:tcBorders>
            <w:shd w:val="clear" w:color="auto" w:fill="auto"/>
            <w:hideMark/>
          </w:tcPr>
          <w:p w14:paraId="48096BAE" w14:textId="108BB818" w:rsidR="004B1A79" w:rsidRPr="00797CA5" w:rsidRDefault="004B1A79" w:rsidP="004B1A79">
            <w:pPr>
              <w:jc w:val="center"/>
              <w:rPr>
                <w:rFonts w:eastAsia="等线"/>
                <w:color w:val="000000"/>
                <w:sz w:val="18"/>
                <w:szCs w:val="20"/>
              </w:rPr>
            </w:pPr>
            <w:r w:rsidRPr="00FD7DCB">
              <w:rPr>
                <w:sz w:val="18"/>
                <w:szCs w:val="18"/>
              </w:rPr>
              <w:fldChar w:fldCharType="begin"/>
            </w:r>
            <w:r w:rsidR="0050475F">
              <w:rPr>
                <w:sz w:val="18"/>
                <w:szCs w:val="18"/>
              </w:rPr>
              <w:instrText xml:space="preserve"> ADDIN EN.CITE &lt;EndNote&gt;&lt;Cite&gt;&lt;Author&gt;Niederhuth&lt;/Author&gt;&lt;Year&gt;2016&lt;/Year&gt;&lt;RecNum&gt;70&lt;/RecNum&gt;&lt;DisplayText&gt;(Niederhuth et al., 2016)&lt;/DisplayText&gt;&lt;record&gt;&lt;rec-number&gt;70&lt;/rec-number&gt;&lt;foreign-keys&gt;&lt;key app="EN" db-id="dpvpt2e9ma0ptcepxd9x2w5t2p25xr0dvd0t"&gt;70&lt;/key&gt;&lt;/foreign-keys&gt;&lt;ref-type name="Journal Article"&gt;17&lt;/ref-type&gt;&lt;contributors&gt;&lt;authors&gt;&lt;author&gt;Niederhuth, C. E.&lt;/author&gt;&lt;author&gt;Bewick, A. J.&lt;/author&gt;&lt;author&gt;Ji, L.&lt;/author&gt;&lt;author&gt;Alabady, M. S.&lt;/author&gt;&lt;author&gt;Kim, K. D.&lt;/author&gt;&lt;author&gt;Li, Q.&lt;/author&gt;&lt;author&gt;Rohr, N. A.&lt;/author&gt;&lt;author&gt;Rambani, A&lt;/author&gt;&lt;author&gt;Burke, J. M.&lt;/author&gt;&lt;author&gt;Udall, J. A.&lt;/author&gt;&lt;/authors&gt;&lt;/contributors&gt;&lt;titles&gt;&lt;title&gt;Widespread natural variation of DNA methylation within angiosperms&lt;/title&gt;&lt;secondary-title&gt;Genome Biol.&lt;/secondary-title&gt;&lt;/titles&gt;&lt;periodical&gt;&lt;full-title&gt;Genome Biol.&lt;/full-title&gt;&lt;/periodical&gt;&lt;pages&gt;194&lt;/pages&gt;&lt;volume&gt;17&lt;/volume&gt;&lt;number&gt;1&lt;/number&gt;&lt;dates&gt;&lt;year&gt;2016&lt;/year&gt;&lt;/dates&gt;&lt;urls&gt;&lt;/urls&gt;&lt;/record&gt;&lt;/Cite&gt;&lt;/EndNote&gt;</w:instrText>
            </w:r>
            <w:r w:rsidRPr="00FD7DCB">
              <w:rPr>
                <w:sz w:val="18"/>
                <w:szCs w:val="18"/>
              </w:rPr>
              <w:fldChar w:fldCharType="separate"/>
            </w:r>
            <w:r w:rsidR="0050475F">
              <w:rPr>
                <w:noProof/>
                <w:sz w:val="18"/>
                <w:szCs w:val="18"/>
              </w:rPr>
              <w:t>(</w:t>
            </w:r>
            <w:hyperlink w:anchor="_ENREF_4" w:tooltip="Niederhuth, 2016 #70" w:history="1">
              <w:r w:rsidR="003644B1">
                <w:rPr>
                  <w:noProof/>
                  <w:sz w:val="18"/>
                  <w:szCs w:val="18"/>
                </w:rPr>
                <w:t>Niederhuth et al., 2016</w:t>
              </w:r>
            </w:hyperlink>
            <w:r w:rsidR="0050475F">
              <w:rPr>
                <w:noProof/>
                <w:sz w:val="18"/>
                <w:szCs w:val="18"/>
              </w:rPr>
              <w:t>)</w:t>
            </w:r>
            <w:r w:rsidRPr="00FD7DCB">
              <w:rPr>
                <w:sz w:val="18"/>
                <w:szCs w:val="18"/>
              </w:rPr>
              <w:fldChar w:fldCharType="end"/>
            </w:r>
          </w:p>
        </w:tc>
      </w:tr>
      <w:tr w:rsidR="004B1A79" w:rsidRPr="00797CA5" w14:paraId="673F622F" w14:textId="77777777" w:rsidTr="004B1A79">
        <w:trPr>
          <w:trHeight w:val="276"/>
        </w:trPr>
        <w:tc>
          <w:tcPr>
            <w:tcW w:w="1155" w:type="pct"/>
            <w:tcBorders>
              <w:top w:val="nil"/>
              <w:left w:val="nil"/>
              <w:bottom w:val="nil"/>
              <w:right w:val="nil"/>
            </w:tcBorders>
            <w:shd w:val="clear" w:color="auto" w:fill="auto"/>
            <w:hideMark/>
          </w:tcPr>
          <w:p w14:paraId="1A2C04B9" w14:textId="77777777" w:rsidR="004B1A79" w:rsidRPr="00797CA5" w:rsidRDefault="004B1A79" w:rsidP="004B1A79">
            <w:pPr>
              <w:rPr>
                <w:rFonts w:eastAsia="等线"/>
                <w:i/>
                <w:iCs/>
                <w:color w:val="000000"/>
                <w:sz w:val="18"/>
                <w:szCs w:val="20"/>
              </w:rPr>
            </w:pPr>
            <w:r w:rsidRPr="00797CA5">
              <w:rPr>
                <w:rFonts w:eastAsia="等线"/>
                <w:i/>
                <w:iCs/>
                <w:color w:val="000000"/>
                <w:sz w:val="18"/>
                <w:szCs w:val="20"/>
              </w:rPr>
              <w:t xml:space="preserve">Populus trichocarpa </w:t>
            </w:r>
          </w:p>
        </w:tc>
        <w:tc>
          <w:tcPr>
            <w:tcW w:w="512" w:type="pct"/>
            <w:tcBorders>
              <w:top w:val="nil"/>
              <w:left w:val="nil"/>
              <w:bottom w:val="nil"/>
              <w:right w:val="nil"/>
            </w:tcBorders>
            <w:shd w:val="clear" w:color="auto" w:fill="auto"/>
            <w:hideMark/>
          </w:tcPr>
          <w:p w14:paraId="25BDE0AF" w14:textId="77777777" w:rsidR="004B1A79" w:rsidRPr="00797CA5" w:rsidRDefault="004B1A79" w:rsidP="004B1A79">
            <w:pPr>
              <w:jc w:val="center"/>
              <w:rPr>
                <w:rFonts w:eastAsia="等线"/>
                <w:color w:val="000000"/>
                <w:sz w:val="18"/>
                <w:szCs w:val="20"/>
              </w:rPr>
            </w:pPr>
            <w:r w:rsidRPr="00797CA5">
              <w:rPr>
                <w:rFonts w:eastAsia="等线"/>
                <w:color w:val="000000"/>
                <w:sz w:val="18"/>
                <w:szCs w:val="20"/>
              </w:rPr>
              <w:t xml:space="preserve">43.95 </w:t>
            </w:r>
          </w:p>
        </w:tc>
        <w:tc>
          <w:tcPr>
            <w:tcW w:w="570" w:type="pct"/>
            <w:tcBorders>
              <w:top w:val="nil"/>
              <w:left w:val="nil"/>
              <w:bottom w:val="nil"/>
              <w:right w:val="nil"/>
            </w:tcBorders>
            <w:shd w:val="clear" w:color="auto" w:fill="auto"/>
            <w:hideMark/>
          </w:tcPr>
          <w:p w14:paraId="00616B40" w14:textId="77777777" w:rsidR="004B1A79" w:rsidRPr="00797CA5" w:rsidRDefault="004B1A79" w:rsidP="004B1A79">
            <w:pPr>
              <w:jc w:val="center"/>
              <w:rPr>
                <w:rFonts w:eastAsia="等线"/>
                <w:color w:val="000000"/>
                <w:sz w:val="18"/>
                <w:szCs w:val="20"/>
              </w:rPr>
            </w:pPr>
            <w:r w:rsidRPr="00797CA5">
              <w:rPr>
                <w:rFonts w:eastAsia="等线"/>
                <w:color w:val="000000"/>
                <w:sz w:val="18"/>
                <w:szCs w:val="20"/>
              </w:rPr>
              <w:t xml:space="preserve">26.78 </w:t>
            </w:r>
          </w:p>
        </w:tc>
        <w:tc>
          <w:tcPr>
            <w:tcW w:w="605" w:type="pct"/>
            <w:tcBorders>
              <w:top w:val="nil"/>
              <w:left w:val="nil"/>
              <w:bottom w:val="nil"/>
              <w:right w:val="nil"/>
            </w:tcBorders>
            <w:shd w:val="clear" w:color="auto" w:fill="auto"/>
            <w:hideMark/>
          </w:tcPr>
          <w:p w14:paraId="345C2947" w14:textId="77777777" w:rsidR="004B1A79" w:rsidRPr="00797CA5" w:rsidRDefault="004B1A79" w:rsidP="004B1A79">
            <w:pPr>
              <w:jc w:val="center"/>
              <w:rPr>
                <w:rFonts w:eastAsia="等线"/>
                <w:color w:val="000000"/>
                <w:sz w:val="18"/>
                <w:szCs w:val="20"/>
              </w:rPr>
            </w:pPr>
            <w:r w:rsidRPr="00797CA5">
              <w:rPr>
                <w:rFonts w:eastAsia="等线"/>
                <w:color w:val="000000"/>
                <w:sz w:val="18"/>
                <w:szCs w:val="20"/>
              </w:rPr>
              <w:t xml:space="preserve">5.01 </w:t>
            </w:r>
          </w:p>
        </w:tc>
        <w:tc>
          <w:tcPr>
            <w:tcW w:w="1018" w:type="pct"/>
            <w:tcBorders>
              <w:top w:val="nil"/>
              <w:left w:val="nil"/>
              <w:bottom w:val="nil"/>
              <w:right w:val="nil"/>
            </w:tcBorders>
            <w:shd w:val="clear" w:color="auto" w:fill="auto"/>
            <w:hideMark/>
          </w:tcPr>
          <w:p w14:paraId="4EA85705" w14:textId="77777777" w:rsidR="004B1A79" w:rsidRPr="00797CA5" w:rsidRDefault="004B1A79" w:rsidP="004B1A79">
            <w:pPr>
              <w:jc w:val="center"/>
              <w:rPr>
                <w:rFonts w:eastAsia="等线"/>
                <w:color w:val="000000"/>
                <w:sz w:val="18"/>
                <w:szCs w:val="20"/>
              </w:rPr>
            </w:pPr>
            <w:r w:rsidRPr="00797CA5">
              <w:rPr>
                <w:rFonts w:eastAsia="等线"/>
                <w:color w:val="000000"/>
                <w:sz w:val="18"/>
                <w:szCs w:val="20"/>
              </w:rPr>
              <w:t xml:space="preserve">422.9 </w:t>
            </w:r>
          </w:p>
        </w:tc>
        <w:tc>
          <w:tcPr>
            <w:tcW w:w="1140" w:type="pct"/>
            <w:tcBorders>
              <w:top w:val="nil"/>
              <w:left w:val="nil"/>
              <w:bottom w:val="nil"/>
              <w:right w:val="nil"/>
            </w:tcBorders>
            <w:shd w:val="clear" w:color="auto" w:fill="auto"/>
            <w:hideMark/>
          </w:tcPr>
          <w:p w14:paraId="2B1F34F5" w14:textId="1A2E9AAC" w:rsidR="004B1A79" w:rsidRPr="00797CA5" w:rsidRDefault="004B1A79" w:rsidP="004B1A79">
            <w:pPr>
              <w:jc w:val="center"/>
              <w:rPr>
                <w:rFonts w:eastAsia="等线"/>
                <w:color w:val="000000"/>
                <w:sz w:val="18"/>
                <w:szCs w:val="20"/>
              </w:rPr>
            </w:pPr>
            <w:r w:rsidRPr="00FD7DCB">
              <w:rPr>
                <w:sz w:val="18"/>
                <w:szCs w:val="18"/>
              </w:rPr>
              <w:fldChar w:fldCharType="begin"/>
            </w:r>
            <w:r w:rsidR="0050475F">
              <w:rPr>
                <w:sz w:val="18"/>
                <w:szCs w:val="18"/>
              </w:rPr>
              <w:instrText xml:space="preserve"> ADDIN EN.CITE &lt;EndNote&gt;&lt;Cite&gt;&lt;Author&gt;Niederhuth&lt;/Author&gt;&lt;Year&gt;2016&lt;/Year&gt;&lt;RecNum&gt;70&lt;/RecNum&gt;&lt;DisplayText&gt;(Niederhuth et al., 2016)&lt;/DisplayText&gt;&lt;record&gt;&lt;rec-number&gt;70&lt;/rec-number&gt;&lt;foreign-keys&gt;&lt;key app="EN" db-id="dpvpt2e9ma0ptcepxd9x2w5t2p25xr0dvd0t"&gt;70&lt;/key&gt;&lt;/foreign-keys&gt;&lt;ref-type name="Journal Article"&gt;17&lt;/ref-type&gt;&lt;contributors&gt;&lt;authors&gt;&lt;author&gt;Niederhuth, C. E.&lt;/author&gt;&lt;author&gt;Bewick, A. J.&lt;/author&gt;&lt;author&gt;Ji, L.&lt;/author&gt;&lt;author&gt;Alabady, M. S.&lt;/author&gt;&lt;author&gt;Kim, K. D.&lt;/author&gt;&lt;author&gt;Li, Q.&lt;/author&gt;&lt;author&gt;Rohr, N. A.&lt;/author&gt;&lt;author&gt;Rambani, A&lt;/author&gt;&lt;author&gt;Burke, J. M.&lt;/author&gt;&lt;author&gt;Udall, J. A.&lt;/author&gt;&lt;/authors&gt;&lt;/contributors&gt;&lt;titles&gt;&lt;title&gt;Widespread natural variation of DNA methylation within angiosperms&lt;/title&gt;&lt;secondary-title&gt;Genome Biol.&lt;/secondary-title&gt;&lt;/titles&gt;&lt;periodical&gt;&lt;full-title&gt;Genome Biol.&lt;/full-title&gt;&lt;/periodical&gt;&lt;pages&gt;194&lt;/pages&gt;&lt;volume&gt;17&lt;/volume&gt;&lt;number&gt;1&lt;/number&gt;&lt;dates&gt;&lt;year&gt;2016&lt;/year&gt;&lt;/dates&gt;&lt;urls&gt;&lt;/urls&gt;&lt;/record&gt;&lt;/Cite&gt;&lt;/EndNote&gt;</w:instrText>
            </w:r>
            <w:r w:rsidRPr="00FD7DCB">
              <w:rPr>
                <w:sz w:val="18"/>
                <w:szCs w:val="18"/>
              </w:rPr>
              <w:fldChar w:fldCharType="separate"/>
            </w:r>
            <w:r w:rsidR="0050475F">
              <w:rPr>
                <w:noProof/>
                <w:sz w:val="18"/>
                <w:szCs w:val="18"/>
              </w:rPr>
              <w:t>(</w:t>
            </w:r>
            <w:hyperlink w:anchor="_ENREF_4" w:tooltip="Niederhuth, 2016 #70" w:history="1">
              <w:r w:rsidR="003644B1">
                <w:rPr>
                  <w:noProof/>
                  <w:sz w:val="18"/>
                  <w:szCs w:val="18"/>
                </w:rPr>
                <w:t>Niederhuth et al., 2016</w:t>
              </w:r>
            </w:hyperlink>
            <w:r w:rsidR="0050475F">
              <w:rPr>
                <w:noProof/>
                <w:sz w:val="18"/>
                <w:szCs w:val="18"/>
              </w:rPr>
              <w:t>)</w:t>
            </w:r>
            <w:r w:rsidRPr="00FD7DCB">
              <w:rPr>
                <w:sz w:val="18"/>
                <w:szCs w:val="18"/>
              </w:rPr>
              <w:fldChar w:fldCharType="end"/>
            </w:r>
          </w:p>
        </w:tc>
      </w:tr>
      <w:tr w:rsidR="004B1A79" w:rsidRPr="00797CA5" w14:paraId="68F43945" w14:textId="77777777" w:rsidTr="004B1A79">
        <w:trPr>
          <w:trHeight w:val="276"/>
        </w:trPr>
        <w:tc>
          <w:tcPr>
            <w:tcW w:w="1155" w:type="pct"/>
            <w:tcBorders>
              <w:top w:val="nil"/>
              <w:left w:val="nil"/>
              <w:bottom w:val="nil"/>
              <w:right w:val="nil"/>
            </w:tcBorders>
            <w:shd w:val="clear" w:color="auto" w:fill="auto"/>
            <w:hideMark/>
          </w:tcPr>
          <w:p w14:paraId="05A69459" w14:textId="77777777" w:rsidR="004B1A79" w:rsidRPr="00797CA5" w:rsidRDefault="004B1A79" w:rsidP="004B1A79">
            <w:pPr>
              <w:rPr>
                <w:rFonts w:eastAsia="等线"/>
                <w:i/>
                <w:iCs/>
                <w:color w:val="000000"/>
                <w:sz w:val="18"/>
                <w:szCs w:val="20"/>
              </w:rPr>
            </w:pPr>
            <w:r w:rsidRPr="00797CA5">
              <w:rPr>
                <w:rFonts w:eastAsia="等线"/>
                <w:i/>
                <w:iCs/>
                <w:color w:val="000000"/>
                <w:sz w:val="18"/>
                <w:szCs w:val="20"/>
              </w:rPr>
              <w:t>Zea mays</w:t>
            </w:r>
          </w:p>
        </w:tc>
        <w:tc>
          <w:tcPr>
            <w:tcW w:w="512" w:type="pct"/>
            <w:tcBorders>
              <w:top w:val="nil"/>
              <w:left w:val="nil"/>
              <w:bottom w:val="nil"/>
              <w:right w:val="nil"/>
            </w:tcBorders>
            <w:shd w:val="clear" w:color="auto" w:fill="auto"/>
            <w:hideMark/>
          </w:tcPr>
          <w:p w14:paraId="6295C3B1" w14:textId="77777777" w:rsidR="004B1A79" w:rsidRPr="00797CA5" w:rsidRDefault="004B1A79" w:rsidP="004B1A79">
            <w:pPr>
              <w:jc w:val="center"/>
              <w:rPr>
                <w:rFonts w:eastAsia="等线"/>
                <w:color w:val="000000"/>
                <w:sz w:val="18"/>
                <w:szCs w:val="20"/>
              </w:rPr>
            </w:pPr>
            <w:r w:rsidRPr="00797CA5">
              <w:rPr>
                <w:rFonts w:eastAsia="等线"/>
                <w:color w:val="000000"/>
                <w:sz w:val="18"/>
                <w:szCs w:val="20"/>
              </w:rPr>
              <w:t xml:space="preserve">84.76 </w:t>
            </w:r>
          </w:p>
        </w:tc>
        <w:tc>
          <w:tcPr>
            <w:tcW w:w="570" w:type="pct"/>
            <w:tcBorders>
              <w:top w:val="nil"/>
              <w:left w:val="nil"/>
              <w:bottom w:val="nil"/>
              <w:right w:val="nil"/>
            </w:tcBorders>
            <w:shd w:val="clear" w:color="auto" w:fill="auto"/>
            <w:hideMark/>
          </w:tcPr>
          <w:p w14:paraId="26814155" w14:textId="77777777" w:rsidR="004B1A79" w:rsidRPr="00797CA5" w:rsidRDefault="004B1A79" w:rsidP="004B1A79">
            <w:pPr>
              <w:jc w:val="center"/>
              <w:rPr>
                <w:rFonts w:eastAsia="等线"/>
                <w:color w:val="000000"/>
                <w:sz w:val="18"/>
                <w:szCs w:val="20"/>
              </w:rPr>
            </w:pPr>
            <w:r w:rsidRPr="00797CA5">
              <w:rPr>
                <w:rFonts w:eastAsia="等线"/>
                <w:color w:val="000000"/>
                <w:sz w:val="18"/>
                <w:szCs w:val="20"/>
              </w:rPr>
              <w:t xml:space="preserve">73.25 </w:t>
            </w:r>
          </w:p>
        </w:tc>
        <w:tc>
          <w:tcPr>
            <w:tcW w:w="605" w:type="pct"/>
            <w:tcBorders>
              <w:top w:val="nil"/>
              <w:left w:val="nil"/>
              <w:bottom w:val="nil"/>
              <w:right w:val="nil"/>
            </w:tcBorders>
            <w:shd w:val="clear" w:color="auto" w:fill="auto"/>
            <w:hideMark/>
          </w:tcPr>
          <w:p w14:paraId="47B42029" w14:textId="77777777" w:rsidR="004B1A79" w:rsidRPr="00797CA5" w:rsidRDefault="004B1A79" w:rsidP="004B1A79">
            <w:pPr>
              <w:jc w:val="center"/>
              <w:rPr>
                <w:rFonts w:eastAsia="等线"/>
                <w:color w:val="000000"/>
                <w:sz w:val="18"/>
                <w:szCs w:val="20"/>
              </w:rPr>
            </w:pPr>
            <w:r w:rsidRPr="00797CA5">
              <w:rPr>
                <w:rFonts w:eastAsia="等线"/>
                <w:color w:val="000000"/>
                <w:sz w:val="18"/>
                <w:szCs w:val="20"/>
              </w:rPr>
              <w:t xml:space="preserve">5.81 </w:t>
            </w:r>
          </w:p>
        </w:tc>
        <w:tc>
          <w:tcPr>
            <w:tcW w:w="1018" w:type="pct"/>
            <w:tcBorders>
              <w:top w:val="nil"/>
              <w:left w:val="nil"/>
              <w:bottom w:val="nil"/>
              <w:right w:val="nil"/>
            </w:tcBorders>
            <w:shd w:val="clear" w:color="auto" w:fill="auto"/>
            <w:hideMark/>
          </w:tcPr>
          <w:p w14:paraId="6442AD45" w14:textId="77777777" w:rsidR="004B1A79" w:rsidRPr="00797CA5" w:rsidRDefault="004B1A79" w:rsidP="004B1A79">
            <w:pPr>
              <w:jc w:val="center"/>
              <w:rPr>
                <w:rFonts w:eastAsia="等线"/>
                <w:color w:val="000000"/>
                <w:sz w:val="18"/>
                <w:szCs w:val="20"/>
              </w:rPr>
            </w:pPr>
            <w:r w:rsidRPr="00797CA5">
              <w:rPr>
                <w:rFonts w:eastAsia="等线"/>
                <w:color w:val="000000"/>
                <w:sz w:val="18"/>
                <w:szCs w:val="20"/>
              </w:rPr>
              <w:t xml:space="preserve">2665.0 </w:t>
            </w:r>
          </w:p>
        </w:tc>
        <w:tc>
          <w:tcPr>
            <w:tcW w:w="1140" w:type="pct"/>
            <w:tcBorders>
              <w:top w:val="nil"/>
              <w:left w:val="nil"/>
              <w:bottom w:val="nil"/>
              <w:right w:val="nil"/>
            </w:tcBorders>
            <w:shd w:val="clear" w:color="auto" w:fill="auto"/>
            <w:hideMark/>
          </w:tcPr>
          <w:p w14:paraId="6CFE0AE1" w14:textId="6635AF9A" w:rsidR="004B1A79" w:rsidRPr="0050475F" w:rsidRDefault="0050475F" w:rsidP="004B1A79">
            <w:pPr>
              <w:jc w:val="center"/>
              <w:rPr>
                <w:rFonts w:eastAsia="等线"/>
                <w:color w:val="000000"/>
                <w:sz w:val="18"/>
                <w:szCs w:val="18"/>
              </w:rPr>
            </w:pPr>
            <w:r w:rsidRPr="0050475F">
              <w:rPr>
                <w:sz w:val="18"/>
                <w:szCs w:val="18"/>
              </w:rPr>
              <w:fldChar w:fldCharType="begin"/>
            </w:r>
            <w:r w:rsidRPr="0050475F">
              <w:rPr>
                <w:sz w:val="18"/>
                <w:szCs w:val="18"/>
              </w:rPr>
              <w:instrText xml:space="preserve"> ADDIN EN.CITE &lt;EndNote&gt;&lt;Cite&gt;&lt;Author&gt;Gent&lt;/Author&gt;&lt;Year&gt;2013&lt;/Year&gt;&lt;RecNum&gt;76&lt;/RecNum&gt;&lt;DisplayText&gt;(Gent&lt;style face="italic"&gt; et al.&lt;/style&gt;, 2013)&lt;/DisplayText&gt;&lt;record&gt;&lt;rec-number&gt;76&lt;/rec-number&gt;&lt;foreign-keys&gt;&lt;key app="EN" db-id="dpvpt2e9ma0ptcepxd9x2w5t2p25xr0dvd0t"&gt;76&lt;/key&gt;&lt;/foreign-keys&gt;&lt;ref-type name="Journal Article"&gt;17&lt;/ref-type&gt;&lt;contributors&gt;&lt;authors&gt;&lt;author&gt;Gent, Jonathan I&lt;/author&gt;&lt;author&gt;Ellis, Nathanael A&lt;/author&gt;&lt;author&gt;Guo, Lin&lt;/author&gt;&lt;author&gt;Harkess, Alex&lt;/author&gt;&lt;author&gt;Yao, Ying Yin&lt;/author&gt;&lt;author&gt;Zhang, Xiao Yu&lt;/author&gt;&lt;author&gt;Dawe, R Kelly&lt;/author&gt;&lt;/authors&gt;&lt;/contributors&gt;&lt;titles&gt;&lt;title&gt;CHH islands: de novo DNA methylation in near-gene chromatin regulation in maize&lt;/title&gt;&lt;secondary-title&gt;Genome Res.&lt;/secondary-title&gt;&lt;/titles&gt;&lt;periodical&gt;&lt;full-title&gt;Genome Res.&lt;/full-title&gt;&lt;/periodical&gt;&lt;pages&gt;628-637&lt;/pages&gt;&lt;volume&gt;23&lt;/volume&gt;&lt;number&gt;4&lt;/number&gt;&lt;dates&gt;&lt;year&gt;2013&lt;/year&gt;&lt;/dates&gt;&lt;urls&gt;&lt;/urls&gt;&lt;/record&gt;&lt;/Cite&gt;&lt;/EndNote&gt;</w:instrText>
            </w:r>
            <w:r w:rsidRPr="0050475F">
              <w:rPr>
                <w:sz w:val="18"/>
                <w:szCs w:val="18"/>
              </w:rPr>
              <w:fldChar w:fldCharType="separate"/>
            </w:r>
            <w:r w:rsidRPr="0050475F">
              <w:rPr>
                <w:noProof/>
                <w:sz w:val="18"/>
                <w:szCs w:val="18"/>
              </w:rPr>
              <w:t>(</w:t>
            </w:r>
            <w:hyperlink w:anchor="_ENREF_2" w:tooltip="Gent, 2013 #76" w:history="1">
              <w:r w:rsidR="003644B1" w:rsidRPr="0050475F">
                <w:rPr>
                  <w:noProof/>
                  <w:sz w:val="18"/>
                  <w:szCs w:val="18"/>
                </w:rPr>
                <w:t>Gent</w:t>
              </w:r>
              <w:r w:rsidR="003644B1" w:rsidRPr="0050475F">
                <w:rPr>
                  <w:i/>
                  <w:noProof/>
                  <w:sz w:val="18"/>
                  <w:szCs w:val="18"/>
                </w:rPr>
                <w:t xml:space="preserve"> et al.</w:t>
              </w:r>
              <w:r w:rsidR="003644B1" w:rsidRPr="0050475F">
                <w:rPr>
                  <w:noProof/>
                  <w:sz w:val="18"/>
                  <w:szCs w:val="18"/>
                </w:rPr>
                <w:t>, 2013</w:t>
              </w:r>
            </w:hyperlink>
            <w:r w:rsidRPr="0050475F">
              <w:rPr>
                <w:noProof/>
                <w:sz w:val="18"/>
                <w:szCs w:val="18"/>
              </w:rPr>
              <w:t>)</w:t>
            </w:r>
            <w:r w:rsidRPr="0050475F">
              <w:rPr>
                <w:sz w:val="18"/>
                <w:szCs w:val="18"/>
              </w:rPr>
              <w:fldChar w:fldCharType="end"/>
            </w:r>
          </w:p>
        </w:tc>
      </w:tr>
      <w:tr w:rsidR="004B1A79" w:rsidRPr="00797CA5" w14:paraId="20E0D999" w14:textId="77777777" w:rsidTr="004B1A79">
        <w:trPr>
          <w:trHeight w:val="276"/>
        </w:trPr>
        <w:tc>
          <w:tcPr>
            <w:tcW w:w="1155" w:type="pct"/>
            <w:tcBorders>
              <w:top w:val="nil"/>
              <w:left w:val="nil"/>
              <w:bottom w:val="nil"/>
              <w:right w:val="nil"/>
            </w:tcBorders>
            <w:shd w:val="clear" w:color="auto" w:fill="auto"/>
            <w:hideMark/>
          </w:tcPr>
          <w:p w14:paraId="7C45FCAE" w14:textId="77777777" w:rsidR="004B1A79" w:rsidRPr="00797CA5" w:rsidRDefault="004B1A79" w:rsidP="004B1A79">
            <w:pPr>
              <w:rPr>
                <w:rFonts w:eastAsia="等线"/>
                <w:i/>
                <w:iCs/>
                <w:color w:val="000000"/>
                <w:sz w:val="18"/>
                <w:szCs w:val="20"/>
              </w:rPr>
            </w:pPr>
            <w:r w:rsidRPr="00797CA5">
              <w:rPr>
                <w:rFonts w:eastAsia="等线"/>
                <w:i/>
                <w:iCs/>
                <w:color w:val="000000"/>
                <w:sz w:val="18"/>
                <w:szCs w:val="20"/>
              </w:rPr>
              <w:t>Oryza sativa</w:t>
            </w:r>
          </w:p>
        </w:tc>
        <w:tc>
          <w:tcPr>
            <w:tcW w:w="512" w:type="pct"/>
            <w:tcBorders>
              <w:top w:val="nil"/>
              <w:left w:val="nil"/>
              <w:bottom w:val="nil"/>
              <w:right w:val="nil"/>
            </w:tcBorders>
            <w:shd w:val="clear" w:color="auto" w:fill="auto"/>
            <w:hideMark/>
          </w:tcPr>
          <w:p w14:paraId="23FB9FA4" w14:textId="77777777" w:rsidR="004B1A79" w:rsidRPr="00797CA5" w:rsidRDefault="004B1A79" w:rsidP="004B1A79">
            <w:pPr>
              <w:jc w:val="center"/>
              <w:rPr>
                <w:rFonts w:eastAsia="等线"/>
                <w:color w:val="000000"/>
                <w:sz w:val="18"/>
                <w:szCs w:val="20"/>
              </w:rPr>
            </w:pPr>
            <w:r w:rsidRPr="00797CA5">
              <w:rPr>
                <w:rFonts w:eastAsia="等线"/>
                <w:color w:val="000000"/>
                <w:sz w:val="18"/>
                <w:szCs w:val="20"/>
              </w:rPr>
              <w:t xml:space="preserve">58.37 </w:t>
            </w:r>
          </w:p>
        </w:tc>
        <w:tc>
          <w:tcPr>
            <w:tcW w:w="570" w:type="pct"/>
            <w:tcBorders>
              <w:top w:val="nil"/>
              <w:left w:val="nil"/>
              <w:bottom w:val="nil"/>
              <w:right w:val="nil"/>
            </w:tcBorders>
            <w:shd w:val="clear" w:color="auto" w:fill="auto"/>
            <w:hideMark/>
          </w:tcPr>
          <w:p w14:paraId="072816F2" w14:textId="77777777" w:rsidR="004B1A79" w:rsidRPr="00797CA5" w:rsidRDefault="004B1A79" w:rsidP="004B1A79">
            <w:pPr>
              <w:jc w:val="center"/>
              <w:rPr>
                <w:rFonts w:eastAsia="等线"/>
                <w:color w:val="000000"/>
                <w:sz w:val="18"/>
                <w:szCs w:val="20"/>
              </w:rPr>
            </w:pPr>
            <w:r w:rsidRPr="00797CA5">
              <w:rPr>
                <w:rFonts w:eastAsia="等线"/>
                <w:color w:val="000000"/>
                <w:sz w:val="18"/>
                <w:szCs w:val="20"/>
              </w:rPr>
              <w:t xml:space="preserve">30.95 </w:t>
            </w:r>
          </w:p>
        </w:tc>
        <w:tc>
          <w:tcPr>
            <w:tcW w:w="605" w:type="pct"/>
            <w:tcBorders>
              <w:top w:val="nil"/>
              <w:left w:val="nil"/>
              <w:bottom w:val="nil"/>
              <w:right w:val="nil"/>
            </w:tcBorders>
            <w:shd w:val="clear" w:color="auto" w:fill="auto"/>
            <w:hideMark/>
          </w:tcPr>
          <w:p w14:paraId="2804F684" w14:textId="77777777" w:rsidR="004B1A79" w:rsidRPr="00797CA5" w:rsidRDefault="004B1A79" w:rsidP="004B1A79">
            <w:pPr>
              <w:jc w:val="center"/>
              <w:rPr>
                <w:rFonts w:eastAsia="等线"/>
                <w:color w:val="000000"/>
                <w:sz w:val="18"/>
                <w:szCs w:val="20"/>
              </w:rPr>
            </w:pPr>
            <w:r w:rsidRPr="00797CA5">
              <w:rPr>
                <w:rFonts w:eastAsia="等线"/>
                <w:color w:val="000000"/>
                <w:sz w:val="18"/>
                <w:szCs w:val="20"/>
              </w:rPr>
              <w:t xml:space="preserve">5.52 </w:t>
            </w:r>
          </w:p>
        </w:tc>
        <w:tc>
          <w:tcPr>
            <w:tcW w:w="1018" w:type="pct"/>
            <w:tcBorders>
              <w:top w:val="nil"/>
              <w:left w:val="nil"/>
              <w:bottom w:val="nil"/>
              <w:right w:val="nil"/>
            </w:tcBorders>
            <w:shd w:val="clear" w:color="auto" w:fill="auto"/>
            <w:hideMark/>
          </w:tcPr>
          <w:p w14:paraId="6171ED0F" w14:textId="77777777" w:rsidR="004B1A79" w:rsidRPr="00797CA5" w:rsidRDefault="004B1A79" w:rsidP="004B1A79">
            <w:pPr>
              <w:jc w:val="center"/>
              <w:rPr>
                <w:rFonts w:eastAsia="等线"/>
                <w:color w:val="000000"/>
                <w:sz w:val="18"/>
                <w:szCs w:val="20"/>
              </w:rPr>
            </w:pPr>
            <w:r w:rsidRPr="00797CA5">
              <w:rPr>
                <w:rFonts w:eastAsia="等线"/>
                <w:color w:val="000000"/>
                <w:sz w:val="18"/>
                <w:szCs w:val="20"/>
              </w:rPr>
              <w:t xml:space="preserve">372.0 </w:t>
            </w:r>
          </w:p>
        </w:tc>
        <w:tc>
          <w:tcPr>
            <w:tcW w:w="1140" w:type="pct"/>
            <w:tcBorders>
              <w:top w:val="nil"/>
              <w:left w:val="nil"/>
              <w:bottom w:val="nil"/>
              <w:right w:val="nil"/>
            </w:tcBorders>
            <w:shd w:val="clear" w:color="auto" w:fill="auto"/>
            <w:hideMark/>
          </w:tcPr>
          <w:p w14:paraId="6AA040BF" w14:textId="36978746" w:rsidR="004B1A79" w:rsidRPr="00797CA5" w:rsidRDefault="0050475F" w:rsidP="004B1A79">
            <w:pPr>
              <w:jc w:val="center"/>
              <w:rPr>
                <w:rFonts w:eastAsia="等线"/>
                <w:color w:val="000000"/>
                <w:sz w:val="18"/>
                <w:szCs w:val="20"/>
              </w:rPr>
            </w:pPr>
            <w:r>
              <w:rPr>
                <w:rFonts w:eastAsia="等线"/>
                <w:color w:val="000000"/>
                <w:sz w:val="18"/>
                <w:szCs w:val="20"/>
              </w:rPr>
              <w:fldChar w:fldCharType="begin"/>
            </w:r>
            <w:r>
              <w:rPr>
                <w:rFonts w:eastAsia="等线"/>
                <w:color w:val="000000"/>
                <w:sz w:val="18"/>
                <w:szCs w:val="20"/>
              </w:rPr>
              <w:instrText xml:space="preserve"> ADDIN EN.CITE &lt;EndNote&gt;&lt;Cite&gt;&lt;Author&gt;Hume&lt;/Author&gt;&lt;Year&gt;2013&lt;/Year&gt;&lt;RecNum&gt;227&lt;/RecNum&gt;&lt;DisplayText&gt;(Hume&lt;style face="italic"&gt; et al.&lt;/style&gt;, 2013)&lt;/DisplayText&gt;&lt;record&gt;&lt;rec-number&gt;227&lt;/rec-number&gt;&lt;foreign-keys&gt;&lt;key app="EN" db-id="dpvpt2e9ma0ptcepxd9x2w5t2p25xr0dvd0t"&gt;227&lt;/key&gt;&lt;/foreign-keys&gt;&lt;ref-type name="Journal Article"&gt;17&lt;/ref-type&gt;&lt;contributors&gt;&lt;authors&gt;&lt;author&gt;Hume, Stroud&lt;/author&gt;&lt;author&gt;Ding, Bo&lt;/author&gt;&lt;author&gt;Simon, Stacey A&lt;/author&gt;&lt;author&gt;Feng, Suhua&lt;/author&gt;&lt;author&gt;Maria, Bellizzi&lt;/author&gt;&lt;author&gt;Matteo, Pellegrini&lt;/author&gt;&lt;author&gt;Wang, Guo Liang&lt;/author&gt;&lt;author&gt;Meyers, Blake C&lt;/author&gt;&lt;author&gt;Jacobsen, Steven E&lt;/author&gt;&lt;/authors&gt;&lt;/contributors&gt;&lt;titles&gt;&lt;title&gt;Plants regenerated from tissue culture contain stable epigenome changes in rice&lt;/title&gt;&lt;secondary-title&gt;Elife&lt;/secondary-title&gt;&lt;/titles&gt;&lt;periodical&gt;&lt;full-title&gt;Elife&lt;/full-title&gt;&lt;/periodical&gt;&lt;pages&gt;e00354&lt;/pages&gt;&lt;volume&gt;2&lt;/volume&gt;&lt;number&gt;2&lt;/number&gt;&lt;dates&gt;&lt;year&gt;2013&lt;/year&gt;&lt;/dates&gt;&lt;urls&gt;&lt;/urls&gt;&lt;/record&gt;&lt;/Cite&gt;&lt;/EndNote&gt;</w:instrText>
            </w:r>
            <w:r>
              <w:rPr>
                <w:rFonts w:eastAsia="等线"/>
                <w:color w:val="000000"/>
                <w:sz w:val="18"/>
                <w:szCs w:val="20"/>
              </w:rPr>
              <w:fldChar w:fldCharType="separate"/>
            </w:r>
            <w:r>
              <w:rPr>
                <w:rFonts w:eastAsia="等线"/>
                <w:noProof/>
                <w:color w:val="000000"/>
                <w:sz w:val="18"/>
                <w:szCs w:val="20"/>
              </w:rPr>
              <w:t>(</w:t>
            </w:r>
            <w:hyperlink w:anchor="_ENREF_3" w:tooltip="Hume, 2013 #227" w:history="1">
              <w:r w:rsidR="003644B1">
                <w:rPr>
                  <w:rFonts w:eastAsia="等线"/>
                  <w:noProof/>
                  <w:color w:val="000000"/>
                  <w:sz w:val="18"/>
                  <w:szCs w:val="20"/>
                </w:rPr>
                <w:t>Hume</w:t>
              </w:r>
              <w:r w:rsidR="003644B1" w:rsidRPr="0050475F">
                <w:rPr>
                  <w:rFonts w:eastAsia="等线"/>
                  <w:i/>
                  <w:noProof/>
                  <w:color w:val="000000"/>
                  <w:sz w:val="18"/>
                  <w:szCs w:val="20"/>
                </w:rPr>
                <w:t xml:space="preserve"> et al.</w:t>
              </w:r>
              <w:r w:rsidR="003644B1">
                <w:rPr>
                  <w:rFonts w:eastAsia="等线"/>
                  <w:noProof/>
                  <w:color w:val="000000"/>
                  <w:sz w:val="18"/>
                  <w:szCs w:val="20"/>
                </w:rPr>
                <w:t>, 2013</w:t>
              </w:r>
            </w:hyperlink>
            <w:r>
              <w:rPr>
                <w:rFonts w:eastAsia="等线"/>
                <w:noProof/>
                <w:color w:val="000000"/>
                <w:sz w:val="18"/>
                <w:szCs w:val="20"/>
              </w:rPr>
              <w:t>)</w:t>
            </w:r>
            <w:r>
              <w:rPr>
                <w:rFonts w:eastAsia="等线"/>
                <w:color w:val="000000"/>
                <w:sz w:val="18"/>
                <w:szCs w:val="20"/>
              </w:rPr>
              <w:fldChar w:fldCharType="end"/>
            </w:r>
          </w:p>
        </w:tc>
      </w:tr>
      <w:tr w:rsidR="004B1A79" w:rsidRPr="00797CA5" w14:paraId="6F2FA567" w14:textId="77777777" w:rsidTr="004B1A79">
        <w:trPr>
          <w:trHeight w:val="190"/>
        </w:trPr>
        <w:tc>
          <w:tcPr>
            <w:tcW w:w="1155" w:type="pct"/>
            <w:tcBorders>
              <w:top w:val="nil"/>
              <w:left w:val="nil"/>
              <w:bottom w:val="nil"/>
              <w:right w:val="nil"/>
            </w:tcBorders>
            <w:shd w:val="clear" w:color="auto" w:fill="auto"/>
            <w:hideMark/>
          </w:tcPr>
          <w:p w14:paraId="6D087FDF" w14:textId="77777777" w:rsidR="004B1A79" w:rsidRPr="00797CA5" w:rsidRDefault="004B1A79" w:rsidP="004B1A79">
            <w:pPr>
              <w:rPr>
                <w:rFonts w:eastAsia="等线"/>
                <w:i/>
                <w:iCs/>
                <w:color w:val="000000"/>
                <w:sz w:val="18"/>
                <w:szCs w:val="20"/>
              </w:rPr>
            </w:pPr>
            <w:r w:rsidRPr="00797CA5">
              <w:rPr>
                <w:rFonts w:eastAsia="等线"/>
                <w:i/>
                <w:iCs/>
                <w:color w:val="000000"/>
                <w:sz w:val="18"/>
                <w:szCs w:val="20"/>
              </w:rPr>
              <w:t>Brachypodium distachyum</w:t>
            </w:r>
          </w:p>
        </w:tc>
        <w:tc>
          <w:tcPr>
            <w:tcW w:w="512" w:type="pct"/>
            <w:tcBorders>
              <w:top w:val="nil"/>
              <w:left w:val="nil"/>
              <w:bottom w:val="nil"/>
              <w:right w:val="nil"/>
            </w:tcBorders>
            <w:shd w:val="clear" w:color="auto" w:fill="auto"/>
            <w:hideMark/>
          </w:tcPr>
          <w:p w14:paraId="7A1E7E2D" w14:textId="77777777" w:rsidR="004B1A79" w:rsidRPr="00824C48" w:rsidRDefault="004B1A79" w:rsidP="004B1A79">
            <w:pPr>
              <w:jc w:val="center"/>
              <w:rPr>
                <w:rFonts w:eastAsia="等线"/>
                <w:color w:val="000000" w:themeColor="text1"/>
                <w:sz w:val="18"/>
                <w:szCs w:val="20"/>
              </w:rPr>
            </w:pPr>
            <w:r w:rsidRPr="00824C48">
              <w:rPr>
                <w:rFonts w:eastAsia="等线"/>
                <w:color w:val="000000" w:themeColor="text1"/>
                <w:sz w:val="18"/>
                <w:szCs w:val="20"/>
              </w:rPr>
              <w:t xml:space="preserve">62.34 </w:t>
            </w:r>
          </w:p>
        </w:tc>
        <w:tc>
          <w:tcPr>
            <w:tcW w:w="570" w:type="pct"/>
            <w:tcBorders>
              <w:top w:val="nil"/>
              <w:left w:val="nil"/>
              <w:bottom w:val="nil"/>
              <w:right w:val="nil"/>
            </w:tcBorders>
            <w:shd w:val="clear" w:color="auto" w:fill="auto"/>
            <w:hideMark/>
          </w:tcPr>
          <w:p w14:paraId="7EDB8166" w14:textId="77777777" w:rsidR="004B1A79" w:rsidRPr="00824C48" w:rsidRDefault="004B1A79" w:rsidP="004B1A79">
            <w:pPr>
              <w:jc w:val="center"/>
              <w:rPr>
                <w:rFonts w:eastAsia="等线"/>
                <w:color w:val="000000" w:themeColor="text1"/>
                <w:sz w:val="18"/>
                <w:szCs w:val="20"/>
              </w:rPr>
            </w:pPr>
            <w:r w:rsidRPr="00824C48">
              <w:rPr>
                <w:rFonts w:eastAsia="等线"/>
                <w:color w:val="000000" w:themeColor="text1"/>
                <w:sz w:val="18"/>
                <w:szCs w:val="20"/>
              </w:rPr>
              <w:t>40.80</w:t>
            </w:r>
          </w:p>
        </w:tc>
        <w:tc>
          <w:tcPr>
            <w:tcW w:w="605" w:type="pct"/>
            <w:tcBorders>
              <w:top w:val="nil"/>
              <w:left w:val="nil"/>
              <w:bottom w:val="nil"/>
              <w:right w:val="nil"/>
            </w:tcBorders>
            <w:shd w:val="clear" w:color="auto" w:fill="auto"/>
            <w:hideMark/>
          </w:tcPr>
          <w:p w14:paraId="46002C67" w14:textId="77777777" w:rsidR="004B1A79" w:rsidRPr="00824C48" w:rsidRDefault="004B1A79" w:rsidP="004B1A79">
            <w:pPr>
              <w:jc w:val="center"/>
              <w:rPr>
                <w:rFonts w:eastAsia="等线"/>
                <w:color w:val="000000" w:themeColor="text1"/>
                <w:sz w:val="18"/>
                <w:szCs w:val="20"/>
              </w:rPr>
            </w:pPr>
            <w:r w:rsidRPr="00824C48">
              <w:rPr>
                <w:rFonts w:eastAsia="等线"/>
                <w:color w:val="000000" w:themeColor="text1"/>
                <w:sz w:val="18"/>
                <w:szCs w:val="20"/>
              </w:rPr>
              <w:t xml:space="preserve">2.12 </w:t>
            </w:r>
          </w:p>
        </w:tc>
        <w:tc>
          <w:tcPr>
            <w:tcW w:w="1018" w:type="pct"/>
            <w:tcBorders>
              <w:top w:val="nil"/>
              <w:left w:val="nil"/>
              <w:bottom w:val="nil"/>
              <w:right w:val="nil"/>
            </w:tcBorders>
            <w:shd w:val="clear" w:color="auto" w:fill="auto"/>
            <w:hideMark/>
          </w:tcPr>
          <w:p w14:paraId="0FB4391F" w14:textId="77777777" w:rsidR="004B1A79" w:rsidRPr="00824C48" w:rsidRDefault="004B1A79" w:rsidP="004B1A79">
            <w:pPr>
              <w:jc w:val="center"/>
              <w:rPr>
                <w:rFonts w:eastAsia="等线"/>
                <w:color w:val="000000" w:themeColor="text1"/>
                <w:sz w:val="18"/>
                <w:szCs w:val="20"/>
              </w:rPr>
            </w:pPr>
            <w:r w:rsidRPr="00824C48">
              <w:rPr>
                <w:rFonts w:eastAsia="等线"/>
                <w:color w:val="000000" w:themeColor="text1"/>
                <w:sz w:val="18"/>
                <w:szCs w:val="20"/>
              </w:rPr>
              <w:t xml:space="preserve">272.0 </w:t>
            </w:r>
          </w:p>
        </w:tc>
        <w:tc>
          <w:tcPr>
            <w:tcW w:w="1140" w:type="pct"/>
            <w:tcBorders>
              <w:top w:val="nil"/>
              <w:left w:val="nil"/>
              <w:bottom w:val="nil"/>
              <w:right w:val="nil"/>
            </w:tcBorders>
            <w:shd w:val="clear" w:color="auto" w:fill="auto"/>
            <w:hideMark/>
          </w:tcPr>
          <w:p w14:paraId="10001B9A" w14:textId="5371BCF9" w:rsidR="004B1A79" w:rsidRPr="0050475F" w:rsidRDefault="0050475F" w:rsidP="004B1A79">
            <w:pPr>
              <w:jc w:val="center"/>
              <w:rPr>
                <w:rFonts w:eastAsia="等线"/>
                <w:color w:val="000000" w:themeColor="text1"/>
                <w:sz w:val="18"/>
                <w:szCs w:val="18"/>
              </w:rPr>
            </w:pPr>
            <w:r w:rsidRPr="0050475F">
              <w:rPr>
                <w:color w:val="000000" w:themeColor="text1"/>
                <w:sz w:val="18"/>
                <w:szCs w:val="18"/>
              </w:rPr>
              <w:fldChar w:fldCharType="begin"/>
            </w:r>
            <w:r w:rsidR="003644B1">
              <w:rPr>
                <w:color w:val="000000" w:themeColor="text1"/>
                <w:sz w:val="18"/>
                <w:szCs w:val="18"/>
              </w:rPr>
              <w:instrText xml:space="preserve"> ADDIN EN.CITE &lt;EndNote&gt;&lt;Cite&gt;&lt;Author&gt;Eichten&lt;/Author&gt;&lt;Year&gt;2016&lt;/Year&gt;&lt;RecNum&gt;179&lt;/RecNum&gt;&lt;DisplayText&gt;(Eichten&lt;style face="italic"&gt; et al.&lt;/style&gt;, 2016)&lt;/DisplayText&gt;&lt;record&gt;&lt;rec-number&gt;179&lt;/rec-number&gt;&lt;foreign-keys&gt;&lt;key app="EN" db-id="dpvpt2e9ma0ptcepxd9x2w5t2p25xr0dvd0t"&gt;179&lt;/key&gt;&lt;/foreign-keys&gt;&lt;ref-type name="Journal Article"&gt;17&lt;/ref-type&gt;&lt;contributors&gt;&lt;authors&gt;&lt;author&gt;Eichten, S R&lt;/author&gt;&lt;author&gt;Stuart, T&lt;/author&gt;&lt;author&gt;Srivastava, A&lt;/author&gt;&lt;author&gt;Lister, R&lt;/author&gt;&lt;author&gt;Borevitz, J O&lt;/author&gt;&lt;/authors&gt;&lt;/contributors&gt;&lt;titles&gt;&lt;title&gt;&lt;style face="normal" font="default" size="100%"&gt;DNA methylation profiles of diverse &lt;/style&gt;&lt;style face="italic" font="default" size="100%"&gt;Brachypodium distachyon&lt;/style&gt;&lt;style face="normal" font="default" size="100%"&gt; aligns with underlying genetic diversity&lt;/style&gt;&lt;/title&gt;&lt;secondary-title&gt;Genome Res&lt;/secondary-title&gt;&lt;/titles&gt;&lt;periodical&gt;&lt;full-title&gt;Genome Res&lt;/full-title&gt;&lt;/periodical&gt;&lt;pages&gt;1520-1531&lt;/pages&gt;&lt;volume&gt;26&lt;/volume&gt;&lt;number&gt;11&lt;/number&gt;&lt;dates&gt;&lt;year&gt;2016&lt;/year&gt;&lt;/dates&gt;&lt;urls&gt;&lt;/urls&gt;&lt;/record&gt;&lt;/Cite&gt;&lt;/EndNote&gt;</w:instrText>
            </w:r>
            <w:r w:rsidRPr="0050475F">
              <w:rPr>
                <w:color w:val="000000" w:themeColor="text1"/>
                <w:sz w:val="18"/>
                <w:szCs w:val="18"/>
              </w:rPr>
              <w:fldChar w:fldCharType="separate"/>
            </w:r>
            <w:r w:rsidR="003644B1">
              <w:rPr>
                <w:noProof/>
                <w:color w:val="000000" w:themeColor="text1"/>
                <w:sz w:val="18"/>
                <w:szCs w:val="18"/>
              </w:rPr>
              <w:t>(</w:t>
            </w:r>
            <w:hyperlink w:anchor="_ENREF_1" w:tooltip="Eichten, 2016 #179" w:history="1">
              <w:r w:rsidR="003644B1">
                <w:rPr>
                  <w:noProof/>
                  <w:color w:val="000000" w:themeColor="text1"/>
                  <w:sz w:val="18"/>
                  <w:szCs w:val="18"/>
                </w:rPr>
                <w:t>Eichten</w:t>
              </w:r>
              <w:r w:rsidR="003644B1" w:rsidRPr="003644B1">
                <w:rPr>
                  <w:i/>
                  <w:noProof/>
                  <w:color w:val="000000" w:themeColor="text1"/>
                  <w:sz w:val="18"/>
                  <w:szCs w:val="18"/>
                </w:rPr>
                <w:t xml:space="preserve"> et al.</w:t>
              </w:r>
              <w:r w:rsidR="003644B1">
                <w:rPr>
                  <w:noProof/>
                  <w:color w:val="000000" w:themeColor="text1"/>
                  <w:sz w:val="18"/>
                  <w:szCs w:val="18"/>
                </w:rPr>
                <w:t>, 2016</w:t>
              </w:r>
            </w:hyperlink>
            <w:r w:rsidR="003644B1">
              <w:rPr>
                <w:noProof/>
                <w:color w:val="000000" w:themeColor="text1"/>
                <w:sz w:val="18"/>
                <w:szCs w:val="18"/>
              </w:rPr>
              <w:t>)</w:t>
            </w:r>
            <w:r w:rsidRPr="0050475F">
              <w:rPr>
                <w:color w:val="000000" w:themeColor="text1"/>
                <w:sz w:val="18"/>
                <w:szCs w:val="18"/>
              </w:rPr>
              <w:fldChar w:fldCharType="end"/>
            </w:r>
          </w:p>
        </w:tc>
      </w:tr>
      <w:tr w:rsidR="004B1A79" w:rsidRPr="00797CA5" w14:paraId="5F4E76C6" w14:textId="77777777" w:rsidTr="004B1A79">
        <w:trPr>
          <w:trHeight w:val="276"/>
        </w:trPr>
        <w:tc>
          <w:tcPr>
            <w:tcW w:w="1155" w:type="pct"/>
            <w:tcBorders>
              <w:top w:val="nil"/>
              <w:left w:val="nil"/>
              <w:bottom w:val="single" w:sz="12" w:space="0" w:color="auto"/>
              <w:right w:val="nil"/>
            </w:tcBorders>
            <w:shd w:val="clear" w:color="auto" w:fill="auto"/>
            <w:hideMark/>
          </w:tcPr>
          <w:p w14:paraId="11E9650B" w14:textId="77777777" w:rsidR="004B1A79" w:rsidRPr="00797CA5" w:rsidRDefault="004B1A79" w:rsidP="004B1A79">
            <w:pPr>
              <w:rPr>
                <w:rFonts w:eastAsia="等线"/>
                <w:i/>
                <w:iCs/>
                <w:color w:val="000000"/>
                <w:sz w:val="18"/>
                <w:szCs w:val="20"/>
              </w:rPr>
            </w:pPr>
            <w:r w:rsidRPr="00797CA5">
              <w:rPr>
                <w:rFonts w:eastAsia="等线"/>
                <w:i/>
                <w:iCs/>
                <w:color w:val="000000"/>
                <w:sz w:val="18"/>
                <w:szCs w:val="20"/>
              </w:rPr>
              <w:t>Panicum virgatum</w:t>
            </w:r>
          </w:p>
        </w:tc>
        <w:tc>
          <w:tcPr>
            <w:tcW w:w="512" w:type="pct"/>
            <w:tcBorders>
              <w:top w:val="nil"/>
              <w:left w:val="nil"/>
              <w:bottom w:val="single" w:sz="12" w:space="0" w:color="auto"/>
              <w:right w:val="nil"/>
            </w:tcBorders>
            <w:shd w:val="clear" w:color="auto" w:fill="auto"/>
            <w:hideMark/>
          </w:tcPr>
          <w:p w14:paraId="41D61DF4" w14:textId="77777777" w:rsidR="004B1A79" w:rsidRPr="00797CA5" w:rsidRDefault="004B1A79" w:rsidP="004B1A79">
            <w:pPr>
              <w:jc w:val="center"/>
              <w:rPr>
                <w:rFonts w:eastAsia="等线"/>
                <w:color w:val="000000"/>
                <w:sz w:val="18"/>
                <w:szCs w:val="20"/>
              </w:rPr>
            </w:pPr>
            <w:r w:rsidRPr="00797CA5">
              <w:rPr>
                <w:rFonts w:eastAsia="等线"/>
                <w:color w:val="000000"/>
                <w:sz w:val="18"/>
                <w:szCs w:val="20"/>
              </w:rPr>
              <w:t xml:space="preserve">60.34 </w:t>
            </w:r>
          </w:p>
        </w:tc>
        <w:tc>
          <w:tcPr>
            <w:tcW w:w="570" w:type="pct"/>
            <w:tcBorders>
              <w:top w:val="nil"/>
              <w:left w:val="nil"/>
              <w:bottom w:val="single" w:sz="12" w:space="0" w:color="auto"/>
              <w:right w:val="nil"/>
            </w:tcBorders>
            <w:shd w:val="clear" w:color="auto" w:fill="auto"/>
            <w:hideMark/>
          </w:tcPr>
          <w:p w14:paraId="4E47F401" w14:textId="77777777" w:rsidR="004B1A79" w:rsidRPr="00797CA5" w:rsidRDefault="004B1A79" w:rsidP="004B1A79">
            <w:pPr>
              <w:jc w:val="center"/>
              <w:rPr>
                <w:rFonts w:eastAsia="等线"/>
                <w:color w:val="000000"/>
                <w:sz w:val="18"/>
                <w:szCs w:val="20"/>
              </w:rPr>
            </w:pPr>
            <w:r w:rsidRPr="00797CA5">
              <w:rPr>
                <w:rFonts w:eastAsia="等线"/>
                <w:color w:val="000000"/>
                <w:sz w:val="18"/>
                <w:szCs w:val="20"/>
              </w:rPr>
              <w:t xml:space="preserve">40.06 </w:t>
            </w:r>
          </w:p>
        </w:tc>
        <w:tc>
          <w:tcPr>
            <w:tcW w:w="605" w:type="pct"/>
            <w:tcBorders>
              <w:top w:val="nil"/>
              <w:left w:val="nil"/>
              <w:bottom w:val="single" w:sz="12" w:space="0" w:color="auto"/>
              <w:right w:val="nil"/>
            </w:tcBorders>
            <w:shd w:val="clear" w:color="auto" w:fill="auto"/>
            <w:hideMark/>
          </w:tcPr>
          <w:p w14:paraId="3968A673" w14:textId="77777777" w:rsidR="004B1A79" w:rsidRPr="00797CA5" w:rsidRDefault="004B1A79" w:rsidP="004B1A79">
            <w:pPr>
              <w:jc w:val="center"/>
              <w:rPr>
                <w:rFonts w:eastAsia="等线"/>
                <w:color w:val="000000"/>
                <w:sz w:val="18"/>
                <w:szCs w:val="20"/>
              </w:rPr>
            </w:pPr>
            <w:r w:rsidRPr="00797CA5">
              <w:rPr>
                <w:rFonts w:eastAsia="等线"/>
                <w:color w:val="000000"/>
                <w:sz w:val="18"/>
                <w:szCs w:val="20"/>
              </w:rPr>
              <w:t xml:space="preserve">4.16 </w:t>
            </w:r>
          </w:p>
        </w:tc>
        <w:tc>
          <w:tcPr>
            <w:tcW w:w="1018" w:type="pct"/>
            <w:tcBorders>
              <w:top w:val="nil"/>
              <w:left w:val="nil"/>
              <w:bottom w:val="single" w:sz="12" w:space="0" w:color="auto"/>
              <w:right w:val="nil"/>
            </w:tcBorders>
            <w:shd w:val="clear" w:color="auto" w:fill="auto"/>
            <w:hideMark/>
          </w:tcPr>
          <w:p w14:paraId="7EC66CAE" w14:textId="77777777" w:rsidR="004B1A79" w:rsidRPr="00797CA5" w:rsidRDefault="004B1A79" w:rsidP="004B1A79">
            <w:pPr>
              <w:jc w:val="center"/>
              <w:rPr>
                <w:rFonts w:eastAsia="等线"/>
                <w:color w:val="000000"/>
                <w:sz w:val="18"/>
                <w:szCs w:val="20"/>
              </w:rPr>
            </w:pPr>
            <w:r w:rsidRPr="00797CA5">
              <w:rPr>
                <w:rFonts w:eastAsia="等线"/>
                <w:color w:val="000000"/>
                <w:sz w:val="18"/>
                <w:szCs w:val="20"/>
              </w:rPr>
              <w:t xml:space="preserve">1165.7 </w:t>
            </w:r>
          </w:p>
        </w:tc>
        <w:tc>
          <w:tcPr>
            <w:tcW w:w="1140" w:type="pct"/>
            <w:tcBorders>
              <w:top w:val="nil"/>
              <w:left w:val="nil"/>
              <w:bottom w:val="single" w:sz="12" w:space="0" w:color="auto"/>
              <w:right w:val="nil"/>
            </w:tcBorders>
            <w:shd w:val="clear" w:color="auto" w:fill="auto"/>
            <w:hideMark/>
          </w:tcPr>
          <w:p w14:paraId="1D44466D" w14:textId="41571E83" w:rsidR="004B1A79" w:rsidRPr="00797CA5" w:rsidRDefault="004B1A79" w:rsidP="004B1A79">
            <w:pPr>
              <w:jc w:val="center"/>
              <w:rPr>
                <w:rFonts w:eastAsia="等线"/>
                <w:color w:val="000000"/>
                <w:sz w:val="18"/>
                <w:szCs w:val="20"/>
              </w:rPr>
            </w:pPr>
          </w:p>
        </w:tc>
      </w:tr>
    </w:tbl>
    <w:p w14:paraId="78B70D97" w14:textId="1F56552B" w:rsidR="00C1232A" w:rsidRDefault="00C1232A">
      <w:pPr>
        <w:rPr>
          <w:lang w:eastAsia="zh-CN"/>
        </w:rPr>
      </w:pPr>
    </w:p>
    <w:p w14:paraId="4E0E256B" w14:textId="3BA7E510" w:rsidR="004E7FAF" w:rsidRPr="004E7FAF" w:rsidRDefault="004E7FAF" w:rsidP="002076F4">
      <w:pPr>
        <w:adjustRightInd w:val="0"/>
        <w:snapToGrid w:val="0"/>
        <w:jc w:val="both"/>
        <w:rPr>
          <w:b/>
          <w:lang w:eastAsia="zh-CN"/>
        </w:rPr>
      </w:pPr>
      <w:r w:rsidRPr="004E7FAF">
        <w:rPr>
          <w:b/>
          <w:lang w:eastAsia="zh-CN"/>
        </w:rPr>
        <w:t>Reference</w:t>
      </w:r>
    </w:p>
    <w:p w14:paraId="77853310" w14:textId="77777777" w:rsidR="003644B1" w:rsidRPr="003644B1" w:rsidRDefault="00FD7DCB" w:rsidP="002076F4">
      <w:pPr>
        <w:pStyle w:val="EndNoteBibliography"/>
        <w:adjustRightInd w:val="0"/>
        <w:snapToGrid w:val="0"/>
        <w:spacing w:beforeLines="50" w:before="156" w:afterLines="50" w:after="156"/>
        <w:jc w:val="both"/>
      </w:pPr>
      <w:r>
        <w:rPr>
          <w:lang w:eastAsia="zh-CN"/>
        </w:rPr>
        <w:fldChar w:fldCharType="begin"/>
      </w:r>
      <w:r>
        <w:rPr>
          <w:lang w:eastAsia="zh-CN"/>
        </w:rPr>
        <w:instrText xml:space="preserve"> ADDIN EN.REFLIST </w:instrText>
      </w:r>
      <w:r>
        <w:rPr>
          <w:lang w:eastAsia="zh-CN"/>
        </w:rPr>
        <w:fldChar w:fldCharType="separate"/>
      </w:r>
      <w:bookmarkStart w:id="2" w:name="_ENREF_1"/>
      <w:r w:rsidR="003644B1" w:rsidRPr="003644B1">
        <w:t xml:space="preserve">Eichten SR, Stuart T, Srivastava A, Lister R, and Borevitz JO DNA methylation profiles of diverse </w:t>
      </w:r>
      <w:r w:rsidR="003644B1" w:rsidRPr="003644B1">
        <w:rPr>
          <w:i/>
        </w:rPr>
        <w:t>Brachypodium distachyon</w:t>
      </w:r>
      <w:r w:rsidR="003644B1" w:rsidRPr="003644B1">
        <w:t xml:space="preserve"> aligns with underlying genetic diversity. Genome Res</w:t>
      </w:r>
      <w:r w:rsidR="003644B1" w:rsidRPr="003644B1">
        <w:rPr>
          <w:rFonts w:ascii="System" w:eastAsia="System"/>
        </w:rPr>
        <w:t>.</w:t>
      </w:r>
      <w:r w:rsidR="003644B1" w:rsidRPr="003644B1">
        <w:rPr>
          <w:i/>
        </w:rPr>
        <w:t xml:space="preserve"> </w:t>
      </w:r>
      <w:r w:rsidR="003644B1" w:rsidRPr="003644B1">
        <w:t>2016;26:1520-1531.</w:t>
      </w:r>
      <w:bookmarkStart w:id="3" w:name="_GoBack"/>
      <w:bookmarkEnd w:id="2"/>
      <w:bookmarkEnd w:id="3"/>
    </w:p>
    <w:p w14:paraId="63547FDB" w14:textId="77777777" w:rsidR="003644B1" w:rsidRPr="003644B1" w:rsidRDefault="003644B1" w:rsidP="002076F4">
      <w:pPr>
        <w:pStyle w:val="EndNoteBibliography"/>
        <w:adjustRightInd w:val="0"/>
        <w:snapToGrid w:val="0"/>
        <w:spacing w:beforeLines="50" w:before="156" w:afterLines="50" w:after="156"/>
        <w:jc w:val="both"/>
      </w:pPr>
      <w:bookmarkStart w:id="4" w:name="_ENREF_2"/>
      <w:r w:rsidRPr="003644B1">
        <w:t>Gent JI, Ellis NA, Guo L, Harkess A, Yao YY, Zhang XY, and Dawe RK CHH islands: de novo DNA methylation in near-gene chromatin regulation in maize. Genome Res</w:t>
      </w:r>
      <w:r w:rsidRPr="003644B1">
        <w:rPr>
          <w:rFonts w:ascii="System" w:eastAsia="System"/>
        </w:rPr>
        <w:t>.</w:t>
      </w:r>
      <w:r w:rsidRPr="003644B1">
        <w:rPr>
          <w:i/>
        </w:rPr>
        <w:t xml:space="preserve"> </w:t>
      </w:r>
      <w:r w:rsidRPr="003644B1">
        <w:t>2013;23:628-637.</w:t>
      </w:r>
      <w:bookmarkEnd w:id="4"/>
    </w:p>
    <w:p w14:paraId="01B32EC7" w14:textId="77777777" w:rsidR="003644B1" w:rsidRPr="003644B1" w:rsidRDefault="003644B1" w:rsidP="002076F4">
      <w:pPr>
        <w:pStyle w:val="EndNoteBibliography"/>
        <w:adjustRightInd w:val="0"/>
        <w:snapToGrid w:val="0"/>
        <w:spacing w:beforeLines="50" w:before="156" w:afterLines="50" w:after="156"/>
        <w:jc w:val="both"/>
      </w:pPr>
      <w:bookmarkStart w:id="5" w:name="_ENREF_3"/>
      <w:r w:rsidRPr="003644B1">
        <w:t>Hume S, Ding B, Simon SA, Feng S, Maria B, Matteo P, Wang GL, Meyers BC, and Jacobsen SE Plants regenerated from tissue culture contain stable epigenome changes in rice. Elife</w:t>
      </w:r>
      <w:r w:rsidRPr="003644B1">
        <w:rPr>
          <w:rFonts w:ascii="System" w:eastAsia="System"/>
        </w:rPr>
        <w:t>.</w:t>
      </w:r>
      <w:r w:rsidRPr="003644B1">
        <w:rPr>
          <w:i/>
        </w:rPr>
        <w:t xml:space="preserve"> </w:t>
      </w:r>
      <w:r w:rsidRPr="003644B1">
        <w:t>2013;2:e00354.</w:t>
      </w:r>
      <w:bookmarkEnd w:id="5"/>
    </w:p>
    <w:p w14:paraId="3961AD5B" w14:textId="77777777" w:rsidR="003644B1" w:rsidRPr="003644B1" w:rsidRDefault="003644B1" w:rsidP="002076F4">
      <w:pPr>
        <w:pStyle w:val="EndNoteBibliography"/>
        <w:adjustRightInd w:val="0"/>
        <w:snapToGrid w:val="0"/>
        <w:spacing w:beforeLines="50" w:before="156" w:afterLines="50" w:after="156"/>
        <w:jc w:val="both"/>
      </w:pPr>
      <w:bookmarkStart w:id="6" w:name="_ENREF_4"/>
      <w:r w:rsidRPr="003644B1">
        <w:t>Niederhuth CE, Bewick AJ, Ji L, Alabady MS, Kim KD, Li Q, Rohr NA, Rambani A, Burke JM, and Udall JA Widespread natural variation of DNA methylation within angiosperms. Genome Biol</w:t>
      </w:r>
      <w:r w:rsidRPr="003644B1">
        <w:rPr>
          <w:rFonts w:ascii="System" w:eastAsia="System"/>
        </w:rPr>
        <w:t>.</w:t>
      </w:r>
      <w:r w:rsidRPr="003644B1">
        <w:rPr>
          <w:i/>
        </w:rPr>
        <w:t xml:space="preserve"> </w:t>
      </w:r>
      <w:r w:rsidRPr="003644B1">
        <w:t>2016;17:194.</w:t>
      </w:r>
      <w:bookmarkEnd w:id="6"/>
    </w:p>
    <w:p w14:paraId="3B8A14AB" w14:textId="77777777" w:rsidR="003644B1" w:rsidRPr="003644B1" w:rsidRDefault="003644B1" w:rsidP="002076F4">
      <w:pPr>
        <w:pStyle w:val="EndNoteBibliography"/>
        <w:adjustRightInd w:val="0"/>
        <w:snapToGrid w:val="0"/>
        <w:spacing w:beforeLines="50" w:before="156" w:afterLines="50" w:after="156"/>
        <w:jc w:val="both"/>
      </w:pPr>
      <w:bookmarkStart w:id="7" w:name="_ENREF_5"/>
      <w:r w:rsidRPr="003644B1">
        <w:t>Schmitz R, He Y, Valdés-López O, Khan S, Joshi T, Urich M, Nery J, Diers B, Xu D, Stacey G, and Ecker J Epigenome-wide inheritance of cytosine methylation variants in a recombinant inbred population. Genome Res</w:t>
      </w:r>
      <w:r w:rsidRPr="003644B1">
        <w:rPr>
          <w:rFonts w:ascii="System" w:eastAsia="System"/>
        </w:rPr>
        <w:t>.</w:t>
      </w:r>
      <w:r w:rsidRPr="003644B1">
        <w:rPr>
          <w:i/>
        </w:rPr>
        <w:t xml:space="preserve"> </w:t>
      </w:r>
      <w:r w:rsidRPr="003644B1">
        <w:t>2013;23:1663-1674.</w:t>
      </w:r>
      <w:bookmarkEnd w:id="7"/>
    </w:p>
    <w:p w14:paraId="13F8F513" w14:textId="77777777" w:rsidR="003644B1" w:rsidRPr="003644B1" w:rsidRDefault="003644B1" w:rsidP="002076F4">
      <w:pPr>
        <w:pStyle w:val="EndNoteBibliography"/>
        <w:adjustRightInd w:val="0"/>
        <w:snapToGrid w:val="0"/>
        <w:spacing w:beforeLines="50" w:before="156" w:afterLines="50" w:after="156"/>
        <w:jc w:val="both"/>
      </w:pPr>
      <w:bookmarkStart w:id="8" w:name="_ENREF_6"/>
      <w:r w:rsidRPr="003644B1">
        <w:t>Schmitz RJ, Schultz MD, Lewsey MG, O’Malley RC, Urich MA, Libiger O, Schork NJ, and Ecker JR Transgenerational epigenetic instability is a source of novel methylation variants. Sci</w:t>
      </w:r>
      <w:r w:rsidRPr="003644B1">
        <w:rPr>
          <w:rFonts w:ascii="System" w:eastAsia="System"/>
        </w:rPr>
        <w:t>.</w:t>
      </w:r>
      <w:r w:rsidRPr="003644B1">
        <w:rPr>
          <w:i/>
        </w:rPr>
        <w:t xml:space="preserve"> </w:t>
      </w:r>
      <w:r w:rsidRPr="003644B1">
        <w:t>2011;334:369-373.</w:t>
      </w:r>
      <w:bookmarkEnd w:id="8"/>
    </w:p>
    <w:p w14:paraId="330B6A49" w14:textId="4B54EC45" w:rsidR="004E7FAF" w:rsidRDefault="00FD7DCB" w:rsidP="002076F4">
      <w:pPr>
        <w:adjustRightInd w:val="0"/>
        <w:snapToGrid w:val="0"/>
        <w:spacing w:beforeLines="50" w:before="156" w:afterLines="50" w:after="156"/>
        <w:jc w:val="both"/>
        <w:rPr>
          <w:rFonts w:hint="eastAsia"/>
          <w:lang w:eastAsia="zh-CN"/>
        </w:rPr>
      </w:pPr>
      <w:r>
        <w:rPr>
          <w:lang w:eastAsia="zh-CN"/>
        </w:rPr>
        <w:fldChar w:fldCharType="end"/>
      </w:r>
    </w:p>
    <w:sectPr w:rsidR="004E7FA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04E4E3" w14:textId="77777777" w:rsidR="00B40FC6" w:rsidRDefault="00B40FC6" w:rsidP="00304943">
      <w:r>
        <w:separator/>
      </w:r>
    </w:p>
  </w:endnote>
  <w:endnote w:type="continuationSeparator" w:id="0">
    <w:p w14:paraId="12EACFC3" w14:textId="77777777" w:rsidR="00B40FC6" w:rsidRDefault="00B40FC6" w:rsidP="00304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System">
    <w:altName w:val="微软雅黑"/>
    <w:panose1 w:val="00000000000000000000"/>
    <w:charset w:val="86"/>
    <w:family w:val="auto"/>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30F1ED" w14:textId="77777777" w:rsidR="00B40FC6" w:rsidRDefault="00B40FC6" w:rsidP="00304943">
      <w:r>
        <w:separator/>
      </w:r>
    </w:p>
  </w:footnote>
  <w:footnote w:type="continuationSeparator" w:id="0">
    <w:p w14:paraId="7F49FD9C" w14:textId="77777777" w:rsidR="00B40FC6" w:rsidRDefault="00B40FC6" w:rsidP="003049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Biotechnology for Biofuel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dpvpt2e9ma0ptcepxd9x2w5t2p25xr0dvd0t&quot;&gt;EndNote Library of DNA Methylome&lt;record-ids&gt;&lt;item&gt;70&lt;/item&gt;&lt;item&gt;76&lt;/item&gt;&lt;item&gt;179&lt;/item&gt;&lt;item&gt;181&lt;/item&gt;&lt;item&gt;226&lt;/item&gt;&lt;item&gt;227&lt;/item&gt;&lt;/record-ids&gt;&lt;/item&gt;&lt;/Libraries&gt;"/>
  </w:docVars>
  <w:rsids>
    <w:rsidRoot w:val="002217E8"/>
    <w:rsid w:val="00156711"/>
    <w:rsid w:val="002076F4"/>
    <w:rsid w:val="002217E8"/>
    <w:rsid w:val="00304943"/>
    <w:rsid w:val="003644B1"/>
    <w:rsid w:val="004B1A79"/>
    <w:rsid w:val="004E7FAF"/>
    <w:rsid w:val="0050475F"/>
    <w:rsid w:val="00557A99"/>
    <w:rsid w:val="00715000"/>
    <w:rsid w:val="00944832"/>
    <w:rsid w:val="00B10908"/>
    <w:rsid w:val="00B40FC6"/>
    <w:rsid w:val="00BC6487"/>
    <w:rsid w:val="00C1232A"/>
    <w:rsid w:val="00EB2498"/>
    <w:rsid w:val="00EE03A4"/>
    <w:rsid w:val="00FD7D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45D4FC"/>
  <w15:chartTrackingRefBased/>
  <w15:docId w15:val="{D193825D-A437-41D4-8093-5282DBB05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04943"/>
    <w:rPr>
      <w:rFonts w:ascii="Times New Roman" w:hAnsi="Times New Roman" w:cs="Times New Roman"/>
      <w:kern w:val="0"/>
      <w:sz w:val="24"/>
      <w:szCs w:val="24"/>
      <w:lang w:val="en-CA"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4943"/>
    <w:pPr>
      <w:widowControl w:val="0"/>
      <w:pBdr>
        <w:bottom w:val="single" w:sz="6" w:space="1" w:color="auto"/>
      </w:pBdr>
      <w:tabs>
        <w:tab w:val="center" w:pos="4153"/>
        <w:tab w:val="right" w:pos="8306"/>
      </w:tabs>
      <w:snapToGrid w:val="0"/>
      <w:jc w:val="center"/>
    </w:pPr>
    <w:rPr>
      <w:rFonts w:asciiTheme="minorHAnsi" w:hAnsiTheme="minorHAnsi" w:cstheme="minorBidi"/>
      <w:kern w:val="2"/>
      <w:sz w:val="18"/>
      <w:szCs w:val="18"/>
      <w:lang w:val="en-US" w:eastAsia="zh-CN"/>
    </w:rPr>
  </w:style>
  <w:style w:type="character" w:customStyle="1" w:styleId="a4">
    <w:name w:val="页眉 字符"/>
    <w:basedOn w:val="a0"/>
    <w:link w:val="a3"/>
    <w:uiPriority w:val="99"/>
    <w:rsid w:val="00304943"/>
    <w:rPr>
      <w:sz w:val="18"/>
      <w:szCs w:val="18"/>
    </w:rPr>
  </w:style>
  <w:style w:type="paragraph" w:styleId="a5">
    <w:name w:val="footer"/>
    <w:basedOn w:val="a"/>
    <w:link w:val="a6"/>
    <w:uiPriority w:val="99"/>
    <w:unhideWhenUsed/>
    <w:rsid w:val="00304943"/>
    <w:pPr>
      <w:widowControl w:val="0"/>
      <w:tabs>
        <w:tab w:val="center" w:pos="4153"/>
        <w:tab w:val="right" w:pos="8306"/>
      </w:tabs>
      <w:snapToGrid w:val="0"/>
    </w:pPr>
    <w:rPr>
      <w:rFonts w:asciiTheme="minorHAnsi" w:hAnsiTheme="minorHAnsi" w:cstheme="minorBidi"/>
      <w:kern w:val="2"/>
      <w:sz w:val="18"/>
      <w:szCs w:val="18"/>
      <w:lang w:val="en-US" w:eastAsia="zh-CN"/>
    </w:rPr>
  </w:style>
  <w:style w:type="character" w:customStyle="1" w:styleId="a6">
    <w:name w:val="页脚 字符"/>
    <w:basedOn w:val="a0"/>
    <w:link w:val="a5"/>
    <w:uiPriority w:val="99"/>
    <w:rsid w:val="00304943"/>
    <w:rPr>
      <w:sz w:val="18"/>
      <w:szCs w:val="18"/>
    </w:rPr>
  </w:style>
  <w:style w:type="paragraph" w:customStyle="1" w:styleId="EndNoteBibliographyTitle">
    <w:name w:val="EndNote Bibliography Title"/>
    <w:basedOn w:val="a"/>
    <w:link w:val="EndNoteBibliographyTitle0"/>
    <w:rsid w:val="00FD7DCB"/>
    <w:pPr>
      <w:jc w:val="center"/>
    </w:pPr>
    <w:rPr>
      <w:noProof/>
      <w:lang w:val="en-US"/>
    </w:rPr>
  </w:style>
  <w:style w:type="character" w:customStyle="1" w:styleId="EndNoteBibliographyTitle0">
    <w:name w:val="EndNote Bibliography Title 字符"/>
    <w:basedOn w:val="a0"/>
    <w:link w:val="EndNoteBibliographyTitle"/>
    <w:rsid w:val="00FD7DCB"/>
    <w:rPr>
      <w:rFonts w:ascii="Times New Roman" w:hAnsi="Times New Roman" w:cs="Times New Roman"/>
      <w:noProof/>
      <w:kern w:val="0"/>
      <w:sz w:val="24"/>
      <w:szCs w:val="24"/>
      <w:lang w:eastAsia="en-US"/>
    </w:rPr>
  </w:style>
  <w:style w:type="paragraph" w:customStyle="1" w:styleId="EndNoteBibliography">
    <w:name w:val="EndNote Bibliography"/>
    <w:basedOn w:val="a"/>
    <w:link w:val="EndNoteBibliography0"/>
    <w:rsid w:val="00FD7DCB"/>
    <w:rPr>
      <w:noProof/>
      <w:lang w:val="en-US"/>
    </w:rPr>
  </w:style>
  <w:style w:type="character" w:customStyle="1" w:styleId="EndNoteBibliography0">
    <w:name w:val="EndNote Bibliography 字符"/>
    <w:basedOn w:val="a0"/>
    <w:link w:val="EndNoteBibliography"/>
    <w:rsid w:val="00FD7DCB"/>
    <w:rPr>
      <w:rFonts w:ascii="Times New Roman" w:hAnsi="Times New Roman" w:cs="Times New Roman"/>
      <w:noProof/>
      <w:kern w:val="0"/>
      <w:sz w:val="24"/>
      <w:szCs w:val="24"/>
      <w:lang w:eastAsia="en-US"/>
    </w:rPr>
  </w:style>
  <w:style w:type="character" w:styleId="a7">
    <w:name w:val="Hyperlink"/>
    <w:basedOn w:val="a0"/>
    <w:uiPriority w:val="99"/>
    <w:unhideWhenUsed/>
    <w:rsid w:val="00FD7DCB"/>
    <w:rPr>
      <w:color w:val="0563C1" w:themeColor="hyperlink"/>
      <w:u w:val="single"/>
    </w:rPr>
  </w:style>
  <w:style w:type="character" w:styleId="a8">
    <w:name w:val="Unresolved Mention"/>
    <w:basedOn w:val="a0"/>
    <w:uiPriority w:val="99"/>
    <w:semiHidden/>
    <w:unhideWhenUsed/>
    <w:rsid w:val="00FD7DC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1561</Words>
  <Characters>8901</Characters>
  <Application>Microsoft Office Word</Application>
  <DocSecurity>0</DocSecurity>
  <Lines>74</Lines>
  <Paragraphs>20</Paragraphs>
  <ScaleCrop>false</ScaleCrop>
  <Company/>
  <LinksUpToDate>false</LinksUpToDate>
  <CharactersWithSpaces>10442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Haidong Yan</dc:creator>
  <cp:keywords/>
  <dc:description/>
  <cp:lastModifiedBy>Haidong Yan</cp:lastModifiedBy>
  <cp:revision>11</cp:revision>
  <dcterms:created xsi:type="dcterms:W3CDTF">2018-04-29T16:49:00Z</dcterms:created>
  <dcterms:modified xsi:type="dcterms:W3CDTF">2018-04-29T18:07:00Z</dcterms:modified>
</cp:coreProperties>
</file>