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D88" w:rsidRDefault="00A17C30" w:rsidP="006A4B31">
      <w:r w:rsidRPr="00A143FA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 xml:space="preserve">Additional file </w:t>
      </w:r>
      <w:r w:rsidR="006A4B31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>2</w:t>
      </w:r>
      <w:r w:rsidR="006A4B31" w:rsidRPr="003E4E10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6A4B31">
        <w:t xml:space="preserve"> </w:t>
      </w:r>
    </w:p>
    <w:p w:rsidR="00A17C30" w:rsidRDefault="00996C8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5C4A61" wp14:editId="5D9E4BF8">
                <wp:simplePos x="0" y="0"/>
                <wp:positionH relativeFrom="column">
                  <wp:posOffset>3570605</wp:posOffset>
                </wp:positionH>
                <wp:positionV relativeFrom="paragraph">
                  <wp:posOffset>127635</wp:posOffset>
                </wp:positionV>
                <wp:extent cx="2540" cy="195580"/>
                <wp:effectExtent l="95250" t="0" r="73660" b="52070"/>
                <wp:wrapNone/>
                <wp:docPr id="2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1955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shapetype w14:anchorId="18D7D7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1.15pt;margin-top:10.05pt;width:.2pt;height:1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GV5wEAADIEAAAOAAAAZHJzL2Uyb0RvYy54bWysU9uO0zAQfUfiHyy/06QVRUvUdIW6LC8I&#10;KhY+wOvYjSXbY41Nk/49Y6dNuWmlRbw4GXvOnDnH483t6Cw7KowGfMuXi5oz5SV0xh9a/u3r/asb&#10;zmISvhMWvGr5SUV+u335YjOERq2gB9spZFTEx2YILe9TCk1VRdkrJ+ICgvJ0qAGdSBTioepQDFTd&#10;2WpV12+qAbALCFLFSLt30yHflvpaK5k+ax1VYrbl1FsqK5b1Ma/VdiOaA4rQG3luQ/xDF04YT6Rz&#10;qTuRBPuO5o9SzkiECDotJLgKtDZSFQ2kZln/puahF0EVLWRODLNN8f+VlZ+Oe2Sma/mKMy8cXdFD&#10;QmEOfWLvEGFgO/CebARky+zWEGJDoJ3f4zmKYY9Z+qjR5S+JYmNx+DQ7rMbEJG2u1q/pFiQdLN+u&#10;1zfF/+oKDRjTBwWO5Z+Wx3MncwvL4rE4foyJyAl4AWRe6/MawZru3lhbgjxGameRHQUNQBqLBML9&#10;kpWEse99x9IpkHyRVWellJZLVlnxpLH8pZNVE90Xpck5UjW1VWb2SiakVD5dCK2n7AzT1NoMrIue&#10;J4Hn/AxVZZ6fA54RhRl8msHOeMC/sV890lP+xYFJd7bgEbpTuf1iDQ1m8er8iPLk/xwX+PWpb38A&#10;AAD//wMAUEsDBBQABgAIAAAAIQCtCCcF4QAAAA4BAAAPAAAAZHJzL2Rvd25yZXYueG1sTE87T8Mw&#10;EN6R+A/WIbFRu0EUSONUCMTQgaEF0XZz7GsSEZ+j2E3Dv+eYYDnd47vvUawm34kRh9gG0jCfKRBI&#10;NriWag0f7683DyBiMuRMFwg1fGOEVXl5UZjchTNtcNymWjAJxdxoaFLqcymjbdCbOAs9Et+OYfAm&#10;8TjU0g3mzOS+k5lSC+lNS6zQmB6fG7Rf25PX8LZb95+22hzcflqP6mDscaSo9fXV9LLk8rQEkXBK&#10;fx/wm4H9Q8nGqnAiF0Wn4W6R3TJUQ6bmIBjAi3sQFTfqEWRZyP8xyh8AAAD//wMAUEsBAi0AFAAG&#10;AAgAAAAhALaDOJL+AAAA4QEAABMAAAAAAAAAAAAAAAAAAAAAAFtDb250ZW50X1R5cGVzXS54bWxQ&#10;SwECLQAUAAYACAAAACEAOP0h/9YAAACUAQAACwAAAAAAAAAAAAAAAAAvAQAAX3JlbHMvLnJlbHNQ&#10;SwECLQAUAAYACAAAACEAo1yxlecBAAAyBAAADgAAAAAAAAAAAAAAAAAuAgAAZHJzL2Uyb0RvYy54&#10;bWxQSwECLQAUAAYACAAAACEArQgnBeEAAAAOAQAADwAAAAAAAAAAAAAAAABBBAAAZHJzL2Rvd25y&#10;ZXYueG1sUEsFBgAAAAAEAAQA8wAAAE8FAAAAAA==&#10;" strokecolor="black [3213]">
                <v:stroke endarrow="open"/>
              </v:shape>
            </w:pict>
          </mc:Fallback>
        </mc:AlternateContent>
      </w:r>
      <w:r w:rsidR="00A17C30" w:rsidRPr="00996C8B">
        <w:rPr>
          <w:noProof/>
          <w:color w:val="403152" w:themeColor="accent4" w:themeShade="80"/>
        </w:rPr>
        <w:drawing>
          <wp:anchor distT="0" distB="0" distL="114300" distR="114300" simplePos="0" relativeHeight="251658240" behindDoc="1" locked="0" layoutInCell="1" allowOverlap="1" wp14:anchorId="1CD5560B" wp14:editId="3F529B85">
            <wp:simplePos x="0" y="0"/>
            <wp:positionH relativeFrom="column">
              <wp:posOffset>1043931</wp:posOffset>
            </wp:positionH>
            <wp:positionV relativeFrom="paragraph">
              <wp:posOffset>60325</wp:posOffset>
            </wp:positionV>
            <wp:extent cx="3023870" cy="1918970"/>
            <wp:effectExtent l="0" t="0" r="5080" b="5080"/>
            <wp:wrapNone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C30" w:rsidRDefault="00A17C30"/>
    <w:p w:rsidR="00A17C30" w:rsidRDefault="00A17C30"/>
    <w:p w:rsidR="00A17C30" w:rsidRDefault="00A17C30"/>
    <w:p w:rsidR="00A17C30" w:rsidRDefault="00A17C30"/>
    <w:p w:rsidR="00A17C30" w:rsidRDefault="00A17C30"/>
    <w:p w:rsidR="00A17C30" w:rsidRDefault="00A17C30"/>
    <w:p w:rsidR="00A17C30" w:rsidRDefault="00A17C30" w:rsidP="00725194">
      <w:pPr>
        <w:jc w:val="both"/>
        <w:rPr>
          <w:rFonts w:asciiTheme="majorBidi" w:hAnsiTheme="majorBidi" w:cstheme="majorBidi"/>
          <w:sz w:val="24"/>
          <w:szCs w:val="24"/>
        </w:rPr>
      </w:pPr>
      <w:r w:rsidRPr="00094F36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 w:rsidR="00725194" w:rsidRPr="00094F36">
        <w:rPr>
          <w:rFonts w:asciiTheme="majorBidi" w:hAnsiTheme="majorBidi" w:cstheme="majorBidi"/>
          <w:b/>
          <w:bCs/>
          <w:sz w:val="24"/>
          <w:szCs w:val="24"/>
        </w:rPr>
        <w:t>S2</w:t>
      </w:r>
      <w:r w:rsidRPr="00094F36">
        <w:rPr>
          <w:rFonts w:asciiTheme="majorBidi" w:hAnsiTheme="majorBidi" w:cstheme="majorBidi"/>
          <w:b/>
          <w:bCs/>
          <w:sz w:val="24"/>
          <w:szCs w:val="24"/>
        </w:rPr>
        <w:t xml:space="preserve">. Secreted cellulolytic activity of </w:t>
      </w:r>
      <w:r w:rsidR="00D17913" w:rsidRPr="00094F36">
        <w:rPr>
          <w:rFonts w:asciiTheme="majorBidi" w:hAnsiTheme="majorBidi" w:cstheme="majorBidi"/>
          <w:b/>
          <w:bCs/>
          <w:i/>
          <w:iCs/>
          <w:sz w:val="24"/>
          <w:szCs w:val="24"/>
        </w:rPr>
        <w:t>cre1</w:t>
      </w:r>
      <w:r w:rsidR="00D17913" w:rsidRPr="00094F36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094F36">
        <w:rPr>
          <w:rFonts w:asciiTheme="majorBidi" w:hAnsiTheme="majorBidi" w:cstheme="majorBidi"/>
          <w:b/>
          <w:bCs/>
          <w:sz w:val="24"/>
          <w:szCs w:val="24"/>
        </w:rPr>
        <w:t xml:space="preserve">overexpressing or </w:t>
      </w:r>
      <w:r w:rsidR="00D17913" w:rsidRPr="00094F36">
        <w:rPr>
          <w:rFonts w:asciiTheme="majorBidi" w:hAnsiTheme="majorBidi" w:cstheme="majorBidi"/>
          <w:b/>
          <w:bCs/>
          <w:i/>
          <w:iCs/>
          <w:sz w:val="24"/>
          <w:szCs w:val="24"/>
        </w:rPr>
        <w:t>cre1</w:t>
      </w:r>
      <w:r w:rsidR="00D17913" w:rsidRPr="00094F36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094F36">
        <w:rPr>
          <w:rFonts w:asciiTheme="majorBidi" w:hAnsiTheme="majorBidi" w:cstheme="majorBidi"/>
          <w:b/>
          <w:bCs/>
          <w:sz w:val="24"/>
          <w:szCs w:val="24"/>
        </w:rPr>
        <w:t xml:space="preserve">knockout </w:t>
      </w:r>
      <w:bookmarkStart w:id="0" w:name="_GoBack"/>
      <w:proofErr w:type="spellStart"/>
      <w:r w:rsidR="00094F36" w:rsidRPr="00094F36">
        <w:rPr>
          <w:rFonts w:asciiTheme="majorBidi" w:hAnsiTheme="majorBidi" w:cstheme="majorBidi"/>
          <w:b/>
          <w:bCs/>
          <w:sz w:val="24"/>
          <w:szCs w:val="24"/>
        </w:rPr>
        <w:t>transformants</w:t>
      </w:r>
      <w:bookmarkEnd w:id="0"/>
      <w:proofErr w:type="spellEnd"/>
      <w:r w:rsidRPr="00094F36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094F36">
        <w:rPr>
          <w:rFonts w:asciiTheme="majorBidi" w:hAnsiTheme="majorBidi" w:cstheme="majorBidi"/>
          <w:sz w:val="24"/>
          <w:szCs w:val="24"/>
        </w:rPr>
        <w:t xml:space="preserve"> </w:t>
      </w:r>
      <w:r w:rsidRPr="00094F36">
        <w:rPr>
          <w:rFonts w:asciiTheme="majorBidi" w:hAnsiTheme="majorBidi" w:cstheme="majorBidi"/>
          <w:i/>
          <w:iCs/>
          <w:sz w:val="24"/>
          <w:szCs w:val="24"/>
        </w:rPr>
        <w:t>Pleurotus ostreatus</w:t>
      </w:r>
      <w:r w:rsidRPr="00094F36">
        <w:rPr>
          <w:rFonts w:asciiTheme="majorBidi" w:hAnsiTheme="majorBidi" w:cstheme="majorBidi"/>
          <w:sz w:val="24"/>
          <w:szCs w:val="24"/>
        </w:rPr>
        <w:t xml:space="preserve"> PC9 was genetically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manipulated </w:t>
      </w:r>
      <w:r w:rsidRPr="00094F36">
        <w:rPr>
          <w:rFonts w:asciiTheme="majorBidi" w:hAnsiTheme="majorBidi" w:cstheme="majorBidi"/>
          <w:sz w:val="24"/>
          <w:szCs w:val="24"/>
        </w:rPr>
        <w:t xml:space="preserve">to either overexpress or </w:t>
      </w:r>
      <w:r w:rsidR="009932E6" w:rsidRPr="00094F36">
        <w:rPr>
          <w:rFonts w:asciiTheme="majorBidi" w:hAnsiTheme="majorBidi" w:cstheme="majorBidi"/>
          <w:sz w:val="24"/>
          <w:szCs w:val="24"/>
        </w:rPr>
        <w:t xml:space="preserve">knock out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the </w:t>
      </w:r>
      <w:r w:rsidRPr="00094F36">
        <w:rPr>
          <w:rFonts w:asciiTheme="majorBidi" w:hAnsiTheme="majorBidi" w:cstheme="majorBidi"/>
          <w:i/>
          <w:iCs/>
          <w:sz w:val="24"/>
          <w:szCs w:val="24"/>
        </w:rPr>
        <w:t>cre1</w:t>
      </w:r>
      <w:r w:rsidRPr="00094F36">
        <w:rPr>
          <w:rFonts w:asciiTheme="majorBidi" w:hAnsiTheme="majorBidi" w:cstheme="majorBidi"/>
          <w:sz w:val="24"/>
          <w:szCs w:val="24"/>
        </w:rPr>
        <w:t xml:space="preserve"> gene. The </w:t>
      </w:r>
      <w:r w:rsidR="00094F36" w:rsidRPr="00094F36">
        <w:rPr>
          <w:rFonts w:asciiTheme="majorBidi" w:hAnsiTheme="majorBidi" w:cstheme="majorBidi"/>
          <w:sz w:val="24"/>
          <w:szCs w:val="24"/>
        </w:rPr>
        <w:t>fungi</w:t>
      </w:r>
      <w:r w:rsidR="00094F36" w:rsidRPr="00BF5591"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were grown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on mini</w:t>
      </w:r>
      <w:r w:rsidR="00500F57">
        <w:rPr>
          <w:rFonts w:asciiTheme="majorBidi" w:hAnsiTheme="majorBidi" w:cstheme="majorBidi"/>
          <w:sz w:val="24"/>
          <w:szCs w:val="24"/>
        </w:rPr>
        <w:t xml:space="preserve">mal </w:t>
      </w:r>
      <w:r w:rsidR="00D17913">
        <w:rPr>
          <w:rFonts w:asciiTheme="majorBidi" w:hAnsiTheme="majorBidi" w:cstheme="majorBidi"/>
          <w:sz w:val="24"/>
          <w:szCs w:val="24"/>
        </w:rPr>
        <w:t xml:space="preserve">medium, </w:t>
      </w:r>
      <w:r w:rsidR="00500F57">
        <w:rPr>
          <w:rFonts w:asciiTheme="majorBidi" w:hAnsiTheme="majorBidi" w:cstheme="majorBidi"/>
          <w:sz w:val="24"/>
          <w:szCs w:val="24"/>
        </w:rPr>
        <w:t>containing 2% MCC</w:t>
      </w:r>
      <w:r w:rsidR="00D17913">
        <w:rPr>
          <w:rFonts w:asciiTheme="majorBidi" w:hAnsiTheme="majorBidi" w:cstheme="majorBidi"/>
          <w:sz w:val="24"/>
          <w:szCs w:val="24"/>
        </w:rPr>
        <w:t>,</w:t>
      </w:r>
      <w:r w:rsidR="00500F57">
        <w:rPr>
          <w:rFonts w:asciiTheme="majorBidi" w:hAnsiTheme="majorBidi" w:cstheme="majorBidi"/>
          <w:sz w:val="24"/>
          <w:szCs w:val="24"/>
        </w:rPr>
        <w:t xml:space="preserve"> for 7 days. Secreted cellulolytic activity was measured by applying the supernatant</w:t>
      </w:r>
      <w:r w:rsidR="00D17913">
        <w:rPr>
          <w:rFonts w:asciiTheme="majorBidi" w:hAnsiTheme="majorBidi" w:cstheme="majorBidi"/>
          <w:sz w:val="24"/>
          <w:szCs w:val="24"/>
        </w:rPr>
        <w:t xml:space="preserve"> fluids</w:t>
      </w:r>
      <w:r w:rsidR="00500F57">
        <w:rPr>
          <w:rFonts w:asciiTheme="majorBidi" w:hAnsiTheme="majorBidi" w:cstheme="majorBidi"/>
          <w:sz w:val="24"/>
          <w:szCs w:val="24"/>
        </w:rPr>
        <w:t xml:space="preserve"> on phosphoric acid swollen cellulose and measuring the released soluble reducing sugars by</w:t>
      </w:r>
      <w:r w:rsidR="00D17913">
        <w:rPr>
          <w:rFonts w:asciiTheme="majorBidi" w:hAnsiTheme="majorBidi" w:cstheme="majorBidi"/>
          <w:sz w:val="24"/>
          <w:szCs w:val="24"/>
        </w:rPr>
        <w:t xml:space="preserve"> the</w:t>
      </w:r>
      <w:r w:rsidR="00500F57">
        <w:rPr>
          <w:rFonts w:asciiTheme="majorBidi" w:hAnsiTheme="majorBidi" w:cstheme="majorBidi"/>
          <w:sz w:val="24"/>
          <w:szCs w:val="24"/>
        </w:rPr>
        <w:t xml:space="preserve"> DNS method </w:t>
      </w:r>
      <w:r w:rsidR="00500F57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996C8B">
        <w:rPr>
          <w:rFonts w:asciiTheme="majorBidi" w:hAnsiTheme="majorBidi" w:cstheme="majorBidi"/>
          <w:sz w:val="24"/>
          <w:szCs w:val="24"/>
        </w:rPr>
        <w:instrText>ADDIN CSL_CITATION { "citationItems" : [ { "id" : "ITEM-1", "itemData" : { "author" : [ { "dropping-particle" : "", "family" : "Miller", "given" : "Gail L", "non-dropping-particle" : "", "parse-names" : false, "suffix" : "" } ], "container-title" : "Anal. Biochem.", "id" : "ITEM-1", "issued" : { "date-parts" : [ [ "1959" ] ] }, "page" : "426-428", "title" : "Use of dinitrosalicylic acid reagent for determination of reducing sugar", "type" : "article-journal", "volume" : "31" }, "uris" : [ "http://www.mendeley.com/documents/?uuid=23f60a95-9b39-4cbe-81d1-e15cc3991b19" ] } ], "mendeley" : { "formattedCitation" : "[1]", "plainTextFormattedCitation" : "[1]", "previouslyFormattedCitation" : "[1]" }, "properties" : {  }, "schema" : "https://github.com/citation-style-language/schema/raw/master/csl-citation.json" }</w:instrText>
      </w:r>
      <w:r w:rsidR="00500F57">
        <w:rPr>
          <w:rFonts w:asciiTheme="majorBidi" w:hAnsiTheme="majorBidi" w:cstheme="majorBidi"/>
          <w:sz w:val="24"/>
          <w:szCs w:val="24"/>
        </w:rPr>
        <w:fldChar w:fldCharType="separate"/>
      </w:r>
      <w:r w:rsidR="00996C8B" w:rsidRPr="00996C8B">
        <w:rPr>
          <w:rFonts w:asciiTheme="majorBidi" w:hAnsiTheme="majorBidi" w:cstheme="majorBidi"/>
          <w:noProof/>
          <w:sz w:val="24"/>
          <w:szCs w:val="24"/>
        </w:rPr>
        <w:t>[1]</w:t>
      </w:r>
      <w:r w:rsidR="00500F57">
        <w:rPr>
          <w:rFonts w:asciiTheme="majorBidi" w:hAnsiTheme="majorBidi" w:cstheme="majorBidi"/>
          <w:sz w:val="24"/>
          <w:szCs w:val="24"/>
        </w:rPr>
        <w:fldChar w:fldCharType="end"/>
      </w:r>
      <w:r w:rsidR="00500F57">
        <w:rPr>
          <w:rFonts w:asciiTheme="majorBidi" w:hAnsiTheme="majorBidi" w:cstheme="majorBidi"/>
          <w:sz w:val="24"/>
          <w:szCs w:val="24"/>
        </w:rPr>
        <w:t>.</w:t>
      </w:r>
      <w:r w:rsidR="00996C8B">
        <w:rPr>
          <w:rFonts w:asciiTheme="majorBidi" w:hAnsiTheme="majorBidi" w:cstheme="majorBidi"/>
          <w:sz w:val="24"/>
          <w:szCs w:val="24"/>
        </w:rPr>
        <w:t xml:space="preserve"> The </w:t>
      </w:r>
      <w:r w:rsidR="00D17913" w:rsidRPr="003810EF">
        <w:rPr>
          <w:rFonts w:asciiTheme="majorBidi" w:hAnsiTheme="majorBidi" w:cstheme="majorBidi"/>
          <w:i/>
          <w:iCs/>
          <w:sz w:val="24"/>
          <w:szCs w:val="24"/>
        </w:rPr>
        <w:t>cre1</w:t>
      </w:r>
      <w:r w:rsidR="00D17913">
        <w:rPr>
          <w:rFonts w:asciiTheme="majorBidi" w:hAnsiTheme="majorBidi" w:cstheme="majorBidi"/>
          <w:sz w:val="24"/>
          <w:szCs w:val="24"/>
        </w:rPr>
        <w:t>-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overexpressing </w:t>
      </w:r>
      <w:proofErr w:type="spellStart"/>
      <w:r w:rsidR="00094F36" w:rsidRPr="00094F36">
        <w:rPr>
          <w:rFonts w:asciiTheme="majorBidi" w:hAnsiTheme="majorBidi" w:cstheme="majorBidi"/>
          <w:sz w:val="24"/>
          <w:szCs w:val="24"/>
        </w:rPr>
        <w:t>transformant</w:t>
      </w:r>
      <w:proofErr w:type="spellEnd"/>
      <w:r w:rsidR="00094F36" w:rsidRPr="00094F36">
        <w:rPr>
          <w:rFonts w:asciiTheme="majorBidi" w:hAnsiTheme="majorBidi" w:cstheme="majorBidi"/>
          <w:sz w:val="24"/>
          <w:szCs w:val="24"/>
        </w:rPr>
        <w:t xml:space="preserve"> 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OE7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exhibited 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the lowest secreted cellulolytic activity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and 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was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thus </w:t>
      </w:r>
      <w:r w:rsidR="00996C8B" w:rsidRPr="00094F36">
        <w:rPr>
          <w:rFonts w:asciiTheme="majorBidi" w:hAnsiTheme="majorBidi" w:cstheme="majorBidi"/>
          <w:sz w:val="24"/>
          <w:szCs w:val="24"/>
        </w:rPr>
        <w:t>selected for further analysis (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termed </w:t>
      </w:r>
      <w:r w:rsidR="00996C8B" w:rsidRPr="00094F36">
        <w:rPr>
          <w:rFonts w:asciiTheme="majorBidi" w:hAnsiTheme="majorBidi" w:cstheme="majorBidi"/>
          <w:sz w:val="24"/>
          <w:szCs w:val="24"/>
        </w:rPr>
        <w:t>herein OE</w:t>
      </w:r>
      <w:r w:rsidR="00996C8B" w:rsidRPr="00094F36">
        <w:rPr>
          <w:rFonts w:asciiTheme="majorBidi" w:hAnsiTheme="majorBidi" w:cstheme="majorBidi"/>
          <w:i/>
          <w:iCs/>
          <w:sz w:val="24"/>
          <w:szCs w:val="24"/>
        </w:rPr>
        <w:t>cre1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; red bar marked 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with black arrow). The </w:t>
      </w:r>
      <w:r w:rsidR="00D17913" w:rsidRPr="00094F36">
        <w:rPr>
          <w:rFonts w:asciiTheme="majorBidi" w:hAnsiTheme="majorBidi" w:cstheme="majorBidi"/>
          <w:i/>
          <w:iCs/>
          <w:sz w:val="24"/>
          <w:szCs w:val="24"/>
        </w:rPr>
        <w:t>cre1</w:t>
      </w:r>
      <w:r w:rsidR="00D17913" w:rsidRPr="00094F36">
        <w:rPr>
          <w:rFonts w:asciiTheme="majorBidi" w:hAnsiTheme="majorBidi" w:cstheme="majorBidi"/>
          <w:sz w:val="24"/>
          <w:szCs w:val="24"/>
        </w:rPr>
        <w:t>-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knockout </w:t>
      </w:r>
      <w:proofErr w:type="spellStart"/>
      <w:r w:rsidR="00094F36" w:rsidRPr="00094F36">
        <w:rPr>
          <w:rFonts w:asciiTheme="majorBidi" w:hAnsiTheme="majorBidi" w:cstheme="majorBidi"/>
          <w:sz w:val="24"/>
          <w:szCs w:val="24"/>
        </w:rPr>
        <w:t>transformant</w:t>
      </w:r>
      <w:proofErr w:type="spellEnd"/>
      <w:r w:rsidR="00094F36" w:rsidRPr="00094F36">
        <w:rPr>
          <w:rFonts w:asciiTheme="majorBidi" w:hAnsiTheme="majorBidi" w:cstheme="majorBidi"/>
          <w:sz w:val="24"/>
          <w:szCs w:val="24"/>
        </w:rPr>
        <w:t xml:space="preserve">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showed </w:t>
      </w:r>
      <w:r w:rsidR="00996C8B" w:rsidRPr="00094F36">
        <w:rPr>
          <w:rFonts w:asciiTheme="majorBidi" w:hAnsiTheme="majorBidi" w:cstheme="majorBidi"/>
          <w:sz w:val="24"/>
          <w:szCs w:val="24"/>
        </w:rPr>
        <w:t xml:space="preserve">the highest secreted cellulolytic activity </w:t>
      </w:r>
      <w:r w:rsidR="00D17913" w:rsidRPr="00094F36">
        <w:rPr>
          <w:rFonts w:asciiTheme="majorBidi" w:hAnsiTheme="majorBidi" w:cstheme="majorBidi"/>
          <w:sz w:val="24"/>
          <w:szCs w:val="24"/>
        </w:rPr>
        <w:t xml:space="preserve">and was </w:t>
      </w:r>
      <w:r w:rsidR="00996C8B" w:rsidRPr="00094F36">
        <w:rPr>
          <w:rFonts w:asciiTheme="majorBidi" w:hAnsiTheme="majorBidi" w:cstheme="majorBidi"/>
          <w:sz w:val="24"/>
          <w:szCs w:val="24"/>
        </w:rPr>
        <w:t>thus selected for further</w:t>
      </w:r>
      <w:r w:rsidR="00996C8B">
        <w:rPr>
          <w:rFonts w:asciiTheme="majorBidi" w:hAnsiTheme="majorBidi" w:cstheme="majorBidi"/>
          <w:sz w:val="24"/>
          <w:szCs w:val="24"/>
        </w:rPr>
        <w:t xml:space="preserve"> analysis (</w:t>
      </w:r>
      <w:r w:rsidR="00D17913">
        <w:rPr>
          <w:rFonts w:asciiTheme="majorBidi" w:hAnsiTheme="majorBidi" w:cstheme="majorBidi"/>
          <w:sz w:val="24"/>
          <w:szCs w:val="24"/>
        </w:rPr>
        <w:t xml:space="preserve">termed </w:t>
      </w:r>
      <w:r w:rsidR="00996C8B">
        <w:rPr>
          <w:rFonts w:asciiTheme="majorBidi" w:hAnsiTheme="majorBidi" w:cstheme="majorBidi"/>
          <w:sz w:val="24"/>
          <w:szCs w:val="24"/>
        </w:rPr>
        <w:t>herein KO</w:t>
      </w:r>
      <w:r w:rsidR="00996C8B" w:rsidRPr="00996C8B">
        <w:rPr>
          <w:rFonts w:asciiTheme="majorBidi" w:hAnsiTheme="majorBidi" w:cstheme="majorBidi"/>
          <w:i/>
          <w:iCs/>
          <w:sz w:val="24"/>
          <w:szCs w:val="24"/>
        </w:rPr>
        <w:t>cre1</w:t>
      </w:r>
      <w:r w:rsidR="00D17913">
        <w:rPr>
          <w:rFonts w:asciiTheme="majorBidi" w:hAnsiTheme="majorBidi" w:cstheme="majorBidi"/>
          <w:sz w:val="24"/>
          <w:szCs w:val="24"/>
        </w:rPr>
        <w:t xml:space="preserve">; green bar marked </w:t>
      </w:r>
      <w:r w:rsidR="00996C8B">
        <w:rPr>
          <w:rFonts w:asciiTheme="majorBidi" w:hAnsiTheme="majorBidi" w:cstheme="majorBidi"/>
          <w:sz w:val="24"/>
          <w:szCs w:val="24"/>
        </w:rPr>
        <w:t>with black arrow)</w:t>
      </w:r>
      <w:r w:rsidR="00585A5F">
        <w:rPr>
          <w:rFonts w:asciiTheme="majorBidi" w:hAnsiTheme="majorBidi" w:cstheme="majorBidi"/>
          <w:sz w:val="24"/>
          <w:szCs w:val="24"/>
        </w:rPr>
        <w:t>.</w:t>
      </w:r>
      <w:r w:rsidR="00996C8B">
        <w:rPr>
          <w:rFonts w:asciiTheme="majorBidi" w:hAnsiTheme="majorBidi" w:cstheme="majorBidi"/>
          <w:sz w:val="24"/>
          <w:szCs w:val="24"/>
        </w:rPr>
        <w:t xml:space="preserve">   </w:t>
      </w:r>
    </w:p>
    <w:p w:rsidR="00996C8B" w:rsidRDefault="00996C8B" w:rsidP="00500F57">
      <w:pPr>
        <w:rPr>
          <w:rFonts w:asciiTheme="majorBidi" w:hAnsiTheme="majorBidi" w:cstheme="majorBidi"/>
          <w:sz w:val="24"/>
          <w:szCs w:val="24"/>
        </w:rPr>
      </w:pPr>
    </w:p>
    <w:p w:rsidR="00996C8B" w:rsidRDefault="00996C8B" w:rsidP="00500F57">
      <w:pPr>
        <w:rPr>
          <w:rFonts w:asciiTheme="majorBidi" w:hAnsiTheme="majorBidi" w:cstheme="majorBidi"/>
          <w:sz w:val="24"/>
          <w:szCs w:val="24"/>
        </w:rPr>
      </w:pPr>
    </w:p>
    <w:p w:rsidR="00996C8B" w:rsidRDefault="00996C8B" w:rsidP="00500F57">
      <w:pPr>
        <w:rPr>
          <w:rFonts w:asciiTheme="majorBidi" w:hAnsiTheme="majorBidi" w:cstheme="majorBidi"/>
          <w:sz w:val="24"/>
          <w:szCs w:val="24"/>
        </w:rPr>
      </w:pPr>
    </w:p>
    <w:p w:rsidR="00996C8B" w:rsidRPr="00996C8B" w:rsidRDefault="00996C8B" w:rsidP="00996C8B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noProof/>
          <w:sz w:val="24"/>
        </w:rPr>
      </w:pPr>
      <w:r>
        <w:rPr>
          <w:rFonts w:asciiTheme="majorBidi" w:hAnsiTheme="majorBidi" w:cstheme="majorBidi"/>
          <w:sz w:val="24"/>
          <w:szCs w:val="24"/>
        </w:rPr>
        <w:fldChar w:fldCharType="begin" w:fldLock="1"/>
      </w:r>
      <w:r>
        <w:rPr>
          <w:rFonts w:asciiTheme="majorBidi" w:hAnsiTheme="majorBidi" w:cstheme="majorBidi"/>
          <w:sz w:val="24"/>
          <w:szCs w:val="24"/>
        </w:rPr>
        <w:instrText xml:space="preserve">ADDIN Mendeley Bibliography CSL_BIBLIOGRAPHY </w:instrText>
      </w:r>
      <w:r>
        <w:rPr>
          <w:rFonts w:asciiTheme="majorBidi" w:hAnsiTheme="majorBidi" w:cstheme="majorBidi"/>
          <w:sz w:val="24"/>
          <w:szCs w:val="24"/>
        </w:rPr>
        <w:fldChar w:fldCharType="separate"/>
      </w:r>
      <w:r w:rsidRPr="00996C8B">
        <w:rPr>
          <w:rFonts w:ascii="Times New Roman" w:hAnsi="Times New Roman" w:cs="Times New Roman"/>
          <w:noProof/>
          <w:sz w:val="24"/>
          <w:szCs w:val="24"/>
        </w:rPr>
        <w:t xml:space="preserve">1. Miller GL. Use of dinitrosalicylic acid reagent for determination of reducing sugar. Anal Biochem. 1959;31:426–8. </w:t>
      </w:r>
    </w:p>
    <w:p w:rsidR="00996C8B" w:rsidRDefault="00996C8B" w:rsidP="00996C8B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fldChar w:fldCharType="end"/>
      </w:r>
    </w:p>
    <w:p w:rsidR="00A17C30" w:rsidRDefault="00A17C30"/>
    <w:sectPr w:rsidR="00A17C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C30"/>
    <w:rsid w:val="00094F36"/>
    <w:rsid w:val="00361278"/>
    <w:rsid w:val="003810EF"/>
    <w:rsid w:val="00500F57"/>
    <w:rsid w:val="00521BF8"/>
    <w:rsid w:val="00585A5F"/>
    <w:rsid w:val="006A4B31"/>
    <w:rsid w:val="00725194"/>
    <w:rsid w:val="00822030"/>
    <w:rsid w:val="008345A6"/>
    <w:rsid w:val="008504C0"/>
    <w:rsid w:val="0085050A"/>
    <w:rsid w:val="00865D4D"/>
    <w:rsid w:val="009932E6"/>
    <w:rsid w:val="00996C8B"/>
    <w:rsid w:val="00A17C30"/>
    <w:rsid w:val="00AE116E"/>
    <w:rsid w:val="00D17913"/>
    <w:rsid w:val="00D71246"/>
    <w:rsid w:val="00FB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274783-A8E0-EB48-85B7-98FA4FF5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C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G:\HOME\Tomer%20Work\Grad-PhD\iP\Cellulases_suppression\FINAL\Glucostat_DNS_20072014_FINAL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2013049502789472"/>
          <c:y val="0.10113773313442027"/>
          <c:w val="0.75669952742677427"/>
          <c:h val="0.556868474773986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65000"/>
                <a:lumOff val="35000"/>
              </a:schemeClr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EEECE1">
                  <a:lumMod val="50000"/>
                </a:srgb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864-1E43-8F7B-04F91741AE85}"/>
              </c:ext>
            </c:extLst>
          </c:dPt>
          <c:dPt>
            <c:idx val="1"/>
            <c:invertIfNegative val="0"/>
            <c:bubble3D val="0"/>
            <c:spPr>
              <a:solidFill>
                <a:srgbClr val="EEECE1">
                  <a:lumMod val="25000"/>
                </a:srgb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864-1E43-8F7B-04F91741AE85}"/>
              </c:ext>
            </c:extLst>
          </c:dPt>
          <c:dPt>
            <c:idx val="2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864-1E43-8F7B-04F91741AE85}"/>
              </c:ext>
            </c:extLst>
          </c:dPt>
          <c:dPt>
            <c:idx val="3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864-1E43-8F7B-04F91741AE85}"/>
              </c:ext>
            </c:extLst>
          </c:dPt>
          <c:dPt>
            <c:idx val="4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864-1E43-8F7B-04F91741AE85}"/>
              </c:ext>
            </c:extLst>
          </c:dPt>
          <c:dPt>
            <c:idx val="5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864-1E43-8F7B-04F91741AE85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864-1E43-8F7B-04F91741AE85}"/>
              </c:ext>
            </c:extLst>
          </c:dPt>
          <c:dPt>
            <c:idx val="7"/>
            <c:invertIfNegative val="0"/>
            <c:bubble3D val="0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864-1E43-8F7B-04F91741AE85}"/>
              </c:ext>
            </c:extLst>
          </c:dPt>
          <c:errBars>
            <c:errBarType val="both"/>
            <c:errValType val="cust"/>
            <c:noEndCap val="0"/>
            <c:plus>
              <c:numRef>
                <c:f>Sheet1!$M$49:$M$66</c:f>
                <c:numCache>
                  <c:formatCode>General</c:formatCode>
                  <c:ptCount val="18"/>
                  <c:pt idx="0">
                    <c:v>0.11619436666637968</c:v>
                  </c:pt>
                  <c:pt idx="1">
                    <c:v>0.94904853663945632</c:v>
                  </c:pt>
                  <c:pt idx="2">
                    <c:v>0.54665689252252814</c:v>
                  </c:pt>
                  <c:pt idx="3">
                    <c:v>0.32640843579943535</c:v>
                  </c:pt>
                  <c:pt idx="4">
                    <c:v>0.25248421330067256</c:v>
                  </c:pt>
                  <c:pt idx="5">
                    <c:v>0.14159787955253639</c:v>
                  </c:pt>
                  <c:pt idx="6">
                    <c:v>-1.931968254325081E-3</c:v>
                  </c:pt>
                  <c:pt idx="7">
                    <c:v>0.39779230700955798</c:v>
                  </c:pt>
                  <c:pt idx="8">
                    <c:v>0.89290677316102163</c:v>
                  </c:pt>
                  <c:pt idx="9">
                    <c:v>6.0433655881222667E-2</c:v>
                  </c:pt>
                  <c:pt idx="10">
                    <c:v>0.23063719221855822</c:v>
                  </c:pt>
                  <c:pt idx="11">
                    <c:v>0.29897264188236644</c:v>
                  </c:pt>
                  <c:pt idx="12">
                    <c:v>1.0002366151050881</c:v>
                  </c:pt>
                  <c:pt idx="13">
                    <c:v>0.10882734792938226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</c:numCache>
              </c:numRef>
            </c:plus>
            <c:minus>
              <c:numRef>
                <c:f>Sheet1!$M$49:$M$66</c:f>
                <c:numCache>
                  <c:formatCode>General</c:formatCode>
                  <c:ptCount val="18"/>
                  <c:pt idx="0">
                    <c:v>0.11619436666637968</c:v>
                  </c:pt>
                  <c:pt idx="1">
                    <c:v>0.94904853663945632</c:v>
                  </c:pt>
                  <c:pt idx="2">
                    <c:v>0.54665689252252814</c:v>
                  </c:pt>
                  <c:pt idx="3">
                    <c:v>0.32640843579943535</c:v>
                  </c:pt>
                  <c:pt idx="4">
                    <c:v>0.25248421330067256</c:v>
                  </c:pt>
                  <c:pt idx="5">
                    <c:v>0.14159787955253639</c:v>
                  </c:pt>
                  <c:pt idx="6">
                    <c:v>-1.931968254325081E-3</c:v>
                  </c:pt>
                  <c:pt idx="7">
                    <c:v>0.39779230700955798</c:v>
                  </c:pt>
                  <c:pt idx="8">
                    <c:v>0.89290677316102163</c:v>
                  </c:pt>
                  <c:pt idx="9">
                    <c:v>6.0433655881222667E-2</c:v>
                  </c:pt>
                  <c:pt idx="10">
                    <c:v>0.23063719221855822</c:v>
                  </c:pt>
                  <c:pt idx="11">
                    <c:v>0.29897264188236644</c:v>
                  </c:pt>
                  <c:pt idx="12">
                    <c:v>1.0002366151050881</c:v>
                  </c:pt>
                  <c:pt idx="13">
                    <c:v>0.10882734792938226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</c:numCache>
              </c:numRef>
            </c:minus>
            <c:spPr>
              <a:ln w="12700"/>
            </c:spPr>
          </c:errBars>
          <c:cat>
            <c:strRef>
              <c:f>(Sheet1!$K$49:$K$50,Sheet1!$K$57:$K$62)</c:f>
              <c:strCache>
                <c:ptCount val="8"/>
                <c:pt idx="0">
                  <c:v>PC9</c:v>
                </c:pt>
                <c:pt idx="1">
                  <c:v>ΔKu80</c:v>
                </c:pt>
                <c:pt idx="2">
                  <c:v>OE1</c:v>
                </c:pt>
                <c:pt idx="3">
                  <c:v>OE7</c:v>
                </c:pt>
                <c:pt idx="4">
                  <c:v>OE8</c:v>
                </c:pt>
                <c:pt idx="5">
                  <c:v>OE16</c:v>
                </c:pt>
                <c:pt idx="6">
                  <c:v>KO1</c:v>
                </c:pt>
                <c:pt idx="7">
                  <c:v>KO2</c:v>
                </c:pt>
              </c:strCache>
            </c:strRef>
          </c:cat>
          <c:val>
            <c:numRef>
              <c:f>(Sheet1!$L$49:$L$50,Sheet1!$L$57:$L$62)</c:f>
              <c:numCache>
                <c:formatCode>0.000</c:formatCode>
                <c:ptCount val="8"/>
                <c:pt idx="0">
                  <c:v>4.877851625651159</c:v>
                </c:pt>
                <c:pt idx="1">
                  <c:v>5.1279863481228674</c:v>
                </c:pt>
                <c:pt idx="2">
                  <c:v>2.4856296030177831</c:v>
                </c:pt>
                <c:pt idx="3">
                  <c:v>0.39958685108676129</c:v>
                </c:pt>
                <c:pt idx="4">
                  <c:v>2.4881444224896714</c:v>
                </c:pt>
                <c:pt idx="5">
                  <c:v>4.2842644153044729</c:v>
                </c:pt>
                <c:pt idx="6">
                  <c:v>6.9227591162205862</c:v>
                </c:pt>
                <c:pt idx="7">
                  <c:v>4.5464343452487883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A864-1E43-8F7B-04F91741AE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0947656"/>
        <c:axId val="450950792"/>
      </c:barChart>
      <c:catAx>
        <c:axId val="4509476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Strain</a:t>
                </a:r>
              </a:p>
            </c:rich>
          </c:tx>
          <c:layout>
            <c:manualLayout>
              <c:xMode val="edge"/>
              <c:yMode val="edge"/>
              <c:x val="0.50456809012617498"/>
              <c:y val="0.86852094692525361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crossAx val="450950792"/>
        <c:crosses val="autoZero"/>
        <c:auto val="1"/>
        <c:lblAlgn val="ctr"/>
        <c:lblOffset val="100"/>
        <c:noMultiLvlLbl val="0"/>
      </c:catAx>
      <c:valAx>
        <c:axId val="450950792"/>
        <c:scaling>
          <c:orientation val="minMax"/>
          <c:max val="8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dirty="0"/>
                  <a:t>Reducing sugars [</a:t>
                </a:r>
                <a:r>
                  <a:rPr lang="en-US" dirty="0" err="1"/>
                  <a:t>mM</a:t>
                </a:r>
                <a:r>
                  <a:rPr lang="en-US" dirty="0"/>
                  <a:t>]</a:t>
                </a:r>
              </a:p>
            </c:rich>
          </c:tx>
          <c:layout>
            <c:manualLayout>
              <c:xMode val="edge"/>
              <c:yMode val="edge"/>
              <c:x val="3.3701948393891519E-2"/>
              <c:y val="6.7425155422946845E-2"/>
            </c:manualLayout>
          </c:layout>
          <c:overlay val="0"/>
        </c:title>
        <c:numFmt formatCode="0.0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crossAx val="4509476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he-IL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0.55112</cdr:x>
      <cdr:y>0.46443</cdr:y>
    </cdr:from>
    <cdr:to>
      <cdr:x>0.55198</cdr:x>
      <cdr:y>0.56644</cdr:y>
    </cdr:to>
    <cdr:cxnSp macro="">
      <cdr:nvCxnSpPr>
        <cdr:cNvPr id="3" name="Straight Arrow Connector 2"/>
        <cdr:cNvCxnSpPr/>
      </cdr:nvCxnSpPr>
      <cdr:spPr>
        <a:xfrm xmlns:a="http://schemas.openxmlformats.org/drawingml/2006/main">
          <a:off x="1666527" y="891219"/>
          <a:ext cx="2575" cy="195759"/>
        </a:xfrm>
        <a:prstGeom xmlns:a="http://schemas.openxmlformats.org/drawingml/2006/main" prst="straightConnector1">
          <a:avLst/>
        </a:prstGeom>
        <a:ln xmlns:a="http://schemas.openxmlformats.org/drawingml/2006/main">
          <a:solidFill>
            <a:schemeClr val="tx1"/>
          </a:solidFill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080DF-DB00-4C7B-9190-B36F451B1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Weizmann Institute of Science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Shamshoon</dc:creator>
  <cp:lastModifiedBy>hadar</cp:lastModifiedBy>
  <cp:revision>3</cp:revision>
  <dcterms:created xsi:type="dcterms:W3CDTF">2018-06-25T14:46:00Z</dcterms:created>
  <dcterms:modified xsi:type="dcterms:W3CDTF">2018-07-01T10:50:00Z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4b266b55-c27e-3a50-8470-177c05c462b3</vt:lpwstr>
  </property>
  <property fmtid="{D5CDD505-2E9C-101B-9397-08002B2CF9AE}" pid="4" name="Mendeley Citation Style_1">
    <vt:lpwstr>http://www.zotero.org/styles/biotechnology-for-biofuels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http://www.zotero.org/styles/biotechnology-for-biofuels</vt:lpwstr>
  </property>
  <property fmtid="{D5CDD505-2E9C-101B-9397-08002B2CF9AE}" pid="10" name="Mendeley Recent Style Name 2_1">
    <vt:lpwstr>Biotechnology for Biofuels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(deprecated)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