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F2B3B" w14:textId="77777777" w:rsidR="00F27862" w:rsidRPr="00467505" w:rsidRDefault="003458EC" w:rsidP="00F278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T</w:t>
      </w:r>
      <w:r w:rsidR="00703CD7" w:rsidRPr="00467505">
        <w:rPr>
          <w:rFonts w:ascii="Times New Roman" w:hAnsi="Times New Roman" w:cs="Times New Roman"/>
          <w:b/>
          <w:sz w:val="24"/>
          <w:szCs w:val="24"/>
        </w:rPr>
        <w:t>able S</w:t>
      </w:r>
      <w:r w:rsidR="00145071">
        <w:rPr>
          <w:rFonts w:ascii="Times New Roman" w:hAnsi="Times New Roman" w:cs="Times New Roman"/>
          <w:b/>
          <w:sz w:val="24"/>
          <w:szCs w:val="24"/>
        </w:rPr>
        <w:t>3</w:t>
      </w:r>
      <w:r w:rsidR="00703CD7" w:rsidRPr="00467505">
        <w:rPr>
          <w:rFonts w:ascii="Times New Roman" w:hAnsi="Times New Roman" w:cs="Times New Roman"/>
          <w:b/>
          <w:sz w:val="24"/>
          <w:szCs w:val="24"/>
        </w:rPr>
        <w:t>.</w:t>
      </w:r>
      <w:r w:rsidR="008D5C70">
        <w:rPr>
          <w:rFonts w:ascii="Times New Roman" w:hAnsi="Times New Roman" w:cs="Times New Roman"/>
          <w:sz w:val="24"/>
          <w:szCs w:val="24"/>
        </w:rPr>
        <w:t xml:space="preserve"> </w:t>
      </w:r>
      <w:r w:rsidR="00703CD7" w:rsidRPr="00467505">
        <w:rPr>
          <w:rFonts w:ascii="Times New Roman" w:hAnsi="Times New Roman" w:cs="Times New Roman"/>
          <w:sz w:val="24"/>
          <w:szCs w:val="24"/>
        </w:rPr>
        <w:t xml:space="preserve">Variants and copy number variation found the in the new strain </w:t>
      </w:r>
      <w:r w:rsidR="00703CD7" w:rsidRPr="00467505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="00703CD7" w:rsidRPr="00467505">
        <w:rPr>
          <w:rFonts w:ascii="Times New Roman" w:hAnsi="Times New Roman" w:cs="Times New Roman"/>
          <w:i/>
          <w:sz w:val="24"/>
          <w:szCs w:val="24"/>
        </w:rPr>
        <w:t>acidipropionici</w:t>
      </w:r>
      <w:proofErr w:type="spellEnd"/>
      <w:r w:rsidR="00AC74CB" w:rsidRPr="00467505">
        <w:rPr>
          <w:rFonts w:ascii="Times New Roman" w:hAnsi="Times New Roman" w:cs="Times New Roman"/>
          <w:sz w:val="24"/>
          <w:szCs w:val="24"/>
        </w:rPr>
        <w:t xml:space="preserve"> WGS7 using as</w:t>
      </w:r>
      <w:r w:rsidR="008A6667" w:rsidRPr="00467505">
        <w:rPr>
          <w:rFonts w:ascii="Times New Roman" w:hAnsi="Times New Roman" w:cs="Times New Roman"/>
          <w:sz w:val="24"/>
          <w:szCs w:val="24"/>
        </w:rPr>
        <w:t xml:space="preserve"> reference strain</w:t>
      </w:r>
      <w:r w:rsidR="00703CD7" w:rsidRPr="00467505">
        <w:rPr>
          <w:rFonts w:ascii="Times New Roman" w:hAnsi="Times New Roman" w:cs="Times New Roman"/>
          <w:sz w:val="24"/>
          <w:szCs w:val="24"/>
        </w:rPr>
        <w:t xml:space="preserve"> </w:t>
      </w:r>
      <w:r w:rsidR="00703CD7" w:rsidRPr="00467505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="00703CD7" w:rsidRPr="00467505">
        <w:rPr>
          <w:rFonts w:ascii="Times New Roman" w:hAnsi="Times New Roman" w:cs="Times New Roman"/>
          <w:i/>
          <w:sz w:val="24"/>
          <w:szCs w:val="24"/>
        </w:rPr>
        <w:t>acidipropionici</w:t>
      </w:r>
      <w:proofErr w:type="spellEnd"/>
      <w:r w:rsidR="00703CD7" w:rsidRPr="00467505">
        <w:rPr>
          <w:rFonts w:ascii="Times New Roman" w:hAnsi="Times New Roman" w:cs="Times New Roman"/>
          <w:sz w:val="24"/>
          <w:szCs w:val="24"/>
        </w:rPr>
        <w:t xml:space="preserve"> ATCC 55737.</w:t>
      </w:r>
    </w:p>
    <w:tbl>
      <w:tblPr>
        <w:tblStyle w:val="TableGrid"/>
        <w:tblW w:w="14274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2"/>
        <w:gridCol w:w="1418"/>
        <w:gridCol w:w="1276"/>
        <w:gridCol w:w="283"/>
        <w:gridCol w:w="1134"/>
        <w:gridCol w:w="5058"/>
        <w:gridCol w:w="1280"/>
        <w:gridCol w:w="2126"/>
      </w:tblGrid>
      <w:tr w:rsidR="00F77C46" w:rsidRPr="00467505" w14:paraId="4710306A" w14:textId="77777777" w:rsidTr="00F77C46">
        <w:trPr>
          <w:trHeight w:hRule="exact" w:val="567"/>
          <w:jc w:val="center"/>
        </w:trPr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27A4F7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7505">
              <w:rPr>
                <w:rFonts w:ascii="Times New Roman" w:hAnsi="Times New Roman" w:cs="Times New Roman"/>
                <w:b/>
                <w:bCs/>
                <w:color w:val="000000"/>
              </w:rPr>
              <w:t>Genome coordinate*</w:t>
            </w:r>
          </w:p>
          <w:p w14:paraId="6946C086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vAlign w:val="center"/>
          </w:tcPr>
          <w:p w14:paraId="5A54B509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EB20ABC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7505">
              <w:rPr>
                <w:rFonts w:ascii="Times New Roman" w:hAnsi="Times New Roman" w:cs="Times New Roman"/>
                <w:b/>
                <w:bCs/>
                <w:color w:val="000000"/>
              </w:rPr>
              <w:t>Type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F52C0CA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7505">
              <w:rPr>
                <w:rFonts w:ascii="Times New Roman" w:hAnsi="Times New Roman" w:cs="Times New Roman"/>
                <w:b/>
                <w:bCs/>
                <w:color w:val="000000"/>
              </w:rPr>
              <w:t>Reference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74BACDD6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7505">
              <w:rPr>
                <w:rFonts w:ascii="Times New Roman" w:hAnsi="Times New Roman" w:cs="Times New Roman"/>
                <w:b/>
                <w:bCs/>
                <w:color w:val="000000"/>
              </w:rPr>
              <w:t>Alternate</w:t>
            </w:r>
          </w:p>
        </w:tc>
        <w:tc>
          <w:tcPr>
            <w:tcW w:w="5058" w:type="dxa"/>
            <w:tcBorders>
              <w:top w:val="single" w:sz="4" w:space="0" w:color="auto"/>
            </w:tcBorders>
            <w:vAlign w:val="center"/>
          </w:tcPr>
          <w:p w14:paraId="3D777D62" w14:textId="77777777" w:rsidR="00F77C46" w:rsidRPr="00467505" w:rsidRDefault="00F77C46" w:rsidP="00465DC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7505">
              <w:rPr>
                <w:rFonts w:ascii="Times New Roman" w:hAnsi="Times New Roman" w:cs="Times New Roman"/>
                <w:b/>
                <w:bCs/>
                <w:color w:val="000000"/>
              </w:rPr>
              <w:t>Gene function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</w:tcBorders>
            <w:vAlign w:val="center"/>
          </w:tcPr>
          <w:p w14:paraId="2C11EF25" w14:textId="77777777" w:rsidR="00F77C46" w:rsidRPr="00467505" w:rsidRDefault="00F77C46" w:rsidP="00465DC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R</w:t>
            </w:r>
            <w:r w:rsidRPr="00467505">
              <w:rPr>
                <w:rFonts w:ascii="Times New Roman" w:hAnsi="Times New Roman" w:cs="Times New Roman"/>
                <w:b/>
                <w:bCs/>
                <w:color w:val="000000"/>
              </w:rPr>
              <w:t>emark</w:t>
            </w:r>
            <w:r w:rsidR="00044CA1">
              <w:rPr>
                <w:rFonts w:ascii="Times New Roman" w:hAnsi="Times New Roman" w:cs="Times New Roman"/>
                <w:b/>
                <w:bCs/>
                <w:color w:val="000000"/>
              </w:rPr>
              <w:t>s</w:t>
            </w:r>
          </w:p>
        </w:tc>
      </w:tr>
      <w:tr w:rsidR="00F77C46" w:rsidRPr="00467505" w14:paraId="766891C8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531E2168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294317</w:t>
            </w:r>
          </w:p>
        </w:tc>
        <w:tc>
          <w:tcPr>
            <w:tcW w:w="282" w:type="dxa"/>
            <w:vAlign w:val="center"/>
          </w:tcPr>
          <w:p w14:paraId="45F476E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4E81AFB7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603EE3BC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CC</w:t>
            </w:r>
          </w:p>
        </w:tc>
        <w:tc>
          <w:tcPr>
            <w:tcW w:w="1134" w:type="dxa"/>
            <w:vAlign w:val="center"/>
          </w:tcPr>
          <w:p w14:paraId="67B37E7C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TT</w:t>
            </w:r>
          </w:p>
        </w:tc>
        <w:tc>
          <w:tcPr>
            <w:tcW w:w="5058" w:type="dxa"/>
            <w:vAlign w:val="center"/>
          </w:tcPr>
          <w:p w14:paraId="6C08370E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ATP-dependent DNA helicase SCO5184</w:t>
            </w:r>
          </w:p>
        </w:tc>
        <w:tc>
          <w:tcPr>
            <w:tcW w:w="1280" w:type="dxa"/>
            <w:vAlign w:val="center"/>
          </w:tcPr>
          <w:p w14:paraId="12351664" w14:textId="77777777" w:rsidR="00F77C46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2126" w:type="dxa"/>
            <w:vAlign w:val="center"/>
          </w:tcPr>
          <w:p w14:paraId="19A8A903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L965F</w:t>
            </w:r>
          </w:p>
        </w:tc>
      </w:tr>
      <w:tr w:rsidR="00F77C46" w:rsidRPr="00467505" w14:paraId="609CF4BF" w14:textId="77777777" w:rsidTr="00F77C46">
        <w:trPr>
          <w:trHeight w:hRule="exact" w:val="1021"/>
          <w:jc w:val="center"/>
        </w:trPr>
        <w:tc>
          <w:tcPr>
            <w:tcW w:w="1417" w:type="dxa"/>
            <w:vAlign w:val="center"/>
          </w:tcPr>
          <w:p w14:paraId="24ADA09E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371247</w:t>
            </w:r>
          </w:p>
        </w:tc>
        <w:tc>
          <w:tcPr>
            <w:tcW w:w="282" w:type="dxa"/>
            <w:vAlign w:val="center"/>
          </w:tcPr>
          <w:p w14:paraId="33F783B9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39851E22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INDEL</w:t>
            </w:r>
          </w:p>
        </w:tc>
        <w:tc>
          <w:tcPr>
            <w:tcW w:w="1559" w:type="dxa"/>
            <w:gridSpan w:val="2"/>
            <w:vAlign w:val="center"/>
          </w:tcPr>
          <w:p w14:paraId="42E1D498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134" w:type="dxa"/>
            <w:vAlign w:val="center"/>
          </w:tcPr>
          <w:p w14:paraId="6CA5A7AE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67505">
              <w:rPr>
                <w:rFonts w:ascii="Times New Roman" w:hAnsi="Times New Roman" w:cs="Times New Roman"/>
                <w:color w:val="000000"/>
              </w:rPr>
              <w:t>delA</w:t>
            </w:r>
            <w:proofErr w:type="spellEnd"/>
          </w:p>
        </w:tc>
        <w:tc>
          <w:tcPr>
            <w:tcW w:w="5058" w:type="dxa"/>
            <w:vAlign w:val="center"/>
          </w:tcPr>
          <w:p w14:paraId="2A1E9D99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Hypothetical protein</w:t>
            </w:r>
          </w:p>
        </w:tc>
        <w:tc>
          <w:tcPr>
            <w:tcW w:w="1280" w:type="dxa"/>
            <w:vAlign w:val="center"/>
          </w:tcPr>
          <w:p w14:paraId="7390B2E6" w14:textId="77777777" w:rsidR="00F77C46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2126" w:type="dxa"/>
            <w:vAlign w:val="center"/>
          </w:tcPr>
          <w:p w14:paraId="112C03DD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Stop</w:t>
            </w:r>
          </w:p>
        </w:tc>
      </w:tr>
      <w:tr w:rsidR="00F77C46" w:rsidRPr="00467505" w14:paraId="3C14DA51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00663DD3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567004</w:t>
            </w:r>
          </w:p>
        </w:tc>
        <w:tc>
          <w:tcPr>
            <w:tcW w:w="282" w:type="dxa"/>
            <w:vAlign w:val="center"/>
          </w:tcPr>
          <w:p w14:paraId="6D5E737C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5B813FDA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INDEL</w:t>
            </w:r>
          </w:p>
        </w:tc>
        <w:tc>
          <w:tcPr>
            <w:tcW w:w="1559" w:type="dxa"/>
            <w:gridSpan w:val="2"/>
            <w:vAlign w:val="center"/>
          </w:tcPr>
          <w:p w14:paraId="087B7454" w14:textId="77777777" w:rsidR="00F77C46" w:rsidRPr="00467505" w:rsidRDefault="00F77C46" w:rsidP="00F77C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134" w:type="dxa"/>
            <w:vAlign w:val="center"/>
          </w:tcPr>
          <w:p w14:paraId="032A5DBC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67505">
              <w:rPr>
                <w:rFonts w:ascii="Times New Roman" w:hAnsi="Times New Roman" w:cs="Times New Roman"/>
                <w:color w:val="000000"/>
              </w:rPr>
              <w:t>delG</w:t>
            </w:r>
            <w:proofErr w:type="spellEnd"/>
          </w:p>
        </w:tc>
        <w:tc>
          <w:tcPr>
            <w:tcW w:w="5058" w:type="dxa"/>
            <w:vAlign w:val="center"/>
          </w:tcPr>
          <w:p w14:paraId="0B5AB703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2-dehydropantoate 2-reductase</w:t>
            </w:r>
          </w:p>
        </w:tc>
        <w:tc>
          <w:tcPr>
            <w:tcW w:w="1280" w:type="dxa"/>
            <w:vAlign w:val="center"/>
          </w:tcPr>
          <w:p w14:paraId="322BAD08" w14:textId="77777777" w:rsidR="00F77C46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B0E35"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2126" w:type="dxa"/>
            <w:vAlign w:val="center"/>
          </w:tcPr>
          <w:p w14:paraId="5099EC8E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Stop</w:t>
            </w:r>
          </w:p>
        </w:tc>
      </w:tr>
      <w:tr w:rsidR="00F77C46" w:rsidRPr="00467505" w14:paraId="2C86E9A4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0708259A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1105158</w:t>
            </w:r>
          </w:p>
        </w:tc>
        <w:tc>
          <w:tcPr>
            <w:tcW w:w="282" w:type="dxa"/>
            <w:vAlign w:val="center"/>
          </w:tcPr>
          <w:p w14:paraId="5E97460E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6C67815E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INDEL</w:t>
            </w:r>
          </w:p>
        </w:tc>
        <w:tc>
          <w:tcPr>
            <w:tcW w:w="1559" w:type="dxa"/>
            <w:gridSpan w:val="2"/>
            <w:vAlign w:val="center"/>
          </w:tcPr>
          <w:p w14:paraId="59DADDC5" w14:textId="77777777" w:rsidR="00F77C46" w:rsidRPr="00467505" w:rsidRDefault="00F77C46" w:rsidP="00F77C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134" w:type="dxa"/>
            <w:vAlign w:val="center"/>
          </w:tcPr>
          <w:p w14:paraId="3C7ABAB0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67505">
              <w:rPr>
                <w:rFonts w:ascii="Times New Roman" w:hAnsi="Times New Roman" w:cs="Times New Roman"/>
                <w:color w:val="000000"/>
              </w:rPr>
              <w:t>delC</w:t>
            </w:r>
            <w:proofErr w:type="spellEnd"/>
          </w:p>
        </w:tc>
        <w:tc>
          <w:tcPr>
            <w:tcW w:w="5058" w:type="dxa"/>
            <w:vAlign w:val="center"/>
          </w:tcPr>
          <w:p w14:paraId="4B58CFE6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Hypothetical protein</w:t>
            </w:r>
          </w:p>
        </w:tc>
        <w:tc>
          <w:tcPr>
            <w:tcW w:w="1280" w:type="dxa"/>
            <w:vAlign w:val="center"/>
          </w:tcPr>
          <w:p w14:paraId="292C7BDB" w14:textId="77777777" w:rsidR="00F77C46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B0E35"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2126" w:type="dxa"/>
            <w:vAlign w:val="center"/>
          </w:tcPr>
          <w:p w14:paraId="2A98371C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Stop</w:t>
            </w:r>
          </w:p>
        </w:tc>
      </w:tr>
      <w:tr w:rsidR="00F77C46" w:rsidRPr="00467505" w14:paraId="6A066EC7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4EBE0275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1344547</w:t>
            </w:r>
          </w:p>
        </w:tc>
        <w:tc>
          <w:tcPr>
            <w:tcW w:w="282" w:type="dxa"/>
            <w:vAlign w:val="center"/>
          </w:tcPr>
          <w:p w14:paraId="6A712016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0E8E72D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51F97480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134" w:type="dxa"/>
            <w:vAlign w:val="center"/>
          </w:tcPr>
          <w:p w14:paraId="69F73374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5058" w:type="dxa"/>
            <w:vAlign w:val="center"/>
          </w:tcPr>
          <w:p w14:paraId="4B7DEAFE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Cobalt-zinc-cadmium resistance protein</w:t>
            </w:r>
          </w:p>
        </w:tc>
        <w:tc>
          <w:tcPr>
            <w:tcW w:w="1280" w:type="dxa"/>
            <w:vAlign w:val="center"/>
          </w:tcPr>
          <w:p w14:paraId="38ACE3CC" w14:textId="77777777" w:rsidR="00F77C46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2126" w:type="dxa"/>
            <w:vAlign w:val="center"/>
          </w:tcPr>
          <w:p w14:paraId="5BABD490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V13M</w:t>
            </w:r>
          </w:p>
        </w:tc>
      </w:tr>
      <w:tr w:rsidR="00F77C46" w:rsidRPr="00467505" w14:paraId="2D555F54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13D4B9AA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1487806</w:t>
            </w:r>
          </w:p>
        </w:tc>
        <w:tc>
          <w:tcPr>
            <w:tcW w:w="282" w:type="dxa"/>
            <w:vAlign w:val="center"/>
          </w:tcPr>
          <w:p w14:paraId="62E35B6A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4736D53D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1D9F55EF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134" w:type="dxa"/>
            <w:vAlign w:val="center"/>
          </w:tcPr>
          <w:p w14:paraId="04B0845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058" w:type="dxa"/>
            <w:vAlign w:val="center"/>
          </w:tcPr>
          <w:p w14:paraId="02D1171C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 xml:space="preserve">Cytochrome c-type biogenesis protein </w:t>
            </w:r>
            <w:proofErr w:type="spellStart"/>
            <w:r w:rsidRPr="00467505">
              <w:rPr>
                <w:rFonts w:ascii="Times New Roman" w:hAnsi="Times New Roman" w:cs="Times New Roman"/>
                <w:color w:val="000000"/>
              </w:rPr>
              <w:t>CcdA</w:t>
            </w:r>
            <w:proofErr w:type="spellEnd"/>
            <w:r w:rsidRPr="00467505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67505">
              <w:rPr>
                <w:rFonts w:ascii="Times New Roman" w:hAnsi="Times New Roman" w:cs="Times New Roman"/>
                <w:color w:val="000000"/>
              </w:rPr>
              <w:t>DsbD</w:t>
            </w:r>
            <w:proofErr w:type="spellEnd"/>
            <w:r w:rsidRPr="0046750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67505">
              <w:rPr>
                <w:rFonts w:ascii="Times New Roman" w:hAnsi="Times New Roman" w:cs="Times New Roman"/>
                <w:color w:val="000000"/>
              </w:rPr>
              <w:t>analog</w:t>
            </w:r>
            <w:proofErr w:type="spellEnd"/>
            <w:r w:rsidRPr="0046750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280" w:type="dxa"/>
            <w:vAlign w:val="center"/>
          </w:tcPr>
          <w:p w14:paraId="2A702E11" w14:textId="77777777" w:rsidR="00F77C46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2126" w:type="dxa"/>
            <w:vAlign w:val="center"/>
          </w:tcPr>
          <w:p w14:paraId="2CA4120E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R134Q</w:t>
            </w:r>
          </w:p>
        </w:tc>
      </w:tr>
      <w:tr w:rsidR="00F77C46" w:rsidRPr="00467505" w14:paraId="70606064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3F36F4DB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1605833</w:t>
            </w:r>
          </w:p>
        </w:tc>
        <w:tc>
          <w:tcPr>
            <w:tcW w:w="282" w:type="dxa"/>
            <w:vAlign w:val="center"/>
          </w:tcPr>
          <w:p w14:paraId="3A5C3925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7F091422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INDEL</w:t>
            </w:r>
          </w:p>
        </w:tc>
        <w:tc>
          <w:tcPr>
            <w:tcW w:w="1559" w:type="dxa"/>
            <w:gridSpan w:val="2"/>
            <w:vAlign w:val="center"/>
          </w:tcPr>
          <w:p w14:paraId="1A56586F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134" w:type="dxa"/>
            <w:vAlign w:val="center"/>
          </w:tcPr>
          <w:p w14:paraId="7D8B6C5E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67505">
              <w:rPr>
                <w:rFonts w:ascii="Times New Roman" w:hAnsi="Times New Roman" w:cs="Times New Roman"/>
                <w:color w:val="000000"/>
              </w:rPr>
              <w:t>delG</w:t>
            </w:r>
            <w:proofErr w:type="spellEnd"/>
          </w:p>
        </w:tc>
        <w:tc>
          <w:tcPr>
            <w:tcW w:w="5058" w:type="dxa"/>
            <w:vAlign w:val="center"/>
          </w:tcPr>
          <w:p w14:paraId="68C94E61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Putative integral membrane protein</w:t>
            </w:r>
          </w:p>
        </w:tc>
        <w:tc>
          <w:tcPr>
            <w:tcW w:w="1280" w:type="dxa"/>
            <w:vAlign w:val="center"/>
          </w:tcPr>
          <w:p w14:paraId="0DD0BF60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6" w:type="dxa"/>
            <w:vAlign w:val="center"/>
          </w:tcPr>
          <w:p w14:paraId="1C4A7B14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Intergenic</w:t>
            </w:r>
          </w:p>
        </w:tc>
      </w:tr>
      <w:tr w:rsidR="00F77C46" w:rsidRPr="00467505" w14:paraId="11723DA3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3C5ECA06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1685121</w:t>
            </w:r>
          </w:p>
        </w:tc>
        <w:tc>
          <w:tcPr>
            <w:tcW w:w="282" w:type="dxa"/>
            <w:vAlign w:val="center"/>
          </w:tcPr>
          <w:p w14:paraId="1B791F06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0A7F0AA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15C8682D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134" w:type="dxa"/>
            <w:vAlign w:val="center"/>
          </w:tcPr>
          <w:p w14:paraId="44514596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058" w:type="dxa"/>
            <w:vAlign w:val="center"/>
          </w:tcPr>
          <w:p w14:paraId="7CE77104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Hypothetical protein</w:t>
            </w:r>
          </w:p>
        </w:tc>
        <w:tc>
          <w:tcPr>
            <w:tcW w:w="1280" w:type="dxa"/>
            <w:vAlign w:val="center"/>
          </w:tcPr>
          <w:p w14:paraId="55E7AB60" w14:textId="77777777" w:rsidR="00F77C46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6" w:type="dxa"/>
            <w:vAlign w:val="center"/>
          </w:tcPr>
          <w:p w14:paraId="33A664B5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Intergenic</w:t>
            </w:r>
          </w:p>
        </w:tc>
      </w:tr>
      <w:tr w:rsidR="00F77C46" w:rsidRPr="00467505" w14:paraId="1AA756A2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66B34D6F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1799226</w:t>
            </w:r>
          </w:p>
        </w:tc>
        <w:tc>
          <w:tcPr>
            <w:tcW w:w="282" w:type="dxa"/>
            <w:vAlign w:val="center"/>
          </w:tcPr>
          <w:p w14:paraId="07AE968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4FD0C461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INDEL</w:t>
            </w:r>
          </w:p>
        </w:tc>
        <w:tc>
          <w:tcPr>
            <w:tcW w:w="1559" w:type="dxa"/>
            <w:gridSpan w:val="2"/>
            <w:vAlign w:val="center"/>
          </w:tcPr>
          <w:p w14:paraId="170A9E33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14:paraId="0D63BFA8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67505">
              <w:rPr>
                <w:rFonts w:ascii="Times New Roman" w:hAnsi="Times New Roman" w:cs="Times New Roman"/>
                <w:color w:val="000000"/>
              </w:rPr>
              <w:t>insG</w:t>
            </w:r>
            <w:proofErr w:type="spellEnd"/>
          </w:p>
        </w:tc>
        <w:tc>
          <w:tcPr>
            <w:tcW w:w="5058" w:type="dxa"/>
            <w:vAlign w:val="center"/>
          </w:tcPr>
          <w:p w14:paraId="46BC3B31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Conserved membrane protein, putative permease</w:t>
            </w:r>
          </w:p>
        </w:tc>
        <w:tc>
          <w:tcPr>
            <w:tcW w:w="1280" w:type="dxa"/>
            <w:vAlign w:val="center"/>
          </w:tcPr>
          <w:p w14:paraId="3E379241" w14:textId="77777777" w:rsidR="00F77C46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6" w:type="dxa"/>
            <w:vAlign w:val="center"/>
          </w:tcPr>
          <w:p w14:paraId="74F29E14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Intergenic</w:t>
            </w:r>
          </w:p>
        </w:tc>
      </w:tr>
      <w:tr w:rsidR="00F77C46" w:rsidRPr="00467505" w14:paraId="209EDFF0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20B357F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1913841</w:t>
            </w:r>
          </w:p>
        </w:tc>
        <w:tc>
          <w:tcPr>
            <w:tcW w:w="282" w:type="dxa"/>
            <w:vAlign w:val="center"/>
          </w:tcPr>
          <w:p w14:paraId="1B41C99D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45E058B0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4AB72ACF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134" w:type="dxa"/>
            <w:vAlign w:val="center"/>
          </w:tcPr>
          <w:p w14:paraId="6FF21CFD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058" w:type="dxa"/>
            <w:vAlign w:val="center"/>
          </w:tcPr>
          <w:p w14:paraId="364F154A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Hypothetical protein</w:t>
            </w:r>
          </w:p>
        </w:tc>
        <w:tc>
          <w:tcPr>
            <w:tcW w:w="1280" w:type="dxa"/>
            <w:vAlign w:val="center"/>
          </w:tcPr>
          <w:p w14:paraId="12F089A2" w14:textId="77777777" w:rsidR="00F77C46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Silent</w:t>
            </w:r>
          </w:p>
        </w:tc>
        <w:tc>
          <w:tcPr>
            <w:tcW w:w="2126" w:type="dxa"/>
            <w:vAlign w:val="center"/>
          </w:tcPr>
          <w:p w14:paraId="30DCC5D9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No Amino Acid change</w:t>
            </w:r>
          </w:p>
        </w:tc>
      </w:tr>
      <w:tr w:rsidR="00F77C46" w:rsidRPr="00467505" w14:paraId="07F881CE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0A01C651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1917729</w:t>
            </w:r>
            <w:r>
              <w:rPr>
                <w:rFonts w:ascii="Times New Roman" w:hAnsi="Times New Roman" w:cs="Times New Roman"/>
                <w:color w:val="000000"/>
              </w:rPr>
              <w:t>**</w:t>
            </w:r>
          </w:p>
        </w:tc>
        <w:tc>
          <w:tcPr>
            <w:tcW w:w="282" w:type="dxa"/>
            <w:vAlign w:val="center"/>
          </w:tcPr>
          <w:p w14:paraId="0121D9E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0AB07F62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301382A2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134" w:type="dxa"/>
            <w:vAlign w:val="center"/>
          </w:tcPr>
          <w:p w14:paraId="7787506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5058" w:type="dxa"/>
            <w:vAlign w:val="center"/>
          </w:tcPr>
          <w:p w14:paraId="1D23CBC2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Multiple sugar ABC transporter, substrate-binding protein</w:t>
            </w:r>
          </w:p>
        </w:tc>
        <w:tc>
          <w:tcPr>
            <w:tcW w:w="1280" w:type="dxa"/>
            <w:vAlign w:val="center"/>
          </w:tcPr>
          <w:p w14:paraId="014C8EFF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6" w:type="dxa"/>
            <w:vAlign w:val="center"/>
          </w:tcPr>
          <w:p w14:paraId="711684FB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Promoter</w:t>
            </w:r>
          </w:p>
        </w:tc>
      </w:tr>
      <w:tr w:rsidR="00F77C46" w:rsidRPr="00467505" w14:paraId="51A6C697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63987B26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2190342</w:t>
            </w:r>
          </w:p>
        </w:tc>
        <w:tc>
          <w:tcPr>
            <w:tcW w:w="282" w:type="dxa"/>
            <w:vAlign w:val="center"/>
          </w:tcPr>
          <w:p w14:paraId="6BB94D4C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3ED75D69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67276846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134" w:type="dxa"/>
            <w:vAlign w:val="center"/>
          </w:tcPr>
          <w:p w14:paraId="6DD82B2E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058" w:type="dxa"/>
            <w:vAlign w:val="center"/>
          </w:tcPr>
          <w:p w14:paraId="18FD772E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Myo-inositol 2-dehydrogenase</w:t>
            </w:r>
          </w:p>
        </w:tc>
        <w:tc>
          <w:tcPr>
            <w:tcW w:w="1280" w:type="dxa"/>
            <w:vAlign w:val="center"/>
          </w:tcPr>
          <w:p w14:paraId="4ED1CFBD" w14:textId="77777777" w:rsidR="00F77C46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Silent</w:t>
            </w:r>
          </w:p>
        </w:tc>
        <w:tc>
          <w:tcPr>
            <w:tcW w:w="2126" w:type="dxa"/>
            <w:vAlign w:val="center"/>
          </w:tcPr>
          <w:p w14:paraId="621B700E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No Amino Acid change</w:t>
            </w:r>
          </w:p>
        </w:tc>
      </w:tr>
      <w:tr w:rsidR="00F77C46" w:rsidRPr="00467505" w14:paraId="24F3B2BF" w14:textId="77777777" w:rsidTr="00F77C46">
        <w:trPr>
          <w:trHeight w:hRule="exact" w:val="567"/>
          <w:jc w:val="center"/>
        </w:trPr>
        <w:tc>
          <w:tcPr>
            <w:tcW w:w="1699" w:type="dxa"/>
            <w:gridSpan w:val="2"/>
          </w:tcPr>
          <w:p w14:paraId="061D7237" w14:textId="77777777" w:rsidR="00F77C46" w:rsidRPr="00467505" w:rsidRDefault="00F77C46" w:rsidP="008614FE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570" w:type="dxa"/>
            <w:gridSpan w:val="7"/>
            <w:vAlign w:val="center"/>
          </w:tcPr>
          <w:p w14:paraId="32B355EA" w14:textId="77777777" w:rsidR="00F77C46" w:rsidRPr="00467505" w:rsidRDefault="00F77C46" w:rsidP="00D4551A">
            <w:pPr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Continued table S</w:t>
            </w:r>
            <w:r w:rsidR="00D4551A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F77C46" w:rsidRPr="00467505" w14:paraId="06F07294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341D20D4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2293187</w:t>
            </w:r>
          </w:p>
        </w:tc>
        <w:tc>
          <w:tcPr>
            <w:tcW w:w="282" w:type="dxa"/>
            <w:vAlign w:val="center"/>
          </w:tcPr>
          <w:p w14:paraId="5C813DE1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652FCAE9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7588353E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134" w:type="dxa"/>
            <w:vAlign w:val="center"/>
          </w:tcPr>
          <w:p w14:paraId="056F7B3F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058" w:type="dxa"/>
            <w:vAlign w:val="center"/>
          </w:tcPr>
          <w:p w14:paraId="20D7CCC5" w14:textId="77777777" w:rsidR="00F77C46" w:rsidRPr="00467505" w:rsidRDefault="00F77C46" w:rsidP="009A3E00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Amino acid ABC transporter, ATP-binding protein</w:t>
            </w:r>
          </w:p>
        </w:tc>
        <w:tc>
          <w:tcPr>
            <w:tcW w:w="1280" w:type="dxa"/>
            <w:vAlign w:val="center"/>
          </w:tcPr>
          <w:p w14:paraId="11D773D7" w14:textId="77777777" w:rsidR="00F77C46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Silent</w:t>
            </w:r>
          </w:p>
        </w:tc>
        <w:tc>
          <w:tcPr>
            <w:tcW w:w="2126" w:type="dxa"/>
            <w:vAlign w:val="center"/>
          </w:tcPr>
          <w:p w14:paraId="1183C385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No Amino Acid change</w:t>
            </w:r>
          </w:p>
        </w:tc>
      </w:tr>
      <w:tr w:rsidR="00F77C46" w:rsidRPr="00467505" w14:paraId="3843DC8B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51684027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2312506</w:t>
            </w:r>
          </w:p>
        </w:tc>
        <w:tc>
          <w:tcPr>
            <w:tcW w:w="282" w:type="dxa"/>
            <w:vAlign w:val="center"/>
          </w:tcPr>
          <w:p w14:paraId="2771EE56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58D12EBC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INDEL</w:t>
            </w:r>
          </w:p>
        </w:tc>
        <w:tc>
          <w:tcPr>
            <w:tcW w:w="1559" w:type="dxa"/>
            <w:gridSpan w:val="2"/>
            <w:vAlign w:val="center"/>
          </w:tcPr>
          <w:p w14:paraId="6BFAC5CD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14:paraId="0E832BB5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67505">
              <w:rPr>
                <w:rFonts w:ascii="Times New Roman" w:hAnsi="Times New Roman" w:cs="Times New Roman"/>
                <w:color w:val="000000"/>
              </w:rPr>
              <w:t>insCCAC</w:t>
            </w:r>
            <w:proofErr w:type="spellEnd"/>
          </w:p>
        </w:tc>
        <w:tc>
          <w:tcPr>
            <w:tcW w:w="5058" w:type="dxa"/>
            <w:vAlign w:val="center"/>
          </w:tcPr>
          <w:p w14:paraId="5930775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Hypothetical protein</w:t>
            </w:r>
          </w:p>
        </w:tc>
        <w:tc>
          <w:tcPr>
            <w:tcW w:w="1280" w:type="dxa"/>
            <w:vAlign w:val="center"/>
          </w:tcPr>
          <w:p w14:paraId="335E8A50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6" w:type="dxa"/>
            <w:vAlign w:val="center"/>
          </w:tcPr>
          <w:p w14:paraId="4CECECC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Intergenic</w:t>
            </w:r>
          </w:p>
        </w:tc>
      </w:tr>
      <w:tr w:rsidR="00F77C46" w:rsidRPr="00467505" w14:paraId="75C25396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1E7082F6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2360492</w:t>
            </w:r>
          </w:p>
        </w:tc>
        <w:tc>
          <w:tcPr>
            <w:tcW w:w="282" w:type="dxa"/>
            <w:vAlign w:val="center"/>
          </w:tcPr>
          <w:p w14:paraId="5D5CCF4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4C882A8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1ED3B005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134" w:type="dxa"/>
            <w:vAlign w:val="center"/>
          </w:tcPr>
          <w:p w14:paraId="3A146DC8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058" w:type="dxa"/>
            <w:vAlign w:val="center"/>
          </w:tcPr>
          <w:p w14:paraId="3CC473D0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UDP-glucose 4-epimerase</w:t>
            </w:r>
          </w:p>
        </w:tc>
        <w:tc>
          <w:tcPr>
            <w:tcW w:w="1280" w:type="dxa"/>
            <w:vAlign w:val="center"/>
          </w:tcPr>
          <w:p w14:paraId="579BCA74" w14:textId="77777777" w:rsidR="00F77C46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2126" w:type="dxa"/>
            <w:vAlign w:val="center"/>
          </w:tcPr>
          <w:p w14:paraId="0EB2A075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H155Y</w:t>
            </w:r>
          </w:p>
        </w:tc>
      </w:tr>
      <w:tr w:rsidR="00F77C46" w:rsidRPr="00467505" w14:paraId="4DA12AD6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3B0D8C57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2440725</w:t>
            </w:r>
          </w:p>
        </w:tc>
        <w:tc>
          <w:tcPr>
            <w:tcW w:w="282" w:type="dxa"/>
            <w:vAlign w:val="center"/>
          </w:tcPr>
          <w:p w14:paraId="11CDC059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D58C889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7211FE11" w14:textId="77777777" w:rsidR="00F77C46" w:rsidRPr="00467505" w:rsidRDefault="00F77C46" w:rsidP="00F77C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134" w:type="dxa"/>
            <w:vAlign w:val="center"/>
          </w:tcPr>
          <w:p w14:paraId="374CCB43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5058" w:type="dxa"/>
            <w:vAlign w:val="center"/>
          </w:tcPr>
          <w:p w14:paraId="181E9133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Hypothetical protein</w:t>
            </w:r>
          </w:p>
        </w:tc>
        <w:tc>
          <w:tcPr>
            <w:tcW w:w="1280" w:type="dxa"/>
            <w:vAlign w:val="center"/>
          </w:tcPr>
          <w:p w14:paraId="67B50C6B" w14:textId="77777777" w:rsidR="00F77C46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3578">
              <w:rPr>
                <w:rFonts w:ascii="Times New Roman" w:hAnsi="Times New Roman" w:cs="Times New Roman"/>
                <w:color w:val="000000"/>
              </w:rPr>
              <w:t>Silent</w:t>
            </w:r>
          </w:p>
        </w:tc>
        <w:tc>
          <w:tcPr>
            <w:tcW w:w="2126" w:type="dxa"/>
            <w:vAlign w:val="center"/>
          </w:tcPr>
          <w:p w14:paraId="27AA5C3C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2767">
              <w:rPr>
                <w:rFonts w:ascii="Times New Roman" w:hAnsi="Times New Roman" w:cs="Times New Roman"/>
                <w:color w:val="000000"/>
              </w:rPr>
              <w:t>No Amino Acid change</w:t>
            </w:r>
          </w:p>
        </w:tc>
      </w:tr>
      <w:tr w:rsidR="00F77C46" w:rsidRPr="00467505" w14:paraId="6614C1E7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3AF520B2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2440740</w:t>
            </w:r>
          </w:p>
        </w:tc>
        <w:tc>
          <w:tcPr>
            <w:tcW w:w="282" w:type="dxa"/>
            <w:vAlign w:val="center"/>
          </w:tcPr>
          <w:p w14:paraId="68F4150B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76D832AA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5F1CA4A2" w14:textId="77777777" w:rsidR="00F77C46" w:rsidRPr="00467505" w:rsidRDefault="00F77C46" w:rsidP="00F77C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134" w:type="dxa"/>
            <w:vAlign w:val="center"/>
          </w:tcPr>
          <w:p w14:paraId="68E4C4DF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5058" w:type="dxa"/>
            <w:vAlign w:val="center"/>
          </w:tcPr>
          <w:p w14:paraId="2B61A00A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Hypothetical protein</w:t>
            </w:r>
          </w:p>
        </w:tc>
        <w:tc>
          <w:tcPr>
            <w:tcW w:w="1280" w:type="dxa"/>
            <w:vAlign w:val="center"/>
          </w:tcPr>
          <w:p w14:paraId="5B45713A" w14:textId="77777777" w:rsidR="00F77C46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3578">
              <w:rPr>
                <w:rFonts w:ascii="Times New Roman" w:hAnsi="Times New Roman" w:cs="Times New Roman"/>
                <w:color w:val="000000"/>
              </w:rPr>
              <w:t>Silent</w:t>
            </w:r>
          </w:p>
        </w:tc>
        <w:tc>
          <w:tcPr>
            <w:tcW w:w="2126" w:type="dxa"/>
            <w:vAlign w:val="center"/>
          </w:tcPr>
          <w:p w14:paraId="1215B6DC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2767">
              <w:rPr>
                <w:rFonts w:ascii="Times New Roman" w:hAnsi="Times New Roman" w:cs="Times New Roman"/>
                <w:color w:val="000000"/>
              </w:rPr>
              <w:t>No Amino Acid change</w:t>
            </w:r>
          </w:p>
        </w:tc>
      </w:tr>
      <w:tr w:rsidR="00F77C46" w:rsidRPr="00467505" w14:paraId="38C1A239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455FACA9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2440971</w:t>
            </w:r>
          </w:p>
        </w:tc>
        <w:tc>
          <w:tcPr>
            <w:tcW w:w="282" w:type="dxa"/>
            <w:vAlign w:val="center"/>
          </w:tcPr>
          <w:p w14:paraId="026F9EE6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0F2F8652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2D40A413" w14:textId="77777777" w:rsidR="00F77C46" w:rsidRPr="00467505" w:rsidRDefault="00F77C46" w:rsidP="00F77C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134" w:type="dxa"/>
            <w:vAlign w:val="center"/>
          </w:tcPr>
          <w:p w14:paraId="23E344CC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5058" w:type="dxa"/>
            <w:vAlign w:val="center"/>
          </w:tcPr>
          <w:p w14:paraId="60D2FC0E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Hypothetical protein</w:t>
            </w:r>
          </w:p>
        </w:tc>
        <w:tc>
          <w:tcPr>
            <w:tcW w:w="1280" w:type="dxa"/>
            <w:vAlign w:val="center"/>
          </w:tcPr>
          <w:p w14:paraId="191C9CE6" w14:textId="77777777" w:rsidR="00F77C46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3578">
              <w:rPr>
                <w:rFonts w:ascii="Times New Roman" w:hAnsi="Times New Roman" w:cs="Times New Roman"/>
                <w:color w:val="000000"/>
              </w:rPr>
              <w:t>Silent</w:t>
            </w:r>
          </w:p>
        </w:tc>
        <w:tc>
          <w:tcPr>
            <w:tcW w:w="2126" w:type="dxa"/>
            <w:vAlign w:val="center"/>
          </w:tcPr>
          <w:p w14:paraId="79BBE809" w14:textId="77777777" w:rsidR="00F77C46" w:rsidRPr="00467505" w:rsidRDefault="00F77C46" w:rsidP="00F77C46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2767">
              <w:rPr>
                <w:rFonts w:ascii="Times New Roman" w:hAnsi="Times New Roman" w:cs="Times New Roman"/>
                <w:color w:val="000000"/>
              </w:rPr>
              <w:t>No Amino Acid change</w:t>
            </w:r>
          </w:p>
        </w:tc>
      </w:tr>
      <w:tr w:rsidR="00F77C46" w:rsidRPr="00467505" w14:paraId="0E1C941C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77792F68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2505914</w:t>
            </w:r>
          </w:p>
        </w:tc>
        <w:tc>
          <w:tcPr>
            <w:tcW w:w="282" w:type="dxa"/>
            <w:vAlign w:val="center"/>
          </w:tcPr>
          <w:p w14:paraId="7F1CACA7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0A1876E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INDEL</w:t>
            </w:r>
          </w:p>
        </w:tc>
        <w:tc>
          <w:tcPr>
            <w:tcW w:w="1559" w:type="dxa"/>
            <w:gridSpan w:val="2"/>
            <w:vAlign w:val="center"/>
          </w:tcPr>
          <w:p w14:paraId="67958B73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134" w:type="dxa"/>
            <w:vAlign w:val="center"/>
          </w:tcPr>
          <w:p w14:paraId="6F13A25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67505">
              <w:rPr>
                <w:rFonts w:ascii="Times New Roman" w:hAnsi="Times New Roman" w:cs="Times New Roman"/>
                <w:color w:val="000000"/>
              </w:rPr>
              <w:t>delG</w:t>
            </w:r>
            <w:proofErr w:type="spellEnd"/>
          </w:p>
        </w:tc>
        <w:tc>
          <w:tcPr>
            <w:tcW w:w="5058" w:type="dxa"/>
            <w:vAlign w:val="center"/>
          </w:tcPr>
          <w:p w14:paraId="5F474B67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 xml:space="preserve">Ribose ABC transport system, ATP-binding protein </w:t>
            </w:r>
            <w:proofErr w:type="spellStart"/>
            <w:r w:rsidRPr="00467505">
              <w:rPr>
                <w:rFonts w:ascii="Times New Roman" w:hAnsi="Times New Roman" w:cs="Times New Roman"/>
                <w:color w:val="000000"/>
              </w:rPr>
              <w:t>RbsA</w:t>
            </w:r>
            <w:proofErr w:type="spellEnd"/>
          </w:p>
        </w:tc>
        <w:tc>
          <w:tcPr>
            <w:tcW w:w="1280" w:type="dxa"/>
            <w:vAlign w:val="center"/>
          </w:tcPr>
          <w:p w14:paraId="4D2494FF" w14:textId="77777777" w:rsidR="00F77C46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6" w:type="dxa"/>
            <w:vAlign w:val="center"/>
          </w:tcPr>
          <w:p w14:paraId="0F74C7AB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Intergenic</w:t>
            </w:r>
          </w:p>
        </w:tc>
      </w:tr>
      <w:tr w:rsidR="00F77C46" w:rsidRPr="00467505" w14:paraId="19D23E25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796AB75B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3092919</w:t>
            </w:r>
          </w:p>
        </w:tc>
        <w:tc>
          <w:tcPr>
            <w:tcW w:w="282" w:type="dxa"/>
            <w:vAlign w:val="center"/>
          </w:tcPr>
          <w:p w14:paraId="0E091F50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0F030048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012E70D3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134" w:type="dxa"/>
            <w:vAlign w:val="center"/>
          </w:tcPr>
          <w:p w14:paraId="6DAAF7A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5058" w:type="dxa"/>
            <w:vAlign w:val="center"/>
          </w:tcPr>
          <w:p w14:paraId="52EB0FC4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Chromosome segregation ATPases</w:t>
            </w:r>
          </w:p>
        </w:tc>
        <w:tc>
          <w:tcPr>
            <w:tcW w:w="1280" w:type="dxa"/>
            <w:vAlign w:val="center"/>
          </w:tcPr>
          <w:p w14:paraId="1EC8B8A2" w14:textId="77777777" w:rsidR="00F77C46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2126" w:type="dxa"/>
            <w:vAlign w:val="center"/>
          </w:tcPr>
          <w:p w14:paraId="155FDDF2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R127P</w:t>
            </w:r>
          </w:p>
        </w:tc>
      </w:tr>
      <w:tr w:rsidR="00F77C46" w:rsidRPr="00467505" w14:paraId="462E069C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31A6D1E2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3167868</w:t>
            </w:r>
          </w:p>
        </w:tc>
        <w:tc>
          <w:tcPr>
            <w:tcW w:w="282" w:type="dxa"/>
            <w:vAlign w:val="center"/>
          </w:tcPr>
          <w:p w14:paraId="67CE86AB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79113778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2489DF45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134" w:type="dxa"/>
            <w:vAlign w:val="center"/>
          </w:tcPr>
          <w:p w14:paraId="58472A77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5058" w:type="dxa"/>
            <w:vAlign w:val="center"/>
          </w:tcPr>
          <w:p w14:paraId="3D34ED40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Hypothetical protein</w:t>
            </w:r>
          </w:p>
        </w:tc>
        <w:tc>
          <w:tcPr>
            <w:tcW w:w="1280" w:type="dxa"/>
            <w:vAlign w:val="center"/>
          </w:tcPr>
          <w:p w14:paraId="327E77CF" w14:textId="77777777" w:rsidR="00F77C46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2126" w:type="dxa"/>
            <w:vAlign w:val="center"/>
          </w:tcPr>
          <w:p w14:paraId="38C70595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M1V</w:t>
            </w:r>
          </w:p>
        </w:tc>
      </w:tr>
      <w:tr w:rsidR="00F77C46" w:rsidRPr="00467505" w14:paraId="6D474C90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6EC07492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3184231</w:t>
            </w:r>
          </w:p>
        </w:tc>
        <w:tc>
          <w:tcPr>
            <w:tcW w:w="282" w:type="dxa"/>
            <w:vAlign w:val="center"/>
          </w:tcPr>
          <w:p w14:paraId="68450670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3B14EB34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2C8FEEAD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134" w:type="dxa"/>
            <w:vAlign w:val="center"/>
          </w:tcPr>
          <w:p w14:paraId="28C432F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5058" w:type="dxa"/>
            <w:vAlign w:val="center"/>
          </w:tcPr>
          <w:p w14:paraId="09E34E6D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Hypothetical protein</w:t>
            </w:r>
          </w:p>
        </w:tc>
        <w:tc>
          <w:tcPr>
            <w:tcW w:w="1280" w:type="dxa"/>
            <w:vAlign w:val="center"/>
          </w:tcPr>
          <w:p w14:paraId="70445D46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6" w:type="dxa"/>
            <w:vAlign w:val="center"/>
          </w:tcPr>
          <w:p w14:paraId="09BB30AF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Intergenic</w:t>
            </w:r>
          </w:p>
        </w:tc>
      </w:tr>
      <w:tr w:rsidR="00F77C46" w:rsidRPr="00467505" w14:paraId="5CC11D47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635129D8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3279129</w:t>
            </w:r>
          </w:p>
        </w:tc>
        <w:tc>
          <w:tcPr>
            <w:tcW w:w="282" w:type="dxa"/>
            <w:vAlign w:val="center"/>
          </w:tcPr>
          <w:p w14:paraId="3BBF3549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316C07FD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187B3FEB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134" w:type="dxa"/>
            <w:vAlign w:val="center"/>
          </w:tcPr>
          <w:p w14:paraId="4B4FC707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5058" w:type="dxa"/>
            <w:vAlign w:val="center"/>
          </w:tcPr>
          <w:p w14:paraId="4E933B46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Hypothetical protein</w:t>
            </w:r>
          </w:p>
        </w:tc>
        <w:tc>
          <w:tcPr>
            <w:tcW w:w="1280" w:type="dxa"/>
            <w:vAlign w:val="center"/>
          </w:tcPr>
          <w:p w14:paraId="0155BD35" w14:textId="77777777" w:rsidR="00F77C46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2126" w:type="dxa"/>
            <w:vAlign w:val="center"/>
          </w:tcPr>
          <w:p w14:paraId="51484663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R62Q</w:t>
            </w:r>
          </w:p>
        </w:tc>
      </w:tr>
      <w:tr w:rsidR="00F77C46" w:rsidRPr="00467505" w14:paraId="7A73F522" w14:textId="77777777" w:rsidTr="00F77C46">
        <w:trPr>
          <w:trHeight w:hRule="exact" w:val="567"/>
          <w:jc w:val="center"/>
        </w:trPr>
        <w:tc>
          <w:tcPr>
            <w:tcW w:w="1417" w:type="dxa"/>
            <w:vAlign w:val="center"/>
          </w:tcPr>
          <w:p w14:paraId="778D25E0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3335969</w:t>
            </w:r>
            <w:r>
              <w:rPr>
                <w:rFonts w:ascii="Times New Roman" w:hAnsi="Times New Roman" w:cs="Times New Roman"/>
                <w:color w:val="000000"/>
              </w:rPr>
              <w:t>***</w:t>
            </w:r>
          </w:p>
        </w:tc>
        <w:tc>
          <w:tcPr>
            <w:tcW w:w="282" w:type="dxa"/>
            <w:vAlign w:val="center"/>
          </w:tcPr>
          <w:p w14:paraId="7CF2F097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0F04D88E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SNP</w:t>
            </w:r>
          </w:p>
        </w:tc>
        <w:tc>
          <w:tcPr>
            <w:tcW w:w="1559" w:type="dxa"/>
            <w:gridSpan w:val="2"/>
            <w:vAlign w:val="center"/>
          </w:tcPr>
          <w:p w14:paraId="47F47143" w14:textId="77777777" w:rsidR="00F77C46" w:rsidRPr="00467505" w:rsidRDefault="00F77C46" w:rsidP="00E56D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134" w:type="dxa"/>
            <w:vAlign w:val="center"/>
          </w:tcPr>
          <w:p w14:paraId="07AA0198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5058" w:type="dxa"/>
            <w:vAlign w:val="center"/>
          </w:tcPr>
          <w:p w14:paraId="200BC710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LSU rRNA</w:t>
            </w:r>
          </w:p>
        </w:tc>
        <w:tc>
          <w:tcPr>
            <w:tcW w:w="1280" w:type="dxa"/>
            <w:vAlign w:val="center"/>
          </w:tcPr>
          <w:p w14:paraId="7EE0760B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126" w:type="dxa"/>
            <w:vAlign w:val="center"/>
          </w:tcPr>
          <w:p w14:paraId="041D7DE9" w14:textId="77777777" w:rsidR="00F77C46" w:rsidRPr="00467505" w:rsidRDefault="00F77C46" w:rsidP="00E56D9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7505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14:paraId="4D9020F9" w14:textId="77777777" w:rsidR="002E5D81" w:rsidRPr="002E5D81" w:rsidRDefault="00315250" w:rsidP="002E5D8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67505">
        <w:rPr>
          <w:rFonts w:ascii="Times New Roman" w:hAnsi="Times New Roman" w:cs="Times New Roman"/>
          <w:sz w:val="20"/>
          <w:szCs w:val="18"/>
        </w:rPr>
        <w:t>SNP: sin</w:t>
      </w:r>
      <w:r w:rsidR="008614FE" w:rsidRPr="00467505">
        <w:rPr>
          <w:rFonts w:ascii="Times New Roman" w:hAnsi="Times New Roman" w:cs="Times New Roman"/>
          <w:sz w:val="20"/>
          <w:szCs w:val="18"/>
        </w:rPr>
        <w:t>gle nucleotide polymorphism; INDEL: insertion or deletion; del: deletion; ins</w:t>
      </w:r>
      <w:r w:rsidRPr="00467505">
        <w:rPr>
          <w:rFonts w:ascii="Times New Roman" w:hAnsi="Times New Roman" w:cs="Times New Roman"/>
          <w:sz w:val="20"/>
          <w:szCs w:val="18"/>
        </w:rPr>
        <w:t xml:space="preserve">: insertion; </w:t>
      </w:r>
      <w:r w:rsidR="009A3E00" w:rsidRPr="00467505">
        <w:rPr>
          <w:rFonts w:ascii="Times New Roman" w:hAnsi="Times New Roman" w:cs="Times New Roman"/>
          <w:sz w:val="20"/>
          <w:szCs w:val="18"/>
        </w:rPr>
        <w:t xml:space="preserve">* Genome coordinate in </w:t>
      </w:r>
      <w:r w:rsidR="009A3E00" w:rsidRPr="00467505">
        <w:rPr>
          <w:rFonts w:ascii="Times New Roman" w:hAnsi="Times New Roman" w:cs="Times New Roman"/>
          <w:i/>
          <w:sz w:val="20"/>
          <w:szCs w:val="18"/>
        </w:rPr>
        <w:t xml:space="preserve">P. </w:t>
      </w:r>
      <w:proofErr w:type="spellStart"/>
      <w:r w:rsidR="009A3E00" w:rsidRPr="00467505">
        <w:rPr>
          <w:rFonts w:ascii="Times New Roman" w:hAnsi="Times New Roman" w:cs="Times New Roman"/>
          <w:i/>
          <w:sz w:val="20"/>
          <w:szCs w:val="18"/>
        </w:rPr>
        <w:t>acidipropionici</w:t>
      </w:r>
      <w:proofErr w:type="spellEnd"/>
      <w:r w:rsidR="009A3E00" w:rsidRPr="00467505">
        <w:rPr>
          <w:rFonts w:ascii="Times New Roman" w:hAnsi="Times New Roman" w:cs="Times New Roman"/>
          <w:sz w:val="20"/>
          <w:szCs w:val="18"/>
        </w:rPr>
        <w:t xml:space="preserve"> ATCC 55737.</w:t>
      </w:r>
      <w:r w:rsidR="003458EC">
        <w:rPr>
          <w:rFonts w:ascii="Times New Roman" w:hAnsi="Times New Roman" w:cs="Times New Roman"/>
          <w:sz w:val="20"/>
          <w:szCs w:val="18"/>
        </w:rPr>
        <w:t xml:space="preserve"> </w:t>
      </w:r>
      <w:r w:rsidR="006604D3">
        <w:rPr>
          <w:rFonts w:ascii="Times New Roman" w:hAnsi="Times New Roman" w:cs="Times New Roman"/>
          <w:sz w:val="20"/>
          <w:szCs w:val="18"/>
        </w:rPr>
        <w:t xml:space="preserve">** The origin of this mutation </w:t>
      </w:r>
      <w:r w:rsidR="00BD2444">
        <w:rPr>
          <w:rFonts w:ascii="Times New Roman" w:hAnsi="Times New Roman" w:cs="Times New Roman"/>
          <w:sz w:val="20"/>
          <w:szCs w:val="18"/>
        </w:rPr>
        <w:t xml:space="preserve">can be either </w:t>
      </w:r>
      <w:r w:rsidR="006604D3" w:rsidRPr="00BD2444">
        <w:rPr>
          <w:rFonts w:ascii="Times New Roman" w:hAnsi="Times New Roman" w:cs="Times New Roman"/>
          <w:i/>
          <w:sz w:val="20"/>
          <w:szCs w:val="18"/>
        </w:rPr>
        <w:t xml:space="preserve">P. </w:t>
      </w:r>
      <w:proofErr w:type="spellStart"/>
      <w:r w:rsidR="006604D3" w:rsidRPr="00BD2444">
        <w:rPr>
          <w:rFonts w:ascii="Times New Roman" w:hAnsi="Times New Roman" w:cs="Times New Roman"/>
          <w:i/>
          <w:sz w:val="20"/>
          <w:szCs w:val="18"/>
        </w:rPr>
        <w:t>acicipropionici</w:t>
      </w:r>
      <w:proofErr w:type="spellEnd"/>
      <w:r w:rsidR="006604D3">
        <w:rPr>
          <w:rFonts w:ascii="Times New Roman" w:hAnsi="Times New Roman" w:cs="Times New Roman"/>
          <w:sz w:val="20"/>
          <w:szCs w:val="18"/>
        </w:rPr>
        <w:t xml:space="preserve"> ATCC </w:t>
      </w:r>
      <w:r w:rsidR="00BD2444">
        <w:rPr>
          <w:rFonts w:ascii="Times New Roman" w:hAnsi="Times New Roman" w:cs="Times New Roman"/>
          <w:sz w:val="20"/>
          <w:szCs w:val="18"/>
        </w:rPr>
        <w:t xml:space="preserve">4875 or </w:t>
      </w:r>
      <w:r w:rsidR="00BD2444" w:rsidRPr="00BD2444">
        <w:rPr>
          <w:rFonts w:ascii="Times New Roman" w:hAnsi="Times New Roman" w:cs="Times New Roman"/>
          <w:i/>
          <w:sz w:val="20"/>
          <w:szCs w:val="18"/>
        </w:rPr>
        <w:t xml:space="preserve">P. </w:t>
      </w:r>
      <w:proofErr w:type="spellStart"/>
      <w:r w:rsidR="00BD2444" w:rsidRPr="00BD2444">
        <w:rPr>
          <w:rFonts w:ascii="Times New Roman" w:hAnsi="Times New Roman" w:cs="Times New Roman"/>
          <w:i/>
          <w:sz w:val="20"/>
          <w:szCs w:val="18"/>
        </w:rPr>
        <w:t>acicipropionici</w:t>
      </w:r>
      <w:proofErr w:type="spellEnd"/>
      <w:r w:rsidR="00BD2444">
        <w:rPr>
          <w:rFonts w:ascii="Times New Roman" w:hAnsi="Times New Roman" w:cs="Times New Roman"/>
          <w:sz w:val="20"/>
          <w:szCs w:val="18"/>
        </w:rPr>
        <w:t xml:space="preserve"> ATCC 4965. *** The origin of this mutation can </w:t>
      </w:r>
      <w:r w:rsidR="008E75B9">
        <w:rPr>
          <w:rFonts w:ascii="Times New Roman" w:hAnsi="Times New Roman" w:cs="Times New Roman"/>
          <w:sz w:val="20"/>
          <w:szCs w:val="18"/>
        </w:rPr>
        <w:t>be</w:t>
      </w:r>
      <w:r w:rsidR="00BD2444">
        <w:rPr>
          <w:rFonts w:ascii="Times New Roman" w:hAnsi="Times New Roman" w:cs="Times New Roman"/>
          <w:sz w:val="20"/>
          <w:szCs w:val="18"/>
        </w:rPr>
        <w:t xml:space="preserve"> from any of the </w:t>
      </w:r>
      <w:r w:rsidR="00BD2444" w:rsidRPr="00BD2444">
        <w:rPr>
          <w:rFonts w:ascii="Times New Roman" w:hAnsi="Times New Roman" w:cs="Times New Roman"/>
          <w:i/>
          <w:sz w:val="20"/>
          <w:szCs w:val="18"/>
        </w:rPr>
        <w:t>Propionibacterium</w:t>
      </w:r>
      <w:r w:rsidR="00BD2444">
        <w:rPr>
          <w:rFonts w:ascii="Times New Roman" w:hAnsi="Times New Roman" w:cs="Times New Roman"/>
          <w:sz w:val="20"/>
          <w:szCs w:val="18"/>
        </w:rPr>
        <w:t xml:space="preserve"> spp. strains used in this study.</w:t>
      </w:r>
      <w:r w:rsidR="00044CA1">
        <w:rPr>
          <w:rFonts w:ascii="Times New Roman" w:hAnsi="Times New Roman" w:cs="Times New Roman"/>
          <w:sz w:val="20"/>
          <w:szCs w:val="18"/>
        </w:rPr>
        <w:t xml:space="preserve"> </w:t>
      </w:r>
      <w:r w:rsidR="00323A5D">
        <w:rPr>
          <w:rFonts w:ascii="Times New Roman" w:hAnsi="Times New Roman" w:cs="Times New Roman"/>
          <w:sz w:val="20"/>
          <w:szCs w:val="18"/>
        </w:rPr>
        <w:t xml:space="preserve">Intergenic: Mutation found between two genes. </w:t>
      </w:r>
      <w:r w:rsidR="00DC59B0">
        <w:rPr>
          <w:rFonts w:ascii="Times New Roman" w:hAnsi="Times New Roman" w:cs="Times New Roman"/>
          <w:sz w:val="20"/>
          <w:szCs w:val="18"/>
        </w:rPr>
        <w:t>Stop</w:t>
      </w:r>
      <w:r w:rsidR="00323A5D">
        <w:rPr>
          <w:rFonts w:ascii="Times New Roman" w:hAnsi="Times New Roman" w:cs="Times New Roman"/>
          <w:sz w:val="20"/>
          <w:szCs w:val="18"/>
        </w:rPr>
        <w:t xml:space="preserve">: </w:t>
      </w:r>
      <w:r w:rsidR="00DC59B0">
        <w:rPr>
          <w:rFonts w:ascii="Times New Roman" w:hAnsi="Times New Roman" w:cs="Times New Roman"/>
          <w:sz w:val="20"/>
          <w:szCs w:val="18"/>
        </w:rPr>
        <w:t>Incomplete expression.</w:t>
      </w:r>
      <w:r w:rsidR="00F77C46">
        <w:rPr>
          <w:rFonts w:ascii="Times New Roman" w:hAnsi="Times New Roman" w:cs="Times New Roman"/>
          <w:sz w:val="20"/>
          <w:szCs w:val="18"/>
        </w:rPr>
        <w:t xml:space="preserve"> Promoter: Mutation found in the promoter of the gene.</w:t>
      </w:r>
    </w:p>
    <w:sectPr w:rsidR="002E5D81" w:rsidRPr="002E5D81" w:rsidSect="00687B1D">
      <w:pgSz w:w="16838" w:h="11906" w:orient="landscape" w:code="9"/>
      <w:pgMar w:top="1440" w:right="1440" w:bottom="127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CwNLAwNjc2MjM0MTZV0lEKTi0uzszPAymwqAUA1NXkASwAAAA="/>
  </w:docVars>
  <w:rsids>
    <w:rsidRoot w:val="002E7EF8"/>
    <w:rsid w:val="00026371"/>
    <w:rsid w:val="00044CA1"/>
    <w:rsid w:val="00061211"/>
    <w:rsid w:val="000C5806"/>
    <w:rsid w:val="000D4D02"/>
    <w:rsid w:val="00142FE2"/>
    <w:rsid w:val="00145071"/>
    <w:rsid w:val="001B59A0"/>
    <w:rsid w:val="001C2C68"/>
    <w:rsid w:val="001C65D2"/>
    <w:rsid w:val="00214EE5"/>
    <w:rsid w:val="0023085D"/>
    <w:rsid w:val="00256D0A"/>
    <w:rsid w:val="0028549B"/>
    <w:rsid w:val="002A1857"/>
    <w:rsid w:val="002D4393"/>
    <w:rsid w:val="002E5D81"/>
    <w:rsid w:val="002E7EF8"/>
    <w:rsid w:val="00315250"/>
    <w:rsid w:val="00323A5D"/>
    <w:rsid w:val="00331BB3"/>
    <w:rsid w:val="003458EC"/>
    <w:rsid w:val="00354680"/>
    <w:rsid w:val="003578F1"/>
    <w:rsid w:val="003770E0"/>
    <w:rsid w:val="003B0ED7"/>
    <w:rsid w:val="00400AB2"/>
    <w:rsid w:val="00464F53"/>
    <w:rsid w:val="00465DCA"/>
    <w:rsid w:val="00467505"/>
    <w:rsid w:val="004A2470"/>
    <w:rsid w:val="00520D46"/>
    <w:rsid w:val="0052290F"/>
    <w:rsid w:val="00540D17"/>
    <w:rsid w:val="00565BF4"/>
    <w:rsid w:val="00572124"/>
    <w:rsid w:val="00572F96"/>
    <w:rsid w:val="00582406"/>
    <w:rsid w:val="005951AB"/>
    <w:rsid w:val="005B664E"/>
    <w:rsid w:val="005B7FE5"/>
    <w:rsid w:val="00613309"/>
    <w:rsid w:val="006272BB"/>
    <w:rsid w:val="006604D3"/>
    <w:rsid w:val="00673C4F"/>
    <w:rsid w:val="00687B1D"/>
    <w:rsid w:val="006B5785"/>
    <w:rsid w:val="006C1E3E"/>
    <w:rsid w:val="006F0AF7"/>
    <w:rsid w:val="006F5F4D"/>
    <w:rsid w:val="00703CD7"/>
    <w:rsid w:val="007319F3"/>
    <w:rsid w:val="007925F0"/>
    <w:rsid w:val="007F64AA"/>
    <w:rsid w:val="00852044"/>
    <w:rsid w:val="00854D30"/>
    <w:rsid w:val="008614FE"/>
    <w:rsid w:val="00887BF7"/>
    <w:rsid w:val="008A6667"/>
    <w:rsid w:val="008D5C70"/>
    <w:rsid w:val="008E75B9"/>
    <w:rsid w:val="00907127"/>
    <w:rsid w:val="00910F78"/>
    <w:rsid w:val="00967890"/>
    <w:rsid w:val="00986CD2"/>
    <w:rsid w:val="009A3E00"/>
    <w:rsid w:val="009E5C0C"/>
    <w:rsid w:val="00A03B87"/>
    <w:rsid w:val="00A239BC"/>
    <w:rsid w:val="00A2727D"/>
    <w:rsid w:val="00A477C7"/>
    <w:rsid w:val="00A80C75"/>
    <w:rsid w:val="00A931D3"/>
    <w:rsid w:val="00AA6A1C"/>
    <w:rsid w:val="00AC74CB"/>
    <w:rsid w:val="00B01D5A"/>
    <w:rsid w:val="00B16CC3"/>
    <w:rsid w:val="00B21CC6"/>
    <w:rsid w:val="00B54E74"/>
    <w:rsid w:val="00BA1D76"/>
    <w:rsid w:val="00BA4F89"/>
    <w:rsid w:val="00BA638C"/>
    <w:rsid w:val="00BD2444"/>
    <w:rsid w:val="00BD7E61"/>
    <w:rsid w:val="00BF3E36"/>
    <w:rsid w:val="00C3381A"/>
    <w:rsid w:val="00C521C1"/>
    <w:rsid w:val="00CD0603"/>
    <w:rsid w:val="00D21AF9"/>
    <w:rsid w:val="00D4551A"/>
    <w:rsid w:val="00D674DF"/>
    <w:rsid w:val="00DC59B0"/>
    <w:rsid w:val="00E55D98"/>
    <w:rsid w:val="00E56D9F"/>
    <w:rsid w:val="00EA6CF7"/>
    <w:rsid w:val="00F27862"/>
    <w:rsid w:val="00F535D0"/>
    <w:rsid w:val="00F56A3B"/>
    <w:rsid w:val="00F77C46"/>
    <w:rsid w:val="00FA6880"/>
    <w:rsid w:val="00FF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C66AC"/>
  <w15:docId w15:val="{E43A52B1-F358-4C6F-BDD4-9A1CF5D5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31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firmationReportparagraphtext">
    <w:name w:val="Confirmation Report paragraph text"/>
    <w:basedOn w:val="Normal"/>
    <w:link w:val="ConfirmationReportparagraphtextChar"/>
    <w:qFormat/>
    <w:rsid w:val="004A2470"/>
    <w:pPr>
      <w:spacing w:before="240" w:after="120" w:line="360" w:lineRule="auto"/>
    </w:pPr>
    <w:rPr>
      <w:rFonts w:ascii="Times New Roman" w:eastAsiaTheme="minorEastAsia" w:hAnsi="Times New Roman" w:cs="Times New Roman"/>
      <w:sz w:val="24"/>
      <w:szCs w:val="30"/>
      <w:lang w:eastAsia="en-AU"/>
    </w:rPr>
  </w:style>
  <w:style w:type="character" w:customStyle="1" w:styleId="ConfirmationReportparagraphtextChar">
    <w:name w:val="Confirmation Report paragraph text Char"/>
    <w:basedOn w:val="DefaultParagraphFont"/>
    <w:link w:val="ConfirmationReportparagraphtext"/>
    <w:rsid w:val="004A2470"/>
    <w:rPr>
      <w:rFonts w:ascii="Times New Roman" w:eastAsiaTheme="minorEastAsia" w:hAnsi="Times New Roman" w:cs="Times New Roman"/>
      <w:sz w:val="24"/>
      <w:szCs w:val="30"/>
      <w:lang w:eastAsia="en-AU"/>
    </w:rPr>
  </w:style>
  <w:style w:type="table" w:styleId="TableGrid">
    <w:name w:val="Table Grid"/>
    <w:basedOn w:val="TableNormal"/>
    <w:uiPriority w:val="39"/>
    <w:rsid w:val="004A2470"/>
    <w:pPr>
      <w:spacing w:after="0" w:line="240" w:lineRule="auto"/>
    </w:pPr>
    <w:rPr>
      <w:rFonts w:eastAsiaTheme="minorEastAsia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7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CFFC7-F4A7-4E88-BE47-0B913280E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Luna</dc:creator>
  <cp:keywords/>
  <dc:description/>
  <cp:lastModifiedBy>Mr Carlos Horacio Luna Flores</cp:lastModifiedBy>
  <cp:revision>2</cp:revision>
  <dcterms:created xsi:type="dcterms:W3CDTF">2018-08-08T18:40:00Z</dcterms:created>
  <dcterms:modified xsi:type="dcterms:W3CDTF">2018-08-08T18:40:00Z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Citation Style_1">
    <vt:lpwstr>http://www.zotero.org/styles/green-chemistry</vt:lpwstr>
  </property>
  <property fmtid="{D5CDD505-2E9C-101B-9397-08002B2CF9AE}" pid="3" name="Mendeley Document_1">
    <vt:lpwstr>True</vt:lpwstr>
  </property>
  <property fmtid="{D5CDD505-2E9C-101B-9397-08002B2CF9AE}" pid="4" name="Mendeley Unique User Id_1">
    <vt:lpwstr>142f9d67-eec0-3414-bb9c-836c257464af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http://www.zotero.org/styles/biotechnology-for-biofuels</vt:lpwstr>
  </property>
  <property fmtid="{D5CDD505-2E9C-101B-9397-08002B2CF9AE}" pid="12" name="Mendeley Recent Style Name 3_1">
    <vt:lpwstr>Biotechnology for Biofuels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http://www.zotero.org/styles/computational-and-structural-biotechnology-journal</vt:lpwstr>
  </property>
  <property fmtid="{D5CDD505-2E9C-101B-9397-08002B2CF9AE}" pid="16" name="Mendeley Recent Style Name 5_1">
    <vt:lpwstr>Computational and Structural Biotechnology Journal</vt:lpwstr>
  </property>
  <property fmtid="{D5CDD505-2E9C-101B-9397-08002B2CF9AE}" pid="17" name="Mendeley Recent Style Id 6_1">
    <vt:lpwstr>http://www.zotero.org/styles/engineering-in-life-sciences</vt:lpwstr>
  </property>
  <property fmtid="{D5CDD505-2E9C-101B-9397-08002B2CF9AE}" pid="18" name="Mendeley Recent Style Name 6_1">
    <vt:lpwstr>Engineering in Life Sciences</vt:lpwstr>
  </property>
  <property fmtid="{D5CDD505-2E9C-101B-9397-08002B2CF9AE}" pid="19" name="Mendeley Recent Style Id 7_1">
    <vt:lpwstr>http://www.zotero.org/styles/green-chemistry</vt:lpwstr>
  </property>
  <property fmtid="{D5CDD505-2E9C-101B-9397-08002B2CF9AE}" pid="20" name="Mendeley Recent Style Name 7_1">
    <vt:lpwstr>Green Chemistry</vt:lpwstr>
  </property>
  <property fmtid="{D5CDD505-2E9C-101B-9397-08002B2CF9AE}" pid="21" name="Mendeley Recent Style Id 8_1">
    <vt:lpwstr>http://www.zotero.org/styles/harvard-cite-them-right</vt:lpwstr>
  </property>
  <property fmtid="{D5CDD505-2E9C-101B-9397-08002B2CF9AE}" pid="22" name="Mendeley Recent Style Name 8_1">
    <vt:lpwstr>Harvard - Cite Them Right 9th edition</vt:lpwstr>
  </property>
  <property fmtid="{D5CDD505-2E9C-101B-9397-08002B2CF9AE}" pid="23" name="Mendeley Recent Style Id 9_1">
    <vt:lpwstr>http://www.zotero.org/styles/harvard1</vt:lpwstr>
  </property>
  <property fmtid="{D5CDD505-2E9C-101B-9397-08002B2CF9AE}" pid="24" name="Mendeley Recent Style Name 9_1">
    <vt:lpwstr>Harvard Reference format 1 (author-date)</vt:lpwstr>
  </property>
</Properties>
</file>