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2A1" w:rsidRDefault="009842A1" w:rsidP="009842A1">
      <w:pPr>
        <w:spacing w:after="200" w:line="480" w:lineRule="auto"/>
        <w:rPr>
          <w:rFonts w:eastAsia="Calibri"/>
          <w:szCs w:val="22"/>
        </w:rPr>
      </w:pPr>
      <w:r>
        <w:rPr>
          <w:rFonts w:eastAsia="Calibri"/>
          <w:szCs w:val="22"/>
        </w:rPr>
        <w:t>Assessing the Stability and Techno-Economic Implications for Wet Storage of Harvested Microalgae to Manage Seasonal Variability</w:t>
      </w:r>
    </w:p>
    <w:p w:rsidR="009818B6" w:rsidRPr="005F4F8F" w:rsidRDefault="009818B6" w:rsidP="009818B6">
      <w:pPr>
        <w:spacing w:line="480" w:lineRule="auto"/>
      </w:pPr>
      <w:r>
        <w:rPr>
          <w:rFonts w:eastAsia="Calibri"/>
          <w:szCs w:val="22"/>
        </w:rPr>
        <w:t>Lynn M. Wendt</w:t>
      </w:r>
      <w:r w:rsidRPr="00C81B61">
        <w:rPr>
          <w:rFonts w:eastAsia="Calibri"/>
          <w:szCs w:val="22"/>
          <w:vertAlign w:val="superscript"/>
        </w:rPr>
        <w:t>1</w:t>
      </w:r>
      <w:r w:rsidRPr="005F4F8F">
        <w:rPr>
          <w:vertAlign w:val="superscript"/>
        </w:rPr>
        <w:t>†</w:t>
      </w:r>
      <w:r>
        <w:rPr>
          <w:rFonts w:eastAsia="Calibri"/>
          <w:szCs w:val="22"/>
          <w:vertAlign w:val="superscript"/>
        </w:rPr>
        <w:t>*</w:t>
      </w:r>
      <w:r>
        <w:rPr>
          <w:rFonts w:eastAsia="Calibri"/>
          <w:szCs w:val="22"/>
        </w:rPr>
        <w:t>, Chris</w:t>
      </w:r>
      <w:r w:rsidR="00F60FA8">
        <w:rPr>
          <w:rFonts w:eastAsia="Calibri"/>
          <w:szCs w:val="22"/>
        </w:rPr>
        <w:t>topher</w:t>
      </w:r>
      <w:r>
        <w:rPr>
          <w:rFonts w:eastAsia="Calibri"/>
          <w:szCs w:val="22"/>
        </w:rPr>
        <w:t xml:space="preserve"> Kinchin</w:t>
      </w:r>
      <w:r>
        <w:rPr>
          <w:rFonts w:eastAsia="Calibri"/>
          <w:szCs w:val="22"/>
          <w:vertAlign w:val="superscript"/>
        </w:rPr>
        <w:t>2</w:t>
      </w:r>
      <w:r w:rsidRPr="005F4F8F">
        <w:rPr>
          <w:vertAlign w:val="superscript"/>
        </w:rPr>
        <w:t>†</w:t>
      </w:r>
      <w:r>
        <w:rPr>
          <w:rFonts w:eastAsia="Calibri"/>
          <w:szCs w:val="22"/>
        </w:rPr>
        <w:t>, Bradley D. Wahlen</w:t>
      </w:r>
      <w:r w:rsidRPr="00C81B61">
        <w:rPr>
          <w:rFonts w:eastAsia="Calibri"/>
          <w:szCs w:val="22"/>
          <w:vertAlign w:val="superscript"/>
        </w:rPr>
        <w:t>1</w:t>
      </w:r>
      <w:r>
        <w:rPr>
          <w:rFonts w:eastAsia="Calibri"/>
          <w:szCs w:val="22"/>
        </w:rPr>
        <w:t>, Ryan Davis</w:t>
      </w:r>
      <w:r>
        <w:rPr>
          <w:rFonts w:eastAsia="Calibri"/>
          <w:szCs w:val="22"/>
          <w:vertAlign w:val="superscript"/>
        </w:rPr>
        <w:t>2</w:t>
      </w:r>
      <w:r>
        <w:rPr>
          <w:rFonts w:eastAsia="Calibri"/>
          <w:szCs w:val="22"/>
        </w:rPr>
        <w:t>, Thomas Dempster</w:t>
      </w:r>
      <w:r>
        <w:rPr>
          <w:rFonts w:eastAsia="Calibri"/>
          <w:szCs w:val="22"/>
          <w:vertAlign w:val="superscript"/>
        </w:rPr>
        <w:t>3</w:t>
      </w:r>
      <w:r>
        <w:rPr>
          <w:rFonts w:eastAsia="Calibri"/>
          <w:szCs w:val="22"/>
        </w:rPr>
        <w:t>, Henri Gerken</w:t>
      </w:r>
      <w:r>
        <w:rPr>
          <w:rFonts w:eastAsia="Calibri"/>
          <w:szCs w:val="22"/>
          <w:vertAlign w:val="superscript"/>
        </w:rPr>
        <w:t>3</w:t>
      </w:r>
    </w:p>
    <w:p w:rsidR="009818B6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  <w:r w:rsidRPr="00C81B61">
        <w:rPr>
          <w:rFonts w:eastAsia="Calibri"/>
          <w:szCs w:val="22"/>
          <w:vertAlign w:val="superscript"/>
        </w:rPr>
        <w:t>1</w:t>
      </w:r>
      <w:r>
        <w:rPr>
          <w:rFonts w:eastAsia="Calibri"/>
          <w:szCs w:val="22"/>
          <w:vertAlign w:val="superscript"/>
        </w:rPr>
        <w:t xml:space="preserve"> </w:t>
      </w:r>
      <w:r>
        <w:rPr>
          <w:rFonts w:eastAsia="Calibri"/>
          <w:szCs w:val="22"/>
        </w:rPr>
        <w:t>Idaho National Laboratory, Biological and Chemical Processing Department, Idaho Falls, ID 83415</w:t>
      </w:r>
    </w:p>
    <w:p w:rsidR="009818B6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  <w:r>
        <w:rPr>
          <w:rFonts w:eastAsia="Calibri"/>
          <w:szCs w:val="22"/>
          <w:vertAlign w:val="superscript"/>
        </w:rPr>
        <w:t xml:space="preserve">2 </w:t>
      </w:r>
      <w:r>
        <w:rPr>
          <w:rFonts w:eastAsia="Calibri"/>
          <w:szCs w:val="22"/>
        </w:rPr>
        <w:t xml:space="preserve">National Renewable Energy Laboratory, Golden, CO 80401 </w:t>
      </w:r>
    </w:p>
    <w:p w:rsidR="009818B6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  <w:r>
        <w:rPr>
          <w:rFonts w:eastAsia="Calibri"/>
          <w:szCs w:val="22"/>
          <w:vertAlign w:val="superscript"/>
        </w:rPr>
        <w:t xml:space="preserve">3 </w:t>
      </w:r>
      <w:r>
        <w:rPr>
          <w:rFonts w:eastAsia="Calibri"/>
          <w:szCs w:val="22"/>
        </w:rPr>
        <w:t xml:space="preserve">Arizona State University, </w:t>
      </w:r>
      <w:r w:rsidRPr="004437CA">
        <w:rPr>
          <w:rFonts w:eastAsia="Calibri"/>
          <w:szCs w:val="22"/>
        </w:rPr>
        <w:t>Mesa, AZ 85212</w:t>
      </w:r>
    </w:p>
    <w:p w:rsidR="009818B6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</w:p>
    <w:p w:rsidR="009818B6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  <w:r w:rsidRPr="005F4F8F">
        <w:t>†</w:t>
      </w:r>
      <w:r>
        <w:rPr>
          <w:rFonts w:eastAsia="Calibri"/>
          <w:szCs w:val="22"/>
        </w:rPr>
        <w:t>These authors contributed equally to the manuscript.</w:t>
      </w:r>
    </w:p>
    <w:p w:rsidR="009818B6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</w:p>
    <w:p w:rsidR="009818B6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  <w:r>
        <w:rPr>
          <w:rFonts w:eastAsia="Calibri"/>
          <w:szCs w:val="22"/>
        </w:rPr>
        <w:t>*Corresponding author:</w:t>
      </w:r>
    </w:p>
    <w:p w:rsidR="009818B6" w:rsidRPr="005F4F8F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  <w:r w:rsidRPr="005F4F8F">
        <w:rPr>
          <w:rFonts w:eastAsia="Calibri"/>
          <w:szCs w:val="22"/>
        </w:rPr>
        <w:t>Lynn.Wendt@inl.gov</w:t>
      </w:r>
    </w:p>
    <w:p w:rsidR="009818B6" w:rsidRPr="005F4F8F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  <w:r w:rsidRPr="005F4F8F">
        <w:rPr>
          <w:rFonts w:eastAsia="Calibri"/>
          <w:szCs w:val="22"/>
        </w:rPr>
        <w:t>Idaho National Laboratory</w:t>
      </w:r>
    </w:p>
    <w:p w:rsidR="009818B6" w:rsidRPr="005F4F8F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  <w:r w:rsidRPr="005F4F8F">
        <w:rPr>
          <w:rFonts w:eastAsia="Calibri"/>
          <w:szCs w:val="22"/>
        </w:rPr>
        <w:t>P.O. Box 1625</w:t>
      </w:r>
    </w:p>
    <w:p w:rsidR="009818B6" w:rsidRPr="005F4F8F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  <w:r w:rsidRPr="005F4F8F">
        <w:rPr>
          <w:rFonts w:eastAsia="Calibri"/>
          <w:szCs w:val="22"/>
        </w:rPr>
        <w:t>Idaho Falls, Idaho 83415</w:t>
      </w:r>
    </w:p>
    <w:p w:rsidR="009818B6" w:rsidRPr="005F4F8F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  <w:r w:rsidRPr="005F4F8F">
        <w:rPr>
          <w:rFonts w:eastAsia="Calibri"/>
          <w:szCs w:val="22"/>
        </w:rPr>
        <w:t>Phone: 208-526-0479</w:t>
      </w:r>
    </w:p>
    <w:p w:rsidR="009818B6" w:rsidRDefault="009818B6" w:rsidP="009818B6">
      <w:pPr>
        <w:spacing w:after="200" w:line="480" w:lineRule="auto"/>
        <w:contextualSpacing/>
        <w:rPr>
          <w:rFonts w:eastAsia="Calibri"/>
          <w:szCs w:val="22"/>
        </w:rPr>
      </w:pPr>
      <w:r w:rsidRPr="005F4F8F">
        <w:rPr>
          <w:rFonts w:eastAsia="Calibri"/>
          <w:szCs w:val="22"/>
        </w:rPr>
        <w:t>Facsimile: 208-526-3150</w:t>
      </w:r>
    </w:p>
    <w:p w:rsidR="002B6DE3" w:rsidRDefault="009818B6" w:rsidP="009818B6">
      <w:pPr>
        <w:spacing w:after="200" w:line="480" w:lineRule="auto"/>
        <w:rPr>
          <w:rFonts w:eastAsia="Calibri"/>
          <w:szCs w:val="22"/>
        </w:rPr>
      </w:pPr>
      <w:r>
        <w:rPr>
          <w:rFonts w:eastAsia="Calibri"/>
          <w:szCs w:val="22"/>
        </w:rPr>
        <w:br w:type="page"/>
      </w:r>
    </w:p>
    <w:p w:rsidR="000E5813" w:rsidRPr="000E5813" w:rsidRDefault="003F2601" w:rsidP="000E5813">
      <w:pPr>
        <w:rPr>
          <w:color w:val="000000"/>
        </w:rPr>
      </w:pPr>
      <w:r>
        <w:rPr>
          <w:szCs w:val="18"/>
        </w:rPr>
        <w:lastRenderedPageBreak/>
        <w:t>Additional file 1:</w:t>
      </w:r>
      <w:r w:rsidR="000E5813" w:rsidRPr="000E5813">
        <w:rPr>
          <w:szCs w:val="18"/>
        </w:rPr>
        <w:t xml:space="preserve"> </w:t>
      </w:r>
      <w:r w:rsidR="00BF0EBF">
        <w:rPr>
          <w:szCs w:val="18"/>
        </w:rPr>
        <w:t>Figure</w:t>
      </w:r>
      <w:r w:rsidR="000E5813" w:rsidRPr="000E5813">
        <w:rPr>
          <w:szCs w:val="18"/>
        </w:rPr>
        <w:t xml:space="preserve"> </w:t>
      </w:r>
      <w:r w:rsidR="00030FB7">
        <w:rPr>
          <w:szCs w:val="18"/>
        </w:rPr>
        <w:t>S</w:t>
      </w:r>
      <w:r w:rsidR="000E5813" w:rsidRPr="000E5813">
        <w:rPr>
          <w:szCs w:val="18"/>
        </w:rPr>
        <w:t xml:space="preserve">1. </w:t>
      </w:r>
      <w:r w:rsidR="000E5813" w:rsidRPr="000E5813">
        <w:t xml:space="preserve">Storage performance of </w:t>
      </w:r>
      <w:r w:rsidR="000E5813" w:rsidRPr="000E5813">
        <w:rPr>
          <w:i/>
        </w:rPr>
        <w:t>Scenedesmus acutus</w:t>
      </w:r>
      <w:r w:rsidR="000E5813" w:rsidRPr="000E5813">
        <w:t xml:space="preserve"> biomass after 30 or 180 days of wet anaerobic storage. </w:t>
      </w:r>
      <w:r w:rsidR="000E5813" w:rsidRPr="000E5813">
        <w:rPr>
          <w:color w:val="000000"/>
        </w:rPr>
        <w:t>Error bars represent lower and upper bounds of approximate 95% confidence inte</w:t>
      </w:r>
      <w:r w:rsidR="000E5813" w:rsidRPr="00BF0EBF">
        <w:rPr>
          <w:color w:val="000000"/>
        </w:rPr>
        <w:t>rvals. Points</w:t>
      </w:r>
      <w:r w:rsidR="000E5813" w:rsidRPr="000E5813">
        <w:rPr>
          <w:color w:val="000000"/>
        </w:rPr>
        <w:t xml:space="preserve"> represent the observed mean in each category.</w:t>
      </w:r>
    </w:p>
    <w:p w:rsidR="000E5813" w:rsidRDefault="000E5813" w:rsidP="009818B6">
      <w:pPr>
        <w:spacing w:after="200" w:line="480" w:lineRule="auto"/>
        <w:rPr>
          <w:szCs w:val="18"/>
        </w:rPr>
      </w:pPr>
    </w:p>
    <w:p w:rsidR="000E5813" w:rsidRDefault="000E5813" w:rsidP="009818B6">
      <w:pPr>
        <w:spacing w:after="200" w:line="480" w:lineRule="auto"/>
        <w:rPr>
          <w:rFonts w:eastAsia="Calibri"/>
          <w:szCs w:val="22"/>
        </w:rPr>
        <w:sectPr w:rsidR="000E5813" w:rsidSect="003F2601">
          <w:headerReference w:type="default" r:id="rId6"/>
          <w:footerReference w:type="default" r:id="rId7"/>
          <w:type w:val="nextPage"/>
          <w:pgSz w:w="12240" w:h="15840" w:code="1"/>
          <w:pgMar w:top="1440" w:right="1440" w:bottom="1440" w:left="1440" w:header="720" w:footer="720" w:gutter="0"/>
          <w:cols w:space="720"/>
          <w:docGrid w:linePitch="326"/>
        </w:sectPr>
      </w:pPr>
      <w:r>
        <w:rPr>
          <w:noProof/>
          <w:szCs w:val="18"/>
          <w:lang w:val="en-IN" w:eastAsia="en-IN"/>
        </w:rPr>
        <w:drawing>
          <wp:inline distT="0" distB="0" distL="0" distR="0">
            <wp:extent cx="5943600" cy="7132320"/>
            <wp:effectExtent l="0" t="0" r="0" b="0"/>
            <wp:docPr id="2" name="Picture 2" descr="Z:\Staff Folders\Wendt\1.3.3.100 Algal Feedstock Logistics\INL NREL manuscript\Submitted documents\Table 1resul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Staff Folders\Wendt\1.3.3.100 Algal Feedstock Logistics\INL NREL manuscript\Submitted documents\Table 1result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132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8B6" w:rsidRDefault="009818B6" w:rsidP="009818B6">
      <w:pPr>
        <w:spacing w:after="200" w:line="480" w:lineRule="auto"/>
        <w:rPr>
          <w:rFonts w:eastAsia="Calibri"/>
          <w:szCs w:val="22"/>
        </w:rPr>
      </w:pPr>
    </w:p>
    <w:p w:rsidR="00AB7B48" w:rsidRDefault="003F2601" w:rsidP="009818B6">
      <w:pPr>
        <w:spacing w:after="200" w:line="276" w:lineRule="auto"/>
        <w:rPr>
          <w:szCs w:val="18"/>
        </w:rPr>
      </w:pPr>
      <w:r>
        <w:rPr>
          <w:szCs w:val="18"/>
        </w:rPr>
        <w:t>Additional file 1:</w:t>
      </w:r>
      <w:r w:rsidRPr="000E5813">
        <w:rPr>
          <w:szCs w:val="18"/>
        </w:rPr>
        <w:t xml:space="preserve"> </w:t>
      </w:r>
      <w:r w:rsidR="00BF0EBF">
        <w:rPr>
          <w:szCs w:val="18"/>
        </w:rPr>
        <w:t>Figure</w:t>
      </w:r>
      <w:r w:rsidR="00AB7B48" w:rsidRPr="009818B6">
        <w:rPr>
          <w:szCs w:val="18"/>
        </w:rPr>
        <w:t xml:space="preserve"> </w:t>
      </w:r>
      <w:r w:rsidR="00030FB7">
        <w:rPr>
          <w:szCs w:val="18"/>
        </w:rPr>
        <w:t>S</w:t>
      </w:r>
      <w:r w:rsidR="000E5813">
        <w:rPr>
          <w:szCs w:val="18"/>
        </w:rPr>
        <w:t>2</w:t>
      </w:r>
      <w:r w:rsidR="00AB7B48" w:rsidRPr="009818B6">
        <w:rPr>
          <w:szCs w:val="18"/>
        </w:rPr>
        <w:t xml:space="preserve">. </w:t>
      </w:r>
      <w:r w:rsidR="00AB7B48">
        <w:rPr>
          <w:szCs w:val="18"/>
        </w:rPr>
        <w:t>Fatty acid composition of</w:t>
      </w:r>
      <w:r w:rsidR="00AB7B48" w:rsidRPr="009818B6">
        <w:rPr>
          <w:szCs w:val="18"/>
        </w:rPr>
        <w:t xml:space="preserve"> </w:t>
      </w:r>
      <w:r w:rsidR="00AB7B48" w:rsidRPr="009818B6">
        <w:rPr>
          <w:i/>
          <w:szCs w:val="18"/>
        </w:rPr>
        <w:t xml:space="preserve">Scenedesmus acutus </w:t>
      </w:r>
      <w:r w:rsidR="00AB7B48" w:rsidRPr="009818B6">
        <w:rPr>
          <w:szCs w:val="18"/>
        </w:rPr>
        <w:t>algae biomass (20% solids) after 30 or 180 days of wet anaerobic storage</w:t>
      </w:r>
      <w:r w:rsidR="00AB7B48">
        <w:rPr>
          <w:noProof/>
          <w:szCs w:val="18"/>
          <w:lang w:val="en-IN" w:eastAsia="en-IN"/>
        </w:rPr>
        <w:drawing>
          <wp:inline distT="0" distB="0" distL="0" distR="0">
            <wp:extent cx="7315200" cy="3703320"/>
            <wp:effectExtent l="0" t="0" r="0" b="0"/>
            <wp:docPr id="1" name="Picture 1" descr="C:\Users\petzlm\Desktop\Lipid compositio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zlm\Desktop\Lipid composition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7B48">
        <w:rPr>
          <w:szCs w:val="18"/>
        </w:rPr>
        <w:br w:type="page"/>
      </w:r>
    </w:p>
    <w:p w:rsidR="009818B6" w:rsidRPr="009818B6" w:rsidRDefault="003F2601" w:rsidP="009818B6">
      <w:pPr>
        <w:spacing w:after="200" w:line="276" w:lineRule="auto"/>
        <w:rPr>
          <w:rFonts w:eastAsia="Calibri"/>
          <w:sz w:val="36"/>
          <w:szCs w:val="22"/>
        </w:rPr>
      </w:pPr>
      <w:r>
        <w:rPr>
          <w:szCs w:val="18"/>
        </w:rPr>
        <w:lastRenderedPageBreak/>
        <w:t>Additional file 1:</w:t>
      </w:r>
      <w:r w:rsidRPr="000E5813">
        <w:rPr>
          <w:szCs w:val="18"/>
        </w:rPr>
        <w:t xml:space="preserve"> </w:t>
      </w:r>
      <w:r w:rsidR="009818B6" w:rsidRPr="009818B6">
        <w:rPr>
          <w:szCs w:val="18"/>
        </w:rPr>
        <w:t xml:space="preserve">Table </w:t>
      </w:r>
      <w:r w:rsidR="00030FB7">
        <w:rPr>
          <w:szCs w:val="18"/>
        </w:rPr>
        <w:t>S</w:t>
      </w:r>
      <w:r w:rsidR="009818B6" w:rsidRPr="009818B6">
        <w:rPr>
          <w:szCs w:val="18"/>
        </w:rPr>
        <w:t xml:space="preserve">1. Proximate and ultimate analysis of </w:t>
      </w:r>
      <w:r w:rsidR="009818B6" w:rsidRPr="009818B6">
        <w:rPr>
          <w:i/>
          <w:szCs w:val="18"/>
        </w:rPr>
        <w:t xml:space="preserve">Scenedesmus acutus </w:t>
      </w:r>
      <w:r w:rsidR="009818B6" w:rsidRPr="009818B6">
        <w:rPr>
          <w:szCs w:val="18"/>
        </w:rPr>
        <w:t>algae biomass (20% solids) after 30 or 180 days of wet anaerobic storage</w:t>
      </w:r>
    </w:p>
    <w:tbl>
      <w:tblPr>
        <w:tblStyle w:val="TableGridLight1"/>
        <w:tblW w:w="13675" w:type="dxa"/>
        <w:tblLayout w:type="fixed"/>
        <w:tblLook w:val="04A0"/>
      </w:tblPr>
      <w:tblGrid>
        <w:gridCol w:w="1908"/>
        <w:gridCol w:w="1008"/>
        <w:gridCol w:w="1144"/>
        <w:gridCol w:w="1173"/>
        <w:gridCol w:w="1170"/>
        <w:gridCol w:w="1260"/>
        <w:gridCol w:w="1170"/>
        <w:gridCol w:w="1260"/>
        <w:gridCol w:w="1170"/>
        <w:gridCol w:w="1260"/>
        <w:gridCol w:w="1152"/>
      </w:tblGrid>
      <w:tr w:rsidR="009818B6" w:rsidRPr="0013342C" w:rsidTr="00AB7B48">
        <w:tc>
          <w:tcPr>
            <w:tcW w:w="13675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818B6" w:rsidRPr="0013342C" w:rsidRDefault="009818B6" w:rsidP="009818B6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 xml:space="preserve"> </w:t>
            </w:r>
          </w:p>
        </w:tc>
      </w:tr>
      <w:tr w:rsidR="009818B6" w:rsidRPr="0013342C" w:rsidTr="00AB7B4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Experimental Condition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Length of Storage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C</w:t>
            </w:r>
            <w:r>
              <w:rPr>
                <w:sz w:val="18"/>
                <w:szCs w:val="18"/>
              </w:rPr>
              <w:t>arbon</w:t>
            </w:r>
          </w:p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(%, db)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H</w:t>
            </w:r>
            <w:r>
              <w:rPr>
                <w:sz w:val="18"/>
                <w:szCs w:val="18"/>
              </w:rPr>
              <w:t>ydrogen</w:t>
            </w:r>
          </w:p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(%, db)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itrogen</w:t>
            </w:r>
          </w:p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(%, db)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xygen</w:t>
            </w:r>
          </w:p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(%, db)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t>ulfur</w:t>
            </w:r>
          </w:p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(%, db)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Volatiles</w:t>
            </w:r>
          </w:p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(%, db)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Ash</w:t>
            </w:r>
          </w:p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(%, db)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Fixed Carbon</w:t>
            </w:r>
          </w:p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(%, db)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HHV (BTU/g)</w:t>
            </w:r>
          </w:p>
        </w:tc>
      </w:tr>
      <w:tr w:rsidR="009818B6" w:rsidRPr="0013342C" w:rsidTr="00AB7B4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FE1475">
              <w:rPr>
                <w:i/>
                <w:sz w:val="18"/>
                <w:szCs w:val="18"/>
              </w:rPr>
              <w:t>S. acutus</w:t>
            </w:r>
            <w:r w:rsidRPr="0013342C">
              <w:rPr>
                <w:sz w:val="18"/>
                <w:szCs w:val="18"/>
              </w:rPr>
              <w:t xml:space="preserve"> </w:t>
            </w:r>
            <w:r w:rsidRPr="0013342C">
              <w:t>– t</w:t>
            </w:r>
            <w:r w:rsidRPr="0013342C">
              <w:rPr>
                <w:vertAlign w:val="subscript"/>
              </w:rPr>
              <w:t>0</w:t>
            </w:r>
            <w:r w:rsidR="00FE1475" w:rsidRPr="00FE1475">
              <w:rPr>
                <w:vertAlign w:val="superscript"/>
              </w:rPr>
              <w:t>1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51.31 ± 0.07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7.22 ± 0.03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6.72 ± 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ND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ND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ND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10003 ± 13</w:t>
            </w:r>
          </w:p>
        </w:tc>
      </w:tr>
      <w:tr w:rsidR="009818B6" w:rsidRPr="0013342C" w:rsidTr="00AB7B48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Anaerobic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30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51.05 ± 0.06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7.28 ± 0.03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color w:val="000000"/>
                <w:sz w:val="18"/>
                <w:szCs w:val="18"/>
              </w:rPr>
            </w:pPr>
            <w:r w:rsidRPr="0013342C">
              <w:rPr>
                <w:color w:val="000000"/>
                <w:sz w:val="18"/>
                <w:szCs w:val="18"/>
              </w:rPr>
              <w:t>6.57 ± 0.22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ND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ND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ND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ND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10010 ± 6</w:t>
            </w:r>
          </w:p>
        </w:tc>
      </w:tr>
      <w:tr w:rsidR="009818B6" w:rsidRPr="0013342C" w:rsidTr="00AB7B48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53.05 ± 0.07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7.14 ± 0.03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6.72 ± 0.03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29.31 ± 0.11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0.27 ± 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85.88 ± 0.20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3.50 ± 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10.62 ± 0.19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10154 ± 24</w:t>
            </w:r>
          </w:p>
        </w:tc>
      </w:tr>
      <w:tr w:rsidR="009818B6" w:rsidRPr="0013342C" w:rsidTr="00AB7B48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Sulfuric Acid 0.5% (db)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30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52.57 ± 0.24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7.05 ± 0.06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7.04 ± 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29.32 ± 0.30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0.26 ± 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86.35 ± 0.30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3.75 ± 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9.89 ± 0.32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10230 ± 54</w:t>
            </w:r>
          </w:p>
        </w:tc>
      </w:tr>
      <w:tr w:rsidR="009818B6" w:rsidRPr="0013342C" w:rsidTr="00AB7B48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53.22 ± 0.05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7.19 ± 0.02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7.19 ± 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28.21 ± 0.05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0.30 ± 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85.86 ± 0.06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3.89 ± 0.04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10.25 ± 0.09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10260 ± 4</w:t>
            </w:r>
          </w:p>
        </w:tc>
      </w:tr>
      <w:tr w:rsidR="009818B6" w:rsidRPr="0013342C" w:rsidTr="00AB7B48">
        <w:tc>
          <w:tcPr>
            <w:tcW w:w="19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i/>
                <w:sz w:val="18"/>
                <w:szCs w:val="18"/>
              </w:rPr>
            </w:pPr>
            <w:r w:rsidRPr="0013342C">
              <w:rPr>
                <w:i/>
                <w:sz w:val="18"/>
                <w:szCs w:val="18"/>
              </w:rPr>
              <w:t xml:space="preserve">S. acutus </w:t>
            </w:r>
            <w:r w:rsidRPr="0013342C">
              <w:t>– t</w:t>
            </w:r>
            <w:r w:rsidRPr="0013342C">
              <w:rPr>
                <w:vertAlign w:val="subscript"/>
              </w:rPr>
              <w:t>0</w:t>
            </w:r>
            <w:r w:rsidR="00FE1475" w:rsidRPr="00FE1475">
              <w:rPr>
                <w:vertAlign w:val="superscript"/>
              </w:rPr>
              <w:t>2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52.45 ± 0.09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6.90 ± 0.03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6.85 ± 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30.01 ± 0.12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0.28 ± 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84.62 ± 0.10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3.50 ± 0.08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11.87 ± 0.15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18B6" w:rsidRPr="0013342C" w:rsidRDefault="009818B6" w:rsidP="0040675D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10099 ± 42</w:t>
            </w:r>
          </w:p>
        </w:tc>
      </w:tr>
      <w:tr w:rsidR="00FE1475" w:rsidRPr="0013342C" w:rsidTr="00AB7B48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Glycosidase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30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54.89 ± 0.38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7.10 ± 0.05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7.51 ± 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26.37 ± 0.48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0.31 ± 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85.73 ± 0.14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3.81 ± 0.06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10.46 ± 0.19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10731 ± 56</w:t>
            </w:r>
          </w:p>
        </w:tc>
      </w:tr>
      <w:tr w:rsidR="00FE1475" w:rsidRPr="0013342C" w:rsidTr="00AB7B48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180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56.40 ± 0.58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7.35 ± 0.10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8.26 ± 0.10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23.34 ± 0.78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0.29 ± 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85.40 ± 0.14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4.36 ± 0.04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10.24 ± 0.15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C0779D">
              <w:rPr>
                <w:rFonts w:cs="Arial"/>
                <w:sz w:val="18"/>
                <w:szCs w:val="18"/>
              </w:rPr>
              <w:t>10943 ± 37</w:t>
            </w:r>
          </w:p>
        </w:tc>
      </w:tr>
      <w:tr w:rsidR="00FE1475" w:rsidRPr="0013342C" w:rsidTr="00AB7B48">
        <w:tc>
          <w:tcPr>
            <w:tcW w:w="19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Glucose oxidase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30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56.53 ± 0.05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7.19 ± 0.03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7.95 ± 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24.05 ± 0.07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0.27 ± 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85.49 ± 0.22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4.01 ± 0.07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10.50 ± 0.20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11093 ± 19</w:t>
            </w:r>
          </w:p>
        </w:tc>
      </w:tr>
      <w:tr w:rsidR="00FE1475" w:rsidRPr="0013342C" w:rsidTr="00AB7B48">
        <w:tc>
          <w:tcPr>
            <w:tcW w:w="19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180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56.94 ± 0.08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7.32 ± 0.02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8.58 ± 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22.65 ± 0.07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0.25 ± 0.01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85.68 ± 0.13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4.27 ± 0.02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10.05 ± 0.14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1475" w:rsidRPr="0013342C" w:rsidRDefault="00FE1475" w:rsidP="00FE1475">
            <w:pPr>
              <w:rPr>
                <w:sz w:val="18"/>
                <w:szCs w:val="18"/>
              </w:rPr>
            </w:pPr>
            <w:r w:rsidRPr="0013342C">
              <w:rPr>
                <w:sz w:val="18"/>
                <w:szCs w:val="18"/>
              </w:rPr>
              <w:t>11242 ± 22</w:t>
            </w:r>
          </w:p>
        </w:tc>
      </w:tr>
      <w:tr w:rsidR="00FE1475" w:rsidRPr="0013342C" w:rsidTr="00AB7B48">
        <w:tc>
          <w:tcPr>
            <w:tcW w:w="13675" w:type="dxa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1475" w:rsidRPr="009842A1" w:rsidRDefault="00FE1475" w:rsidP="00FE1475">
            <w:pPr>
              <w:rPr>
                <w:sz w:val="16"/>
                <w:szCs w:val="16"/>
              </w:rPr>
            </w:pPr>
            <w:r w:rsidRPr="009842A1">
              <w:rPr>
                <w:sz w:val="16"/>
                <w:szCs w:val="16"/>
              </w:rPr>
              <w:t>H</w:t>
            </w:r>
            <w:r w:rsidR="002B6DE3">
              <w:rPr>
                <w:sz w:val="16"/>
                <w:szCs w:val="16"/>
              </w:rPr>
              <w:t>HV</w:t>
            </w:r>
            <w:r w:rsidRPr="009842A1">
              <w:rPr>
                <w:sz w:val="16"/>
                <w:szCs w:val="16"/>
              </w:rPr>
              <w:t>-Higher Heating Value</w:t>
            </w:r>
          </w:p>
          <w:p w:rsidR="00FE1475" w:rsidRPr="0013342C" w:rsidRDefault="00FE1475" w:rsidP="009842A1">
            <w:pPr>
              <w:rPr>
                <w:sz w:val="18"/>
                <w:szCs w:val="18"/>
              </w:rPr>
            </w:pPr>
            <w:r w:rsidRPr="009842A1">
              <w:rPr>
                <w:sz w:val="16"/>
                <w:szCs w:val="16"/>
                <w:vertAlign w:val="superscript"/>
              </w:rPr>
              <w:t xml:space="preserve">1, 2 </w:t>
            </w:r>
            <w:r w:rsidR="009842A1" w:rsidRPr="009842A1">
              <w:rPr>
                <w:sz w:val="16"/>
                <w:szCs w:val="16"/>
              </w:rPr>
              <w:t>Harvest</w:t>
            </w:r>
            <w:r w:rsidR="009842A1">
              <w:rPr>
                <w:sz w:val="16"/>
                <w:szCs w:val="16"/>
              </w:rPr>
              <w:t xml:space="preserve"> 1 and 2</w:t>
            </w:r>
          </w:p>
        </w:tc>
      </w:tr>
    </w:tbl>
    <w:p w:rsidR="009818B6" w:rsidRDefault="009818B6" w:rsidP="009818B6">
      <w:pPr>
        <w:spacing w:after="200" w:line="276" w:lineRule="auto"/>
        <w:rPr>
          <w:rFonts w:eastAsia="Calibri"/>
          <w:szCs w:val="22"/>
        </w:rPr>
        <w:sectPr w:rsidR="009818B6" w:rsidSect="003F2601">
          <w:type w:val="nextPage"/>
          <w:pgSz w:w="15840" w:h="12240" w:orient="landscape" w:code="1"/>
          <w:pgMar w:top="1440" w:right="1440" w:bottom="1440" w:left="1440" w:header="720" w:footer="720" w:gutter="0"/>
          <w:cols w:space="720"/>
          <w:docGrid w:linePitch="326"/>
        </w:sectPr>
      </w:pPr>
    </w:p>
    <w:p w:rsidR="009818B6" w:rsidRPr="0013342C" w:rsidRDefault="009818B6" w:rsidP="009818B6">
      <w:pPr>
        <w:spacing w:after="200" w:line="276" w:lineRule="auto"/>
        <w:rPr>
          <w:rFonts w:eastAsia="Calibri"/>
          <w:szCs w:val="22"/>
        </w:rPr>
      </w:pPr>
    </w:p>
    <w:p w:rsidR="009818B6" w:rsidRPr="006C0AB4" w:rsidRDefault="009818B6" w:rsidP="009818B6">
      <w:pPr>
        <w:rPr>
          <w:rFonts w:ascii="Arial" w:hAnsi="Arial" w:cs="Arial"/>
          <w:sz w:val="22"/>
          <w:szCs w:val="22"/>
        </w:rPr>
      </w:pPr>
    </w:p>
    <w:p w:rsidR="009818B6" w:rsidRDefault="003F2601" w:rsidP="009818B6">
      <w:r>
        <w:rPr>
          <w:szCs w:val="18"/>
        </w:rPr>
        <w:t>Additional file 1:</w:t>
      </w:r>
      <w:r w:rsidRPr="000E5813">
        <w:rPr>
          <w:szCs w:val="18"/>
        </w:rPr>
        <w:t xml:space="preserve"> </w:t>
      </w:r>
      <w:r w:rsidR="009818B6">
        <w:t xml:space="preserve">Table </w:t>
      </w:r>
      <w:r w:rsidR="00030FB7">
        <w:t>S</w:t>
      </w:r>
      <w:r w:rsidR="009818B6">
        <w:t>2. Capital and operating costs utilized for dryers and dry and wet storage vessels.</w:t>
      </w:r>
    </w:p>
    <w:p w:rsidR="009818B6" w:rsidRPr="009818B6" w:rsidRDefault="009818B6" w:rsidP="009818B6">
      <w:pPr>
        <w:rPr>
          <w:sz w:val="28"/>
        </w:rPr>
      </w:pPr>
    </w:p>
    <w:tbl>
      <w:tblPr>
        <w:tblStyle w:val="TableGrid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/>
      </w:tblPr>
      <w:tblGrid>
        <w:gridCol w:w="5130"/>
        <w:gridCol w:w="1350"/>
      </w:tblGrid>
      <w:tr w:rsidR="009818B6" w:rsidRPr="009818B6" w:rsidTr="0040675D">
        <w:trPr>
          <w:jc w:val="center"/>
        </w:trPr>
        <w:tc>
          <w:tcPr>
            <w:tcW w:w="513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818B6" w:rsidRPr="009818B6" w:rsidRDefault="009818B6" w:rsidP="0040675D">
            <w:pPr>
              <w:spacing w:before="60" w:after="60"/>
            </w:pPr>
            <w:r w:rsidRPr="009818B6">
              <w:rPr>
                <w:b/>
              </w:rPr>
              <w:t>Capital Costs, MM$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6" w:space="0" w:color="auto"/>
            </w:tcBorders>
            <w:vAlign w:val="center"/>
          </w:tcPr>
          <w:p w:rsidR="009818B6" w:rsidRPr="009818B6" w:rsidRDefault="009818B6" w:rsidP="0040675D">
            <w:pPr>
              <w:spacing w:before="60" w:after="60"/>
              <w:jc w:val="right"/>
            </w:pPr>
          </w:p>
        </w:tc>
      </w:tr>
      <w:tr w:rsidR="009818B6" w:rsidRPr="009818B6" w:rsidTr="0040675D">
        <w:trPr>
          <w:jc w:val="center"/>
        </w:trPr>
        <w:tc>
          <w:tcPr>
            <w:tcW w:w="5130" w:type="dxa"/>
            <w:tcBorders>
              <w:top w:val="single" w:sz="6" w:space="0" w:color="auto"/>
            </w:tcBorders>
            <w:vAlign w:val="center"/>
          </w:tcPr>
          <w:p w:rsidR="009818B6" w:rsidRPr="009818B6" w:rsidRDefault="009818B6" w:rsidP="0040675D">
            <w:pPr>
              <w:spacing w:before="60" w:after="60"/>
            </w:pPr>
            <w:r w:rsidRPr="009818B6">
              <w:t xml:space="preserve">   Above-ground storage vessels (304SS)</w:t>
            </w:r>
          </w:p>
        </w:tc>
        <w:tc>
          <w:tcPr>
            <w:tcW w:w="1350" w:type="dxa"/>
            <w:tcBorders>
              <w:top w:val="single" w:sz="6" w:space="0" w:color="auto"/>
            </w:tcBorders>
            <w:vAlign w:val="center"/>
          </w:tcPr>
          <w:p w:rsidR="009818B6" w:rsidRPr="009818B6" w:rsidRDefault="009818B6" w:rsidP="0040675D">
            <w:pPr>
              <w:spacing w:before="60" w:after="60"/>
              <w:jc w:val="right"/>
            </w:pPr>
            <w:r w:rsidRPr="009818B6">
              <w:t>$46.6</w:t>
            </w:r>
          </w:p>
        </w:tc>
      </w:tr>
      <w:tr w:rsidR="009818B6" w:rsidRPr="009818B6" w:rsidTr="0040675D">
        <w:trPr>
          <w:jc w:val="center"/>
        </w:trPr>
        <w:tc>
          <w:tcPr>
            <w:tcW w:w="5130" w:type="dxa"/>
            <w:vAlign w:val="center"/>
          </w:tcPr>
          <w:p w:rsidR="009818B6" w:rsidRPr="009818B6" w:rsidRDefault="009818B6" w:rsidP="0040675D">
            <w:pPr>
              <w:spacing w:before="60" w:after="60"/>
            </w:pPr>
            <w:r w:rsidRPr="009818B6">
              <w:t xml:space="preserve">   In-ground storage pits (plastic lined)</w:t>
            </w:r>
          </w:p>
        </w:tc>
        <w:tc>
          <w:tcPr>
            <w:tcW w:w="1350" w:type="dxa"/>
            <w:vAlign w:val="center"/>
          </w:tcPr>
          <w:p w:rsidR="009818B6" w:rsidRPr="009818B6" w:rsidRDefault="009818B6" w:rsidP="0040675D">
            <w:pPr>
              <w:spacing w:before="60" w:after="60"/>
              <w:jc w:val="right"/>
            </w:pPr>
            <w:r w:rsidRPr="009818B6">
              <w:t>$4.3</w:t>
            </w:r>
          </w:p>
        </w:tc>
      </w:tr>
      <w:tr w:rsidR="009818B6" w:rsidRPr="009818B6" w:rsidTr="0040675D">
        <w:trPr>
          <w:jc w:val="center"/>
        </w:trPr>
        <w:tc>
          <w:tcPr>
            <w:tcW w:w="5130" w:type="dxa"/>
            <w:vAlign w:val="center"/>
          </w:tcPr>
          <w:p w:rsidR="009818B6" w:rsidRPr="009818B6" w:rsidRDefault="009818B6" w:rsidP="0040675D">
            <w:pPr>
              <w:spacing w:before="60" w:after="60"/>
            </w:pPr>
            <w:r w:rsidRPr="009818B6">
              <w:t xml:space="preserve">      Cover for in-ground storage pit (plastic cover)</w:t>
            </w:r>
          </w:p>
        </w:tc>
        <w:tc>
          <w:tcPr>
            <w:tcW w:w="1350" w:type="dxa"/>
            <w:vAlign w:val="center"/>
          </w:tcPr>
          <w:p w:rsidR="009818B6" w:rsidRPr="009818B6" w:rsidRDefault="009818B6" w:rsidP="0040675D">
            <w:pPr>
              <w:spacing w:before="60" w:after="60"/>
              <w:jc w:val="right"/>
            </w:pPr>
            <w:r w:rsidRPr="009818B6">
              <w:t>$0.4</w:t>
            </w:r>
          </w:p>
        </w:tc>
      </w:tr>
      <w:tr w:rsidR="009818B6" w:rsidRPr="009818B6" w:rsidTr="0040675D">
        <w:trPr>
          <w:jc w:val="center"/>
        </w:trPr>
        <w:tc>
          <w:tcPr>
            <w:tcW w:w="5130" w:type="dxa"/>
            <w:vAlign w:val="center"/>
          </w:tcPr>
          <w:p w:rsidR="009818B6" w:rsidRPr="009818B6" w:rsidRDefault="009818B6" w:rsidP="0040675D">
            <w:pPr>
              <w:spacing w:before="60" w:after="60"/>
            </w:pPr>
            <w:r w:rsidRPr="009818B6">
              <w:t xml:space="preserve">   Rotary drum dryer</w:t>
            </w:r>
          </w:p>
        </w:tc>
        <w:tc>
          <w:tcPr>
            <w:tcW w:w="1350" w:type="dxa"/>
            <w:vAlign w:val="center"/>
          </w:tcPr>
          <w:p w:rsidR="009818B6" w:rsidRPr="009818B6" w:rsidRDefault="009818B6" w:rsidP="0040675D">
            <w:pPr>
              <w:spacing w:before="60" w:after="60"/>
              <w:jc w:val="right"/>
            </w:pPr>
            <w:r w:rsidRPr="009818B6">
              <w:t>$7.2</w:t>
            </w:r>
          </w:p>
        </w:tc>
      </w:tr>
      <w:tr w:rsidR="009818B6" w:rsidRPr="009818B6" w:rsidTr="0040675D">
        <w:trPr>
          <w:jc w:val="center"/>
        </w:trPr>
        <w:tc>
          <w:tcPr>
            <w:tcW w:w="5130" w:type="dxa"/>
            <w:tcBorders>
              <w:bottom w:val="single" w:sz="4" w:space="0" w:color="auto"/>
            </w:tcBorders>
            <w:vAlign w:val="center"/>
          </w:tcPr>
          <w:p w:rsidR="009818B6" w:rsidRPr="009818B6" w:rsidRDefault="009818B6" w:rsidP="0040675D">
            <w:pPr>
              <w:spacing w:before="60" w:after="60"/>
            </w:pPr>
            <w:r w:rsidRPr="009818B6">
              <w:t xml:space="preserve">   Contact drum dryer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:rsidR="009818B6" w:rsidRPr="009818B6" w:rsidRDefault="009818B6" w:rsidP="0040675D">
            <w:pPr>
              <w:spacing w:before="60" w:after="60"/>
              <w:jc w:val="right"/>
            </w:pPr>
            <w:r w:rsidRPr="009818B6">
              <w:t>$20.4</w:t>
            </w:r>
          </w:p>
        </w:tc>
      </w:tr>
      <w:tr w:rsidR="009818B6" w:rsidRPr="009818B6" w:rsidTr="0040675D">
        <w:trPr>
          <w:jc w:val="center"/>
        </w:trPr>
        <w:tc>
          <w:tcPr>
            <w:tcW w:w="51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8B6" w:rsidRPr="009818B6" w:rsidRDefault="009818B6" w:rsidP="0040675D">
            <w:pPr>
              <w:spacing w:before="60" w:after="60"/>
            </w:pPr>
            <w:r w:rsidRPr="009818B6">
              <w:rPr>
                <w:b/>
              </w:rPr>
              <w:t>Operating Costs, MM$/yr</w:t>
            </w:r>
          </w:p>
        </w:tc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818B6" w:rsidRPr="009818B6" w:rsidRDefault="009818B6" w:rsidP="0040675D">
            <w:pPr>
              <w:spacing w:before="60" w:after="60"/>
              <w:jc w:val="right"/>
            </w:pPr>
          </w:p>
        </w:tc>
      </w:tr>
      <w:tr w:rsidR="009818B6" w:rsidRPr="009818B6" w:rsidTr="0040675D">
        <w:trPr>
          <w:jc w:val="center"/>
        </w:trPr>
        <w:tc>
          <w:tcPr>
            <w:tcW w:w="5130" w:type="dxa"/>
            <w:tcBorders>
              <w:top w:val="single" w:sz="4" w:space="0" w:color="auto"/>
            </w:tcBorders>
            <w:vAlign w:val="center"/>
          </w:tcPr>
          <w:p w:rsidR="009818B6" w:rsidRPr="009818B6" w:rsidRDefault="009818B6" w:rsidP="0040675D">
            <w:pPr>
              <w:spacing w:before="60" w:after="60"/>
            </w:pPr>
            <w:r w:rsidRPr="009818B6">
              <w:t xml:space="preserve">   Rotary drum dryer</w:t>
            </w:r>
          </w:p>
        </w:tc>
        <w:tc>
          <w:tcPr>
            <w:tcW w:w="1350" w:type="dxa"/>
            <w:tcBorders>
              <w:top w:val="single" w:sz="4" w:space="0" w:color="auto"/>
            </w:tcBorders>
            <w:vAlign w:val="center"/>
          </w:tcPr>
          <w:p w:rsidR="009818B6" w:rsidRPr="009818B6" w:rsidRDefault="009818B6" w:rsidP="0040675D">
            <w:pPr>
              <w:spacing w:before="60" w:after="60"/>
              <w:jc w:val="right"/>
            </w:pPr>
            <w:r w:rsidRPr="009818B6">
              <w:t>$1.6</w:t>
            </w:r>
          </w:p>
        </w:tc>
      </w:tr>
      <w:tr w:rsidR="009818B6" w:rsidRPr="009818B6" w:rsidTr="0040675D">
        <w:trPr>
          <w:jc w:val="center"/>
        </w:trPr>
        <w:tc>
          <w:tcPr>
            <w:tcW w:w="5130" w:type="dxa"/>
            <w:vAlign w:val="center"/>
          </w:tcPr>
          <w:p w:rsidR="009818B6" w:rsidRPr="009818B6" w:rsidRDefault="009818B6" w:rsidP="0040675D">
            <w:pPr>
              <w:spacing w:before="60" w:after="60"/>
            </w:pPr>
            <w:r w:rsidRPr="009818B6">
              <w:t xml:space="preserve">   Contact drum dryer</w:t>
            </w:r>
          </w:p>
        </w:tc>
        <w:tc>
          <w:tcPr>
            <w:tcW w:w="1350" w:type="dxa"/>
            <w:vAlign w:val="center"/>
          </w:tcPr>
          <w:p w:rsidR="009818B6" w:rsidRPr="009818B6" w:rsidRDefault="009818B6" w:rsidP="0040675D">
            <w:pPr>
              <w:spacing w:before="60" w:after="60"/>
              <w:jc w:val="right"/>
            </w:pPr>
            <w:r w:rsidRPr="009818B6">
              <w:t>$1.6</w:t>
            </w:r>
          </w:p>
        </w:tc>
      </w:tr>
    </w:tbl>
    <w:p w:rsidR="009842A1" w:rsidRPr="009842A1" w:rsidRDefault="009842A1" w:rsidP="009842A1">
      <w:pPr>
        <w:ind w:left="1710"/>
        <w:rPr>
          <w:sz w:val="22"/>
        </w:rPr>
      </w:pPr>
      <w:r w:rsidRPr="009842A1">
        <w:rPr>
          <w:sz w:val="22"/>
        </w:rPr>
        <w:t>MM-Million</w:t>
      </w:r>
      <w:r>
        <w:rPr>
          <w:sz w:val="22"/>
        </w:rPr>
        <w:t xml:space="preserve">; </w:t>
      </w:r>
      <w:r w:rsidRPr="009842A1">
        <w:rPr>
          <w:sz w:val="22"/>
        </w:rPr>
        <w:t>SS-Stainless steel</w:t>
      </w:r>
    </w:p>
    <w:p w:rsidR="008B2850" w:rsidRDefault="008B2850">
      <w:pPr>
        <w:rPr>
          <w:sz w:val="28"/>
        </w:rPr>
      </w:pPr>
    </w:p>
    <w:p w:rsidR="00B731FB" w:rsidRDefault="00B731FB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3F2601" w:rsidRDefault="003F2601">
      <w:pPr>
        <w:rPr>
          <w:sz w:val="28"/>
        </w:rPr>
      </w:pPr>
    </w:p>
    <w:p w:rsidR="00830CAF" w:rsidRDefault="00830CAF" w:rsidP="00B731FB"/>
    <w:p w:rsidR="00B731FB" w:rsidRDefault="003F2601" w:rsidP="00B731FB">
      <w:r>
        <w:rPr>
          <w:szCs w:val="18"/>
        </w:rPr>
        <w:t>Additional file 1:</w:t>
      </w:r>
      <w:r w:rsidRPr="000E5813">
        <w:rPr>
          <w:szCs w:val="18"/>
        </w:rPr>
        <w:t xml:space="preserve"> </w:t>
      </w:r>
      <w:r w:rsidR="00B731FB">
        <w:t>Table S3. Discounted cash flow analysis parameters for the TEA.</w:t>
      </w:r>
      <w:bookmarkStart w:id="0" w:name="_GoBack"/>
      <w:bookmarkEnd w:id="0"/>
    </w:p>
    <w:p w:rsidR="00B731FB" w:rsidRPr="009818B6" w:rsidRDefault="00B731FB" w:rsidP="00B731FB">
      <w:pPr>
        <w:rPr>
          <w:sz w:val="28"/>
        </w:rPr>
      </w:pPr>
    </w:p>
    <w:tbl>
      <w:tblPr>
        <w:tblStyle w:val="TableGrid"/>
        <w:tblW w:w="0" w:type="auto"/>
        <w:jc w:val="center"/>
        <w:tblBorders>
          <w:top w:val="single" w:sz="18" w:space="0" w:color="auto"/>
          <w:left w:val="none" w:sz="0" w:space="0" w:color="auto"/>
          <w:bottom w:val="single" w:sz="1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/>
      </w:tblPr>
      <w:tblGrid>
        <w:gridCol w:w="4950"/>
        <w:gridCol w:w="3240"/>
      </w:tblGrid>
      <w:tr w:rsidR="00B731FB" w:rsidRPr="009818B6" w:rsidTr="00830CAF">
        <w:trPr>
          <w:jc w:val="center"/>
        </w:trPr>
        <w:tc>
          <w:tcPr>
            <w:tcW w:w="4950" w:type="dxa"/>
            <w:vAlign w:val="center"/>
          </w:tcPr>
          <w:p w:rsidR="00B731FB" w:rsidRPr="009818B6" w:rsidRDefault="00B731FB" w:rsidP="000B656A">
            <w:pPr>
              <w:spacing w:before="60" w:after="60"/>
            </w:pPr>
            <w:r>
              <w:t xml:space="preserve">Plant </w:t>
            </w:r>
            <w:r w:rsidR="00830CAF">
              <w:t>l</w:t>
            </w:r>
            <w:r>
              <w:t>ife</w:t>
            </w:r>
          </w:p>
        </w:tc>
        <w:tc>
          <w:tcPr>
            <w:tcW w:w="3240" w:type="dxa"/>
            <w:vAlign w:val="center"/>
          </w:tcPr>
          <w:p w:rsidR="00B731FB" w:rsidRPr="009818B6" w:rsidRDefault="00B731FB" w:rsidP="00B731FB">
            <w:pPr>
              <w:spacing w:before="60" w:after="60"/>
            </w:pPr>
            <w:r>
              <w:t>30 years</w:t>
            </w:r>
          </w:p>
        </w:tc>
      </w:tr>
      <w:tr w:rsidR="00B731FB" w:rsidRPr="009818B6" w:rsidTr="00830CAF">
        <w:trPr>
          <w:jc w:val="center"/>
        </w:trPr>
        <w:tc>
          <w:tcPr>
            <w:tcW w:w="4950" w:type="dxa"/>
            <w:vAlign w:val="center"/>
          </w:tcPr>
          <w:p w:rsidR="00B731FB" w:rsidRPr="009818B6" w:rsidRDefault="00B731FB" w:rsidP="000B656A">
            <w:pPr>
              <w:spacing w:before="60" w:after="60"/>
            </w:pPr>
            <w:r>
              <w:t xml:space="preserve">Discount </w:t>
            </w:r>
            <w:r w:rsidR="00830CAF">
              <w:t>r</w:t>
            </w:r>
            <w:r>
              <w:t>ate</w:t>
            </w:r>
          </w:p>
        </w:tc>
        <w:tc>
          <w:tcPr>
            <w:tcW w:w="3240" w:type="dxa"/>
            <w:vAlign w:val="center"/>
          </w:tcPr>
          <w:p w:rsidR="00B731FB" w:rsidRPr="009818B6" w:rsidRDefault="00B731FB" w:rsidP="00B731FB">
            <w:pPr>
              <w:spacing w:before="60" w:after="60"/>
            </w:pPr>
            <w:r>
              <w:t>10%</w:t>
            </w:r>
          </w:p>
        </w:tc>
      </w:tr>
      <w:tr w:rsidR="00B731FB" w:rsidRPr="009818B6" w:rsidTr="00830CAF">
        <w:trPr>
          <w:jc w:val="center"/>
        </w:trPr>
        <w:tc>
          <w:tcPr>
            <w:tcW w:w="4950" w:type="dxa"/>
            <w:vAlign w:val="center"/>
          </w:tcPr>
          <w:p w:rsidR="00B731FB" w:rsidRPr="009818B6" w:rsidRDefault="00B731FB" w:rsidP="000B656A">
            <w:pPr>
              <w:spacing w:before="60" w:after="60"/>
            </w:pPr>
            <w:r>
              <w:t xml:space="preserve">General </w:t>
            </w:r>
            <w:r w:rsidR="00830CAF">
              <w:t>p</w:t>
            </w:r>
            <w:r>
              <w:t xml:space="preserve">lant </w:t>
            </w:r>
            <w:r w:rsidR="00830CAF">
              <w:t>d</w:t>
            </w:r>
            <w:r>
              <w:t>epreciation</w:t>
            </w:r>
          </w:p>
        </w:tc>
        <w:tc>
          <w:tcPr>
            <w:tcW w:w="3240" w:type="dxa"/>
            <w:vAlign w:val="center"/>
          </w:tcPr>
          <w:p w:rsidR="00B731FB" w:rsidRPr="009818B6" w:rsidRDefault="00B731FB" w:rsidP="00B731FB">
            <w:pPr>
              <w:spacing w:before="60" w:after="60"/>
            </w:pPr>
            <w:r>
              <w:t>200% declining balance</w:t>
            </w:r>
          </w:p>
        </w:tc>
      </w:tr>
      <w:tr w:rsidR="00B731FB" w:rsidRPr="009818B6" w:rsidTr="00830CAF">
        <w:trPr>
          <w:jc w:val="center"/>
        </w:trPr>
        <w:tc>
          <w:tcPr>
            <w:tcW w:w="4950" w:type="dxa"/>
            <w:vAlign w:val="center"/>
          </w:tcPr>
          <w:p w:rsidR="00B731FB" w:rsidRPr="009818B6" w:rsidRDefault="00B731FB" w:rsidP="000B656A">
            <w:pPr>
              <w:spacing w:before="60" w:after="60"/>
            </w:pPr>
            <w:r>
              <w:t>General plant recovery period</w:t>
            </w:r>
          </w:p>
        </w:tc>
        <w:tc>
          <w:tcPr>
            <w:tcW w:w="3240" w:type="dxa"/>
            <w:vAlign w:val="center"/>
          </w:tcPr>
          <w:p w:rsidR="00B731FB" w:rsidRPr="009818B6" w:rsidRDefault="00B731FB" w:rsidP="00B731FB">
            <w:pPr>
              <w:spacing w:before="60" w:after="60"/>
            </w:pPr>
            <w:r>
              <w:t>7 years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Steam (turbine) plant depreciation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200% declining balance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Steam (turbine) plant recovery period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7 years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Federal tax rate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35%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Financing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40% equity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Loan term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10-yr loan at 8% APR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Construction period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3 years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 xml:space="preserve">   First 12 months’ expenditures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8%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 xml:space="preserve">   Second 12 months’ expenditures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60%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 xml:space="preserve">   Third 12 months’ expenditures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32%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Working capital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5% of fixed capital investment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Start-up time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6 months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 xml:space="preserve">   Revenues during start-up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50%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 xml:space="preserve">   Variable costs incurred during start-up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75%</w:t>
            </w:r>
          </w:p>
        </w:tc>
      </w:tr>
      <w:tr w:rsidR="00830CAF" w:rsidRPr="009818B6" w:rsidTr="00830CAF">
        <w:trPr>
          <w:jc w:val="center"/>
        </w:trPr>
        <w:tc>
          <w:tcPr>
            <w:tcW w:w="495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 xml:space="preserve">   Fixed costs incurred during start-up</w:t>
            </w:r>
          </w:p>
        </w:tc>
        <w:tc>
          <w:tcPr>
            <w:tcW w:w="3240" w:type="dxa"/>
            <w:vAlign w:val="center"/>
          </w:tcPr>
          <w:p w:rsidR="00830CAF" w:rsidRPr="009818B6" w:rsidRDefault="00830CAF" w:rsidP="00830CAF">
            <w:pPr>
              <w:spacing w:before="60" w:after="60"/>
            </w:pPr>
            <w:r>
              <w:t>100%</w:t>
            </w:r>
          </w:p>
        </w:tc>
      </w:tr>
    </w:tbl>
    <w:p w:rsidR="00B731FB" w:rsidRDefault="00B731FB" w:rsidP="00B731FB">
      <w:pPr>
        <w:rPr>
          <w:sz w:val="28"/>
        </w:rPr>
      </w:pPr>
    </w:p>
    <w:p w:rsidR="00B731FB" w:rsidRPr="009818B6" w:rsidRDefault="00B731FB">
      <w:pPr>
        <w:rPr>
          <w:sz w:val="28"/>
        </w:rPr>
      </w:pPr>
    </w:p>
    <w:sectPr w:rsidR="00B731FB" w:rsidRPr="009818B6" w:rsidSect="003F2601">
      <w:type w:val="nextPage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4801440" w16cid:durableId="203A0C0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3A48" w:rsidRDefault="007B3A48">
      <w:r>
        <w:separator/>
      </w:r>
    </w:p>
  </w:endnote>
  <w:endnote w:type="continuationSeparator" w:id="0">
    <w:p w:rsidR="007B3A48" w:rsidRDefault="007B3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C3C" w:rsidRDefault="003F2601">
    <w:pPr>
      <w:pStyle w:val="Footer"/>
      <w:jc w:val="center"/>
      <w:rPr>
        <w:rFonts w:ascii="Arial" w:hAnsi="Arial" w:cs="Arial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3A48" w:rsidRDefault="007B3A48">
      <w:r>
        <w:separator/>
      </w:r>
    </w:p>
  </w:footnote>
  <w:footnote w:type="continuationSeparator" w:id="0">
    <w:p w:rsidR="007B3A48" w:rsidRDefault="007B3A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6C3C" w:rsidRDefault="00DD5941" w:rsidP="002221D8">
    <w:pPr>
      <w:pStyle w:val="Header"/>
      <w:tabs>
        <w:tab w:val="clear" w:pos="8640"/>
        <w:tab w:val="right" w:pos="9360"/>
      </w:tabs>
    </w:pPr>
    <w:r>
      <w:tab/>
    </w:r>
    <w: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visionView w:markup="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818B6"/>
    <w:rsid w:val="00030FB7"/>
    <w:rsid w:val="000E5813"/>
    <w:rsid w:val="001B354A"/>
    <w:rsid w:val="001C4357"/>
    <w:rsid w:val="002B6DE3"/>
    <w:rsid w:val="002F3A1E"/>
    <w:rsid w:val="003F2601"/>
    <w:rsid w:val="00424910"/>
    <w:rsid w:val="00482330"/>
    <w:rsid w:val="00495341"/>
    <w:rsid w:val="007B3A48"/>
    <w:rsid w:val="00830CAF"/>
    <w:rsid w:val="008B2850"/>
    <w:rsid w:val="008C026F"/>
    <w:rsid w:val="00975081"/>
    <w:rsid w:val="009818B6"/>
    <w:rsid w:val="009842A1"/>
    <w:rsid w:val="00AB7B48"/>
    <w:rsid w:val="00B53D23"/>
    <w:rsid w:val="00B731FB"/>
    <w:rsid w:val="00BF0EBF"/>
    <w:rsid w:val="00D177B8"/>
    <w:rsid w:val="00DD5941"/>
    <w:rsid w:val="00F60FA8"/>
    <w:rsid w:val="00FE14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18B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818B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18B6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rsid w:val="009818B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18B6"/>
    <w:rPr>
      <w:rFonts w:ascii="Times New Roman" w:eastAsia="Times New Roman" w:hAnsi="Times New Roman" w:cs="Times New Roman"/>
      <w:sz w:val="24"/>
      <w:szCs w:val="20"/>
    </w:rPr>
  </w:style>
  <w:style w:type="table" w:customStyle="1" w:styleId="TableGridLight1">
    <w:name w:val="Table Grid Light1"/>
    <w:basedOn w:val="TableNormal"/>
    <w:uiPriority w:val="40"/>
    <w:rsid w:val="009818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9818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9818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818B6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818B6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18B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18B6"/>
    <w:rPr>
      <w:rFonts w:ascii="Segoe UI" w:eastAsia="Times New Roman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59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D594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LineNumber">
    <w:name w:val="line number"/>
    <w:basedOn w:val="DefaultParagraphFont"/>
    <w:uiPriority w:val="99"/>
    <w:semiHidden/>
    <w:unhideWhenUsed/>
    <w:rsid w:val="003F26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6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microsoft.com/office/2016/09/relationships/commentsIds" Target="commentsId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INL</Company>
  <LinksUpToDate>false</LinksUpToDate>
  <CharactersWithSpaces>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Lynn M. Wendt</dc:creator>
  <cp:keywords/>
  <dc:description/>
  <cp:lastModifiedBy>0012761</cp:lastModifiedBy>
  <cp:revision>3</cp:revision>
  <dcterms:created xsi:type="dcterms:W3CDTF">2019-03-19T10:26:00Z</dcterms:created>
  <dcterms:modified xsi:type="dcterms:W3CDTF">2019-04-01T07:13:00Z</dcterms:modified>
</cp:coreProperties>
</file>