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42272" w14:textId="3FABA412" w:rsidR="005812EA" w:rsidRDefault="005812EA" w:rsidP="00707C8E">
      <w:pPr>
        <w:tabs>
          <w:tab w:val="left" w:pos="1062"/>
        </w:tabs>
      </w:pPr>
      <w:r w:rsidRPr="005812EA">
        <w:rPr>
          <w:noProof/>
        </w:rPr>
        <w:drawing>
          <wp:inline distT="0" distB="0" distL="0" distR="0" wp14:anchorId="437E9DCE" wp14:editId="25057A42">
            <wp:extent cx="4988589" cy="720000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8589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21404" w14:textId="6452FC99" w:rsidR="005812EA" w:rsidRDefault="005812EA" w:rsidP="00707C8E">
      <w:pPr>
        <w:tabs>
          <w:tab w:val="left" w:pos="1062"/>
        </w:tabs>
      </w:pPr>
      <w:bookmarkStart w:id="0" w:name="OLE_LINK3"/>
      <w:bookmarkStart w:id="1" w:name="OLE_LINK4"/>
      <w:r>
        <w:rPr>
          <w:rFonts w:hint="eastAsia"/>
        </w:rPr>
        <w:t>F</w:t>
      </w:r>
      <w:r>
        <w:t xml:space="preserve">ig. </w:t>
      </w:r>
      <w:r w:rsidRPr="00685671">
        <w:rPr>
          <w:color w:val="000000" w:themeColor="text1"/>
        </w:rPr>
        <w:t>S</w:t>
      </w:r>
      <w:r w:rsidR="00020FB8" w:rsidRPr="00685671">
        <w:rPr>
          <w:color w:val="000000" w:themeColor="text1"/>
        </w:rPr>
        <w:t>1</w:t>
      </w:r>
      <w:r w:rsidR="002209A6" w:rsidRPr="00685671">
        <w:rPr>
          <w:color w:val="000000" w:themeColor="text1"/>
        </w:rPr>
        <w:t xml:space="preserve"> </w:t>
      </w:r>
      <w:r w:rsidR="002209A6">
        <w:t>Productions of biomass and organic acid</w:t>
      </w:r>
      <w:r w:rsidR="000107B8">
        <w:t>s</w:t>
      </w:r>
      <w:r w:rsidR="002209A6">
        <w:t xml:space="preserve"> of </w:t>
      </w:r>
      <w:r w:rsidR="002209A6" w:rsidRPr="00C07C70">
        <w:rPr>
          <w:i/>
        </w:rPr>
        <w:t>C. butyricum</w:t>
      </w:r>
      <w:r w:rsidR="002209A6">
        <w:t xml:space="preserve"> S3 in continuous fermentation </w:t>
      </w:r>
      <w:r w:rsidR="00F323A2">
        <w:t>at a</w:t>
      </w:r>
      <w:r w:rsidR="002209A6">
        <w:t xml:space="preserve"> </w:t>
      </w:r>
      <w:r w:rsidR="00674F9B">
        <w:t xml:space="preserve">glycerol feed concentration of 88 g/L and </w:t>
      </w:r>
      <w:bookmarkStart w:id="2" w:name="OLE_LINK1"/>
      <w:bookmarkStart w:id="3" w:name="OLE_LINK2"/>
      <w:r w:rsidR="00654A21">
        <w:t>a stepwise decreasing</w:t>
      </w:r>
      <w:r w:rsidR="00674F9B">
        <w:t xml:space="preserve"> dilution rate</w:t>
      </w:r>
      <w:r w:rsidR="00654A21">
        <w:t xml:space="preserve"> </w:t>
      </w:r>
      <w:bookmarkEnd w:id="2"/>
      <w:bookmarkEnd w:id="3"/>
      <w:r w:rsidR="00654A21">
        <w:t>from 0.144 h</w:t>
      </w:r>
      <w:r w:rsidR="00654A21" w:rsidRPr="00654A21">
        <w:rPr>
          <w:vertAlign w:val="superscript"/>
        </w:rPr>
        <w:t>-1</w:t>
      </w:r>
      <w:r w:rsidR="00654A21">
        <w:t xml:space="preserve"> to 0.048 h</w:t>
      </w:r>
      <w:r w:rsidR="00654A21" w:rsidRPr="00654A21">
        <w:rPr>
          <w:vertAlign w:val="superscript"/>
        </w:rPr>
        <w:t>-1</w:t>
      </w:r>
    </w:p>
    <w:bookmarkEnd w:id="0"/>
    <w:bookmarkEnd w:id="1"/>
    <w:p w14:paraId="4D1767BA" w14:textId="1BA55B1A" w:rsidR="00A143FA" w:rsidRDefault="00A143FA" w:rsidP="00707C8E">
      <w:pPr>
        <w:tabs>
          <w:tab w:val="left" w:pos="1062"/>
        </w:tabs>
      </w:pPr>
      <w:r w:rsidRPr="00A143FA">
        <w:rPr>
          <w:noProof/>
        </w:rPr>
        <w:lastRenderedPageBreak/>
        <w:drawing>
          <wp:inline distT="0" distB="0" distL="0" distR="0" wp14:anchorId="1CB00A3A" wp14:editId="3047668D">
            <wp:extent cx="4955929" cy="720000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5929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FD74E" w14:textId="5EB165ED" w:rsidR="00CF772C" w:rsidRPr="00B12561" w:rsidRDefault="00CF772C" w:rsidP="00CF772C">
      <w:pPr>
        <w:tabs>
          <w:tab w:val="left" w:pos="1062"/>
        </w:tabs>
        <w:rPr>
          <w:color w:val="000000" w:themeColor="text1"/>
        </w:rPr>
      </w:pPr>
      <w:r w:rsidRPr="00B12561">
        <w:rPr>
          <w:rFonts w:hint="eastAsia"/>
          <w:color w:val="000000" w:themeColor="text1"/>
        </w:rPr>
        <w:t>F</w:t>
      </w:r>
      <w:r w:rsidRPr="00B12561">
        <w:rPr>
          <w:color w:val="000000" w:themeColor="text1"/>
        </w:rPr>
        <w:t>ig. S2 Productions of biomass and organic acid</w:t>
      </w:r>
      <w:r w:rsidR="000107B8" w:rsidRPr="00B12561">
        <w:rPr>
          <w:color w:val="000000" w:themeColor="text1"/>
        </w:rPr>
        <w:t>s</w:t>
      </w:r>
      <w:r w:rsidRPr="00B12561">
        <w:rPr>
          <w:color w:val="000000" w:themeColor="text1"/>
        </w:rPr>
        <w:t xml:space="preserve"> of </w:t>
      </w:r>
      <w:r w:rsidRPr="00B12561">
        <w:rPr>
          <w:i/>
          <w:color w:val="000000" w:themeColor="text1"/>
        </w:rPr>
        <w:t>C. butyricum</w:t>
      </w:r>
      <w:r w:rsidRPr="00B12561">
        <w:rPr>
          <w:color w:val="000000" w:themeColor="text1"/>
        </w:rPr>
        <w:t xml:space="preserve"> S3 in continuous fermentation </w:t>
      </w:r>
      <w:r w:rsidR="00F323A2" w:rsidRPr="00B12561">
        <w:rPr>
          <w:color w:val="000000" w:themeColor="text1"/>
        </w:rPr>
        <w:t>at a</w:t>
      </w:r>
      <w:r w:rsidRPr="00B12561">
        <w:rPr>
          <w:color w:val="000000" w:themeColor="text1"/>
        </w:rPr>
        <w:t xml:space="preserve"> glycerol feed concentration of 88 g/L and </w:t>
      </w:r>
      <w:r w:rsidR="00F323A2" w:rsidRPr="00B12561">
        <w:rPr>
          <w:color w:val="000000" w:themeColor="text1"/>
        </w:rPr>
        <w:t xml:space="preserve">a </w:t>
      </w:r>
      <w:r w:rsidRPr="00B12561">
        <w:rPr>
          <w:color w:val="000000" w:themeColor="text1"/>
        </w:rPr>
        <w:t>dilution rate of 0.096 h</w:t>
      </w:r>
      <w:r w:rsidRPr="00B12561">
        <w:rPr>
          <w:color w:val="000000" w:themeColor="text1"/>
          <w:vertAlign w:val="superscript"/>
        </w:rPr>
        <w:t>-1</w:t>
      </w:r>
      <w:bookmarkStart w:id="4" w:name="_GoBack"/>
      <w:bookmarkEnd w:id="4"/>
    </w:p>
    <w:p w14:paraId="31A4A9B8" w14:textId="77777777" w:rsidR="00CF772C" w:rsidRPr="00CF772C" w:rsidRDefault="00CF772C" w:rsidP="00707C8E">
      <w:pPr>
        <w:tabs>
          <w:tab w:val="left" w:pos="1062"/>
        </w:tabs>
      </w:pPr>
    </w:p>
    <w:p w14:paraId="15D61786" w14:textId="667DF966" w:rsidR="00675875" w:rsidRDefault="00675875" w:rsidP="00707C8E">
      <w:pPr>
        <w:tabs>
          <w:tab w:val="left" w:pos="1062"/>
        </w:tabs>
      </w:pPr>
      <w:r>
        <w:lastRenderedPageBreak/>
        <w:t xml:space="preserve"> </w:t>
      </w:r>
      <w:r w:rsidR="00020FB8" w:rsidRPr="005812EA">
        <w:rPr>
          <w:noProof/>
        </w:rPr>
        <w:drawing>
          <wp:inline distT="0" distB="0" distL="0" distR="0" wp14:anchorId="55F8E965" wp14:editId="4FBCF9C5">
            <wp:extent cx="5003197" cy="7200000"/>
            <wp:effectExtent l="0" t="0" r="635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3197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6DCCF" w14:textId="1454F0BA" w:rsidR="00020FB8" w:rsidRDefault="00020FB8" w:rsidP="00020FB8">
      <w:pPr>
        <w:tabs>
          <w:tab w:val="left" w:pos="1062"/>
        </w:tabs>
      </w:pPr>
      <w:r>
        <w:rPr>
          <w:rFonts w:hint="eastAsia"/>
        </w:rPr>
        <w:t>F</w:t>
      </w:r>
      <w:r w:rsidRPr="000107B8">
        <w:rPr>
          <w:rFonts w:hint="eastAsia"/>
          <w:color w:val="000000" w:themeColor="text1"/>
        </w:rPr>
        <w:t>ig</w:t>
      </w:r>
      <w:r w:rsidRPr="000107B8">
        <w:rPr>
          <w:color w:val="000000" w:themeColor="text1"/>
        </w:rPr>
        <w:t xml:space="preserve">. </w:t>
      </w:r>
      <w:r w:rsidRPr="00B12561">
        <w:rPr>
          <w:color w:val="000000" w:themeColor="text1"/>
        </w:rPr>
        <w:t>S</w:t>
      </w:r>
      <w:r w:rsidR="001635C0" w:rsidRPr="00B12561">
        <w:rPr>
          <w:color w:val="000000" w:themeColor="text1"/>
        </w:rPr>
        <w:t>3</w:t>
      </w:r>
      <w:r w:rsidRPr="00B12561">
        <w:rPr>
          <w:color w:val="000000" w:themeColor="text1"/>
        </w:rPr>
        <w:t xml:space="preserve"> </w:t>
      </w:r>
      <w:bookmarkStart w:id="5" w:name="OLE_LINK514"/>
      <w:bookmarkStart w:id="6" w:name="OLE_LINK515"/>
      <w:r w:rsidRPr="00B12561">
        <w:rPr>
          <w:color w:val="000000" w:themeColor="text1"/>
        </w:rPr>
        <w:t>Pr</w:t>
      </w:r>
      <w:r w:rsidRPr="000107B8">
        <w:rPr>
          <w:color w:val="000000" w:themeColor="text1"/>
        </w:rPr>
        <w:t>o</w:t>
      </w:r>
      <w:r>
        <w:t>ductions of biomass and organic acid</w:t>
      </w:r>
      <w:r w:rsidR="000107B8">
        <w:t>s</w:t>
      </w:r>
      <w:r>
        <w:t xml:space="preserve"> of </w:t>
      </w:r>
      <w:r w:rsidRPr="00C07C70">
        <w:rPr>
          <w:i/>
        </w:rPr>
        <w:t>C. butyricum</w:t>
      </w:r>
      <w:r>
        <w:t xml:space="preserve"> S3 in continuous fermentation </w:t>
      </w:r>
      <w:r w:rsidR="00F323A2">
        <w:t>at a</w:t>
      </w:r>
      <w:r>
        <w:t xml:space="preserve"> glycerol feed concentration of </w:t>
      </w:r>
      <w:bookmarkEnd w:id="5"/>
      <w:bookmarkEnd w:id="6"/>
      <w:r>
        <w:t xml:space="preserve">44 g/L and </w:t>
      </w:r>
      <w:r w:rsidR="00F323A2">
        <w:t xml:space="preserve">a </w:t>
      </w:r>
      <w:r>
        <w:t>dilution rate of 0.048 h</w:t>
      </w:r>
      <w:r w:rsidRPr="002209A6">
        <w:rPr>
          <w:vertAlign w:val="superscript"/>
        </w:rPr>
        <w:t>-1</w:t>
      </w:r>
    </w:p>
    <w:p w14:paraId="38E1EFAE" w14:textId="77777777" w:rsidR="00020FB8" w:rsidRDefault="00020FB8" w:rsidP="00020FB8">
      <w:pPr>
        <w:tabs>
          <w:tab w:val="left" w:pos="1062"/>
        </w:tabs>
      </w:pPr>
    </w:p>
    <w:p w14:paraId="09D5BD96" w14:textId="236DA125" w:rsidR="00020FB8" w:rsidRDefault="00020FB8" w:rsidP="00707C8E">
      <w:pPr>
        <w:tabs>
          <w:tab w:val="left" w:pos="1062"/>
        </w:tabs>
      </w:pPr>
      <w:r w:rsidRPr="00540276">
        <w:rPr>
          <w:noProof/>
        </w:rPr>
        <w:lastRenderedPageBreak/>
        <w:drawing>
          <wp:inline distT="0" distB="0" distL="0" distR="0" wp14:anchorId="1F099346" wp14:editId="3551C870">
            <wp:extent cx="5000268" cy="7200000"/>
            <wp:effectExtent l="0" t="0" r="381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0268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F0A78" w14:textId="19A3CA18" w:rsidR="00020FB8" w:rsidRDefault="00020FB8" w:rsidP="00020FB8">
      <w:pPr>
        <w:tabs>
          <w:tab w:val="left" w:pos="1062"/>
        </w:tabs>
      </w:pPr>
      <w:r>
        <w:rPr>
          <w:rFonts w:hint="eastAsia"/>
        </w:rPr>
        <w:t>Fig</w:t>
      </w:r>
      <w:r>
        <w:t>.</w:t>
      </w:r>
      <w:r w:rsidRPr="00E90FC8">
        <w:rPr>
          <w:color w:val="000000" w:themeColor="text1"/>
        </w:rPr>
        <w:t xml:space="preserve"> </w:t>
      </w:r>
      <w:r w:rsidRPr="00B12561">
        <w:rPr>
          <w:color w:val="000000" w:themeColor="text1"/>
        </w:rPr>
        <w:t>S</w:t>
      </w:r>
      <w:r w:rsidR="001635C0" w:rsidRPr="00B12561">
        <w:rPr>
          <w:color w:val="000000" w:themeColor="text1"/>
        </w:rPr>
        <w:t>4</w:t>
      </w:r>
      <w:r w:rsidRPr="00B12561">
        <w:rPr>
          <w:color w:val="000000" w:themeColor="text1"/>
        </w:rPr>
        <w:t xml:space="preserve"> Pr</w:t>
      </w:r>
      <w:r>
        <w:t>oductions of biomass and organic acid</w:t>
      </w:r>
      <w:r w:rsidR="000107B8">
        <w:t>s</w:t>
      </w:r>
      <w:r>
        <w:t xml:space="preserve"> of </w:t>
      </w:r>
      <w:r w:rsidRPr="00C07C70">
        <w:rPr>
          <w:i/>
        </w:rPr>
        <w:t>C. butyricum</w:t>
      </w:r>
      <w:r>
        <w:t xml:space="preserve"> S3 in continuous fermentation </w:t>
      </w:r>
      <w:r w:rsidR="00F323A2">
        <w:t xml:space="preserve">at a </w:t>
      </w:r>
      <w:r>
        <w:t xml:space="preserve">glycerol feed concentration of 44 g/l and </w:t>
      </w:r>
      <w:r w:rsidR="00F323A2">
        <w:t xml:space="preserve">a </w:t>
      </w:r>
      <w:r>
        <w:t>dilution rate of 0.096 h</w:t>
      </w:r>
      <w:r w:rsidRPr="002209A6">
        <w:rPr>
          <w:vertAlign w:val="superscript"/>
        </w:rPr>
        <w:t>-1</w:t>
      </w:r>
    </w:p>
    <w:p w14:paraId="3FCBCC8D" w14:textId="5910D07B" w:rsidR="00020FB8" w:rsidRPr="00EA7DF8" w:rsidRDefault="00BE427A" w:rsidP="00CF772C">
      <w:pPr>
        <w:tabs>
          <w:tab w:val="left" w:pos="1062"/>
        </w:tabs>
        <w:jc w:val="center"/>
      </w:pPr>
      <w:r w:rsidRPr="00BE427A">
        <w:rPr>
          <w:noProof/>
        </w:rPr>
        <w:lastRenderedPageBreak/>
        <w:drawing>
          <wp:inline distT="0" distB="0" distL="0" distR="0" wp14:anchorId="751AF0CC" wp14:editId="2594B474">
            <wp:extent cx="3670300" cy="6997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C2141" w14:textId="6286B654" w:rsidR="00020FB8" w:rsidRPr="00020FB8" w:rsidRDefault="00020FB8" w:rsidP="00707C8E">
      <w:pPr>
        <w:tabs>
          <w:tab w:val="left" w:pos="1062"/>
        </w:tabs>
      </w:pPr>
      <w:r>
        <w:t>Fig.</w:t>
      </w:r>
      <w:r w:rsidRPr="00E90FC8">
        <w:rPr>
          <w:color w:val="000000" w:themeColor="text1"/>
        </w:rPr>
        <w:t xml:space="preserve"> </w:t>
      </w:r>
      <w:r w:rsidRPr="00BE427A">
        <w:rPr>
          <w:color w:val="000000" w:themeColor="text1"/>
        </w:rPr>
        <w:t>S</w:t>
      </w:r>
      <w:r w:rsidR="001635C0" w:rsidRPr="00BE427A">
        <w:rPr>
          <w:color w:val="000000" w:themeColor="text1"/>
        </w:rPr>
        <w:t>5</w:t>
      </w:r>
      <w:r>
        <w:rPr>
          <w:rFonts w:hint="eastAsia"/>
        </w:rPr>
        <w:t xml:space="preserve"> </w:t>
      </w:r>
      <w:r>
        <w:t xml:space="preserve">Intracellular and extracellular redox status for </w:t>
      </w:r>
      <w:r w:rsidRPr="00251F98">
        <w:rPr>
          <w:i/>
        </w:rPr>
        <w:t>C. butyricum</w:t>
      </w:r>
      <w:r>
        <w:t xml:space="preserve"> S3 </w:t>
      </w:r>
      <w:r w:rsidR="001D136C">
        <w:t xml:space="preserve">in continuous fermentation </w:t>
      </w:r>
      <w:r w:rsidR="000107B8">
        <w:t>at a</w:t>
      </w:r>
      <w:r w:rsidR="001D136C">
        <w:t xml:space="preserve"> </w:t>
      </w:r>
      <w:r>
        <w:t xml:space="preserve">glycerol feed concentration of 88 g/L and </w:t>
      </w:r>
      <w:r w:rsidR="000107B8">
        <w:t xml:space="preserve">a </w:t>
      </w:r>
      <w:r>
        <w:t>dilution rate of 0.048 h</w:t>
      </w:r>
      <w:r w:rsidRPr="00251F98">
        <w:rPr>
          <w:vertAlign w:val="superscript"/>
        </w:rPr>
        <w:t>-1</w:t>
      </w:r>
      <w:r>
        <w:t>.</w:t>
      </w:r>
      <w:r w:rsidR="00BE427A">
        <w:t xml:space="preserve"> (a) Intracellular concentrations of NAD</w:t>
      </w:r>
      <w:r w:rsidR="00BE427A" w:rsidRPr="00BE427A">
        <w:rPr>
          <w:vertAlign w:val="superscript"/>
        </w:rPr>
        <w:t>+</w:t>
      </w:r>
      <w:r w:rsidR="00BE427A">
        <w:t xml:space="preserve"> </w:t>
      </w:r>
      <w:r w:rsidR="00BE427A">
        <w:rPr>
          <w:rFonts w:hint="eastAsia"/>
        </w:rPr>
        <w:t>and</w:t>
      </w:r>
      <w:r w:rsidR="00BE427A">
        <w:t xml:space="preserve"> NADH; (</w:t>
      </w:r>
      <w:r w:rsidR="00BE427A">
        <w:rPr>
          <w:rFonts w:hint="eastAsia"/>
        </w:rPr>
        <w:t>b</w:t>
      </w:r>
      <w:r w:rsidR="00BE427A">
        <w:t xml:space="preserve">) </w:t>
      </w:r>
      <w:r w:rsidR="00636224">
        <w:t xml:space="preserve">the </w:t>
      </w:r>
      <w:r w:rsidR="00BE427A">
        <w:t>ratio of NAD</w:t>
      </w:r>
      <w:r w:rsidR="00BE427A" w:rsidRPr="00247DB2">
        <w:rPr>
          <w:vertAlign w:val="superscript"/>
        </w:rPr>
        <w:t>+</w:t>
      </w:r>
      <w:r w:rsidR="00BE427A">
        <w:t xml:space="preserve">/NADH; (c) extracellular </w:t>
      </w:r>
      <w:r w:rsidR="00247DB2">
        <w:t>oxidation-reduction potential</w:t>
      </w:r>
      <w:r w:rsidR="00C14261">
        <w:t xml:space="preserve"> (ORP)</w:t>
      </w:r>
    </w:p>
    <w:sectPr w:rsidR="00020FB8" w:rsidRPr="00020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B9E3C" w14:textId="77777777" w:rsidR="00DB270D" w:rsidRDefault="00DB270D" w:rsidP="00295C79">
      <w:r>
        <w:separator/>
      </w:r>
    </w:p>
  </w:endnote>
  <w:endnote w:type="continuationSeparator" w:id="0">
    <w:p w14:paraId="1B348C28" w14:textId="77777777" w:rsidR="00DB270D" w:rsidRDefault="00DB270D" w:rsidP="0029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D1124" w14:textId="77777777" w:rsidR="00DB270D" w:rsidRDefault="00DB270D" w:rsidP="00295C79">
      <w:r>
        <w:separator/>
      </w:r>
    </w:p>
  </w:footnote>
  <w:footnote w:type="continuationSeparator" w:id="0">
    <w:p w14:paraId="033ECA0B" w14:textId="77777777" w:rsidR="00DB270D" w:rsidRDefault="00DB270D" w:rsidP="00295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5B5"/>
    <w:rsid w:val="00000350"/>
    <w:rsid w:val="0000208F"/>
    <w:rsid w:val="0000263F"/>
    <w:rsid w:val="00004BED"/>
    <w:rsid w:val="00007DA9"/>
    <w:rsid w:val="000107B8"/>
    <w:rsid w:val="00020FB8"/>
    <w:rsid w:val="00025979"/>
    <w:rsid w:val="00043A03"/>
    <w:rsid w:val="00046D7E"/>
    <w:rsid w:val="000B197F"/>
    <w:rsid w:val="000C3761"/>
    <w:rsid w:val="000C5386"/>
    <w:rsid w:val="000E3F3E"/>
    <w:rsid w:val="00111077"/>
    <w:rsid w:val="001143F4"/>
    <w:rsid w:val="0011559A"/>
    <w:rsid w:val="00117B4D"/>
    <w:rsid w:val="001635C0"/>
    <w:rsid w:val="0018076D"/>
    <w:rsid w:val="001D136C"/>
    <w:rsid w:val="00203591"/>
    <w:rsid w:val="00211D8B"/>
    <w:rsid w:val="002209A6"/>
    <w:rsid w:val="00240B47"/>
    <w:rsid w:val="00241013"/>
    <w:rsid w:val="00241168"/>
    <w:rsid w:val="00247DB2"/>
    <w:rsid w:val="0025156F"/>
    <w:rsid w:val="002736D1"/>
    <w:rsid w:val="002742CD"/>
    <w:rsid w:val="00295C79"/>
    <w:rsid w:val="002B4FD3"/>
    <w:rsid w:val="002B668C"/>
    <w:rsid w:val="002B7AB4"/>
    <w:rsid w:val="002D7237"/>
    <w:rsid w:val="002E6169"/>
    <w:rsid w:val="002F3BEC"/>
    <w:rsid w:val="002F652A"/>
    <w:rsid w:val="00303AC8"/>
    <w:rsid w:val="00336E2B"/>
    <w:rsid w:val="00356945"/>
    <w:rsid w:val="00384479"/>
    <w:rsid w:val="00390875"/>
    <w:rsid w:val="00392090"/>
    <w:rsid w:val="00394602"/>
    <w:rsid w:val="003A025B"/>
    <w:rsid w:val="003D2B03"/>
    <w:rsid w:val="003D2BE9"/>
    <w:rsid w:val="003E4EAC"/>
    <w:rsid w:val="003F0E09"/>
    <w:rsid w:val="00416198"/>
    <w:rsid w:val="0045188C"/>
    <w:rsid w:val="00491A7B"/>
    <w:rsid w:val="00492B81"/>
    <w:rsid w:val="00493D73"/>
    <w:rsid w:val="004C2188"/>
    <w:rsid w:val="004C252E"/>
    <w:rsid w:val="005371FC"/>
    <w:rsid w:val="00540276"/>
    <w:rsid w:val="00557BDE"/>
    <w:rsid w:val="00570A68"/>
    <w:rsid w:val="005811FE"/>
    <w:rsid w:val="005812EA"/>
    <w:rsid w:val="005A741A"/>
    <w:rsid w:val="005C6B3E"/>
    <w:rsid w:val="005F4F2D"/>
    <w:rsid w:val="005F7EDC"/>
    <w:rsid w:val="00621AA5"/>
    <w:rsid w:val="00636224"/>
    <w:rsid w:val="00654A21"/>
    <w:rsid w:val="006658F3"/>
    <w:rsid w:val="00674F9B"/>
    <w:rsid w:val="00675875"/>
    <w:rsid w:val="00681075"/>
    <w:rsid w:val="0068130C"/>
    <w:rsid w:val="00685671"/>
    <w:rsid w:val="006936E7"/>
    <w:rsid w:val="00695A9F"/>
    <w:rsid w:val="006B5264"/>
    <w:rsid w:val="006B57F5"/>
    <w:rsid w:val="006E5FBE"/>
    <w:rsid w:val="007041EE"/>
    <w:rsid w:val="00707C8E"/>
    <w:rsid w:val="0072499C"/>
    <w:rsid w:val="00730D6E"/>
    <w:rsid w:val="00730D87"/>
    <w:rsid w:val="00733860"/>
    <w:rsid w:val="0076376D"/>
    <w:rsid w:val="007C56D4"/>
    <w:rsid w:val="007E3D0D"/>
    <w:rsid w:val="007E7C1F"/>
    <w:rsid w:val="00821245"/>
    <w:rsid w:val="00821DAE"/>
    <w:rsid w:val="00824713"/>
    <w:rsid w:val="008249BD"/>
    <w:rsid w:val="00851625"/>
    <w:rsid w:val="00855575"/>
    <w:rsid w:val="00867382"/>
    <w:rsid w:val="00867A30"/>
    <w:rsid w:val="008934CA"/>
    <w:rsid w:val="008B1ADE"/>
    <w:rsid w:val="008D318F"/>
    <w:rsid w:val="008D3F56"/>
    <w:rsid w:val="0092073D"/>
    <w:rsid w:val="009239B0"/>
    <w:rsid w:val="009244D8"/>
    <w:rsid w:val="00926159"/>
    <w:rsid w:val="00943B99"/>
    <w:rsid w:val="009515BD"/>
    <w:rsid w:val="009630E9"/>
    <w:rsid w:val="00974069"/>
    <w:rsid w:val="009814E5"/>
    <w:rsid w:val="009921EE"/>
    <w:rsid w:val="0099634C"/>
    <w:rsid w:val="009F174C"/>
    <w:rsid w:val="00A11695"/>
    <w:rsid w:val="00A143FA"/>
    <w:rsid w:val="00A318FC"/>
    <w:rsid w:val="00A6783C"/>
    <w:rsid w:val="00A90E38"/>
    <w:rsid w:val="00A95BDA"/>
    <w:rsid w:val="00AA6FAD"/>
    <w:rsid w:val="00AB543C"/>
    <w:rsid w:val="00AD1D1E"/>
    <w:rsid w:val="00AD2298"/>
    <w:rsid w:val="00AD2585"/>
    <w:rsid w:val="00AD32FA"/>
    <w:rsid w:val="00AD4A71"/>
    <w:rsid w:val="00B00DBB"/>
    <w:rsid w:val="00B12561"/>
    <w:rsid w:val="00B40E37"/>
    <w:rsid w:val="00B5316C"/>
    <w:rsid w:val="00B60BBC"/>
    <w:rsid w:val="00B61AB0"/>
    <w:rsid w:val="00B64284"/>
    <w:rsid w:val="00B65441"/>
    <w:rsid w:val="00B93A69"/>
    <w:rsid w:val="00B9476B"/>
    <w:rsid w:val="00BB1AE7"/>
    <w:rsid w:val="00BB3B25"/>
    <w:rsid w:val="00BC2C9D"/>
    <w:rsid w:val="00BC6B63"/>
    <w:rsid w:val="00BD63D8"/>
    <w:rsid w:val="00BD771F"/>
    <w:rsid w:val="00BE427A"/>
    <w:rsid w:val="00BE433F"/>
    <w:rsid w:val="00C07C70"/>
    <w:rsid w:val="00C13A74"/>
    <w:rsid w:val="00C13ADF"/>
    <w:rsid w:val="00C14261"/>
    <w:rsid w:val="00C24F77"/>
    <w:rsid w:val="00C3196D"/>
    <w:rsid w:val="00C33B35"/>
    <w:rsid w:val="00C4242D"/>
    <w:rsid w:val="00CC0238"/>
    <w:rsid w:val="00CD62F0"/>
    <w:rsid w:val="00CF4E23"/>
    <w:rsid w:val="00CF610A"/>
    <w:rsid w:val="00CF772C"/>
    <w:rsid w:val="00D07118"/>
    <w:rsid w:val="00D121C8"/>
    <w:rsid w:val="00D74C29"/>
    <w:rsid w:val="00D76AB3"/>
    <w:rsid w:val="00D90557"/>
    <w:rsid w:val="00DA3029"/>
    <w:rsid w:val="00DA4E28"/>
    <w:rsid w:val="00DB270D"/>
    <w:rsid w:val="00DC5C5E"/>
    <w:rsid w:val="00DD5239"/>
    <w:rsid w:val="00DD7226"/>
    <w:rsid w:val="00DE501D"/>
    <w:rsid w:val="00DE7CFC"/>
    <w:rsid w:val="00DF7C84"/>
    <w:rsid w:val="00E05FDF"/>
    <w:rsid w:val="00E24C82"/>
    <w:rsid w:val="00E42B18"/>
    <w:rsid w:val="00E442A1"/>
    <w:rsid w:val="00E56B1D"/>
    <w:rsid w:val="00E64428"/>
    <w:rsid w:val="00E745B5"/>
    <w:rsid w:val="00E77C8C"/>
    <w:rsid w:val="00E90FC8"/>
    <w:rsid w:val="00EA7DF8"/>
    <w:rsid w:val="00EE59D3"/>
    <w:rsid w:val="00F323A2"/>
    <w:rsid w:val="00F33418"/>
    <w:rsid w:val="00F42B57"/>
    <w:rsid w:val="00F4707D"/>
    <w:rsid w:val="00F9527A"/>
    <w:rsid w:val="00FD542B"/>
    <w:rsid w:val="00FF0FB2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B8AAD0"/>
  <w15:chartTrackingRefBased/>
  <w15:docId w15:val="{7114EBD9-325E-45E5-BA00-65CE6CD9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5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5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5C79"/>
    <w:rPr>
      <w:sz w:val="18"/>
      <w:szCs w:val="18"/>
    </w:rPr>
  </w:style>
  <w:style w:type="table" w:styleId="a7">
    <w:name w:val="Table Grid"/>
    <w:basedOn w:val="a1"/>
    <w:uiPriority w:val="39"/>
    <w:rsid w:val="000E3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8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A7E51-6D25-F345-8C0A-082E003A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Jinjie Zhou</cp:lastModifiedBy>
  <cp:revision>21</cp:revision>
  <cp:lastPrinted>2020-02-24T15:49:00Z</cp:lastPrinted>
  <dcterms:created xsi:type="dcterms:W3CDTF">2020-04-23T00:21:00Z</dcterms:created>
  <dcterms:modified xsi:type="dcterms:W3CDTF">2020-11-21T14:38:00Z</dcterms:modified>
</cp:coreProperties>
</file>