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82388" w14:textId="6FCABEEC" w:rsidR="00824F93" w:rsidRDefault="00333399" w:rsidP="00824F93">
      <w:pPr>
        <w:pStyle w:val="EndNoteBibliography"/>
        <w:spacing w:line="480" w:lineRule="auto"/>
        <w:ind w:left="720" w:hanging="720"/>
        <w:rPr>
          <w:rFonts w:ascii="Times New Roman" w:hAnsi="Times New Roman" w:cs="Times New Roman"/>
          <w:b/>
          <w:sz w:val="24"/>
          <w:szCs w:val="24"/>
        </w:rPr>
      </w:pPr>
      <w:r>
        <w:rPr>
          <w:rFonts w:ascii="Times New Roman" w:hAnsi="Times New Roman" w:cs="Times New Roman"/>
          <w:b/>
          <w:sz w:val="24"/>
          <w:szCs w:val="24"/>
        </w:rPr>
        <w:t>Additional file 1</w:t>
      </w:r>
    </w:p>
    <w:p w14:paraId="0C47D267" w14:textId="62AFB928" w:rsidR="00824F93" w:rsidRPr="008A2D8C" w:rsidRDefault="00824F93" w:rsidP="00824F93">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study the effect of enzyme binding between lignin still linked to the LCC and lignin redeposited on the cellulose surface after dilute acid pretreatment, DSA switchgrass was washed with 500 mL of room temperature THF. The effect of the THF wash on removing redeposi</w:t>
      </w:r>
      <w:r w:rsidR="00342389">
        <w:rPr>
          <w:rFonts w:ascii="Times New Roman" w:hAnsi="Times New Roman" w:cs="Times New Roman"/>
          <w:sz w:val="24"/>
          <w:szCs w:val="24"/>
        </w:rPr>
        <w:t>ted lignin is shown in Figure S1</w:t>
      </w:r>
      <w:r>
        <w:rPr>
          <w:rFonts w:ascii="Times New Roman" w:hAnsi="Times New Roman" w:cs="Times New Roman"/>
          <w:sz w:val="24"/>
          <w:szCs w:val="24"/>
        </w:rPr>
        <w:t>. From bulk compositional analysis, roughly 33% of</w:t>
      </w:r>
      <w:r w:rsidR="004649EE">
        <w:rPr>
          <w:rFonts w:ascii="Times New Roman" w:hAnsi="Times New Roman" w:cs="Times New Roman"/>
          <w:sz w:val="24"/>
          <w:szCs w:val="24"/>
        </w:rPr>
        <w:t xml:space="preserve"> acid insoluble Klason lignin</w:t>
      </w:r>
      <w:r>
        <w:rPr>
          <w:rFonts w:ascii="Times New Roman" w:hAnsi="Times New Roman" w:cs="Times New Roman"/>
          <w:sz w:val="24"/>
          <w:szCs w:val="24"/>
        </w:rPr>
        <w:t xml:space="preserve"> </w:t>
      </w:r>
      <w:r w:rsidR="004649EE">
        <w:rPr>
          <w:rFonts w:ascii="Times New Roman" w:hAnsi="Times New Roman" w:cs="Times New Roman"/>
          <w:sz w:val="24"/>
          <w:szCs w:val="24"/>
        </w:rPr>
        <w:t>(</w:t>
      </w:r>
      <w:r>
        <w:rPr>
          <w:rFonts w:ascii="Times New Roman" w:hAnsi="Times New Roman" w:cs="Times New Roman"/>
          <w:sz w:val="24"/>
          <w:szCs w:val="24"/>
        </w:rPr>
        <w:t>K-lignin</w:t>
      </w:r>
      <w:r w:rsidR="004649EE">
        <w:rPr>
          <w:rFonts w:ascii="Times New Roman" w:hAnsi="Times New Roman" w:cs="Times New Roman"/>
          <w:sz w:val="24"/>
          <w:szCs w:val="24"/>
        </w:rPr>
        <w:t>)</w:t>
      </w:r>
      <w:r>
        <w:rPr>
          <w:rFonts w:ascii="Times New Roman" w:hAnsi="Times New Roman" w:cs="Times New Roman"/>
          <w:sz w:val="24"/>
          <w:szCs w:val="24"/>
        </w:rPr>
        <w:t xml:space="preserve"> was removed by the THF wash, indicating that one-third of K-lignin was that redeposited onto cellulose during DSA. THF washing of CELF switchgrass, on the other hand, removed a very small amount of lignin. The small amount of lignin that was removed </w:t>
      </w:r>
      <w:r w:rsidR="00147C41">
        <w:rPr>
          <w:rFonts w:ascii="Times New Roman" w:hAnsi="Times New Roman" w:cs="Times New Roman"/>
          <w:sz w:val="24"/>
          <w:szCs w:val="24"/>
        </w:rPr>
        <w:t xml:space="preserve">from CELF solids </w:t>
      </w:r>
      <w:r>
        <w:rPr>
          <w:rFonts w:ascii="Times New Roman" w:hAnsi="Times New Roman" w:cs="Times New Roman"/>
          <w:sz w:val="24"/>
          <w:szCs w:val="24"/>
        </w:rPr>
        <w:t xml:space="preserve">was presumed to be lignin that had precipitated </w:t>
      </w:r>
      <w:r w:rsidR="00DA1AD7">
        <w:rPr>
          <w:rFonts w:ascii="Times New Roman" w:hAnsi="Times New Roman" w:cs="Times New Roman"/>
          <w:sz w:val="24"/>
          <w:szCs w:val="24"/>
        </w:rPr>
        <w:t xml:space="preserve">from the solution </w:t>
      </w:r>
      <w:r>
        <w:rPr>
          <w:rFonts w:ascii="Times New Roman" w:hAnsi="Times New Roman" w:cs="Times New Roman"/>
          <w:sz w:val="24"/>
          <w:szCs w:val="24"/>
        </w:rPr>
        <w:t>as some THF evaporated at the top of the Buchner funnel during solid-liquid separation of the CELF mixture.</w:t>
      </w:r>
    </w:p>
    <w:p w14:paraId="3A5F8386" w14:textId="77777777" w:rsidR="00824F93" w:rsidRDefault="00824F93" w:rsidP="00824F93">
      <w:pPr>
        <w:rPr>
          <w:rFonts w:ascii="Times New Roman" w:hAnsi="Times New Roman" w:cs="Times New Roman"/>
          <w:b/>
          <w:sz w:val="24"/>
          <w:szCs w:val="24"/>
        </w:rPr>
      </w:pPr>
      <w:r w:rsidRPr="0099605B">
        <w:rPr>
          <w:rFonts w:ascii="Times New Roman" w:hAnsi="Times New Roman" w:cs="Times New Roman"/>
          <w:b/>
          <w:sz w:val="24"/>
          <w:szCs w:val="24"/>
        </w:rPr>
        <w:lastRenderedPageBreak/>
        <w:t xml:space="preserve"> </w:t>
      </w:r>
      <w:r w:rsidRPr="002F3EFC">
        <w:t xml:space="preserve"> </w:t>
      </w:r>
      <w:r w:rsidRPr="00A722F7">
        <w:rPr>
          <w:noProof/>
        </w:rPr>
        <w:drawing>
          <wp:inline distT="0" distB="0" distL="0" distR="0" wp14:anchorId="5AE59212" wp14:editId="342193E8">
            <wp:extent cx="5638800" cy="4376382"/>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4135" cy="4380523"/>
                    </a:xfrm>
                    <a:prstGeom prst="rect">
                      <a:avLst/>
                    </a:prstGeom>
                    <a:noFill/>
                    <a:ln>
                      <a:noFill/>
                    </a:ln>
                  </pic:spPr>
                </pic:pic>
              </a:graphicData>
            </a:graphic>
          </wp:inline>
        </w:drawing>
      </w:r>
    </w:p>
    <w:p w14:paraId="7D4577CE" w14:textId="14FBF7C7" w:rsidR="00824F93" w:rsidRDefault="00342389" w:rsidP="00824F93">
      <w:pPr>
        <w:rPr>
          <w:rFonts w:ascii="Times New Roman" w:hAnsi="Times New Roman" w:cs="Times New Roman"/>
          <w:sz w:val="24"/>
          <w:szCs w:val="24"/>
        </w:rPr>
      </w:pPr>
      <w:r>
        <w:rPr>
          <w:rFonts w:ascii="Times New Roman" w:hAnsi="Times New Roman" w:cs="Times New Roman"/>
          <w:b/>
          <w:sz w:val="24"/>
          <w:szCs w:val="24"/>
        </w:rPr>
        <w:t>Figure S1</w:t>
      </w:r>
      <w:r w:rsidR="00824F93" w:rsidRPr="00005FF8">
        <w:rPr>
          <w:rFonts w:ascii="Times New Roman" w:hAnsi="Times New Roman" w:cs="Times New Roman"/>
          <w:b/>
          <w:sz w:val="24"/>
          <w:szCs w:val="24"/>
        </w:rPr>
        <w:t xml:space="preserve">. </w:t>
      </w:r>
      <w:r w:rsidR="001204D3">
        <w:rPr>
          <w:rFonts w:ascii="Times New Roman" w:hAnsi="Times New Roman" w:cs="Times New Roman"/>
          <w:sz w:val="24"/>
          <w:szCs w:val="24"/>
        </w:rPr>
        <w:t>M</w:t>
      </w:r>
      <w:r w:rsidR="00824F93">
        <w:rPr>
          <w:rFonts w:ascii="Times New Roman" w:hAnsi="Times New Roman" w:cs="Times New Roman"/>
          <w:sz w:val="24"/>
          <w:szCs w:val="24"/>
        </w:rPr>
        <w:t xml:space="preserve">ass of glucan, xylan, and lignin left in the solids produced by DSA and CELF pretreatments at conditions optimized for recovery of highest overall glucan and xylan yields and for THF-washed DSA pretreated solids. The values shown </w:t>
      </w:r>
      <w:r w:rsidR="001204D3">
        <w:rPr>
          <w:rFonts w:ascii="Times New Roman" w:hAnsi="Times New Roman" w:cs="Times New Roman"/>
          <w:sz w:val="24"/>
          <w:szCs w:val="24"/>
        </w:rPr>
        <w:t xml:space="preserve">were adjusted to a </w:t>
      </w:r>
      <w:r w:rsidR="00824F93">
        <w:rPr>
          <w:rFonts w:ascii="Times New Roman" w:hAnsi="Times New Roman" w:cs="Times New Roman"/>
          <w:sz w:val="24"/>
          <w:szCs w:val="24"/>
        </w:rPr>
        <w:t>bas</w:t>
      </w:r>
      <w:r w:rsidR="001204D3">
        <w:rPr>
          <w:rFonts w:ascii="Times New Roman" w:hAnsi="Times New Roman" w:cs="Times New Roman"/>
          <w:sz w:val="24"/>
          <w:szCs w:val="24"/>
        </w:rPr>
        <w:t>is</w:t>
      </w:r>
      <w:r w:rsidR="00824F93">
        <w:rPr>
          <w:rFonts w:ascii="Times New Roman" w:hAnsi="Times New Roman" w:cs="Times New Roman"/>
          <w:sz w:val="24"/>
          <w:szCs w:val="24"/>
        </w:rPr>
        <w:t xml:space="preserve"> </w:t>
      </w:r>
      <w:r w:rsidR="001204D3">
        <w:rPr>
          <w:rFonts w:ascii="Times New Roman" w:hAnsi="Times New Roman" w:cs="Times New Roman"/>
          <w:sz w:val="24"/>
          <w:szCs w:val="24"/>
        </w:rPr>
        <w:t xml:space="preserve">of </w:t>
      </w:r>
      <w:r w:rsidR="00824F93">
        <w:rPr>
          <w:rFonts w:ascii="Times New Roman" w:hAnsi="Times New Roman" w:cs="Times New Roman"/>
          <w:sz w:val="24"/>
          <w:szCs w:val="24"/>
        </w:rPr>
        <w:t>the content of each component in 100 g of switchgrass before pretreatment. Reaction conditions: DSA: 160°C, 20 minutes, 0.5 wt% sulfuric acid. CELF: 150°C, 25 minutes, 0.5 wt% sulfuric acid, 0.889:1 THF/water mass ratio.</w:t>
      </w:r>
    </w:p>
    <w:p w14:paraId="6D1208A7" w14:textId="77777777" w:rsidR="00824F93" w:rsidRPr="00342389" w:rsidRDefault="00824F93" w:rsidP="00342389">
      <w:pPr>
        <w:spacing w:line="480" w:lineRule="auto"/>
        <w:rPr>
          <w:rFonts w:ascii="Times New Roman" w:hAnsi="Times New Roman" w:cs="Times New Roman"/>
          <w:sz w:val="24"/>
          <w:szCs w:val="24"/>
        </w:rPr>
      </w:pPr>
      <w:r>
        <w:rPr>
          <w:rFonts w:ascii="Times New Roman" w:hAnsi="Times New Roman" w:cs="Times New Roman"/>
          <w:sz w:val="24"/>
          <w:szCs w:val="24"/>
        </w:rPr>
        <w:tab/>
      </w:r>
    </w:p>
    <w:p w14:paraId="67E2E162" w14:textId="13C00A03" w:rsidR="00824F93" w:rsidRPr="008B691D" w:rsidRDefault="00824F93" w:rsidP="00824F93">
      <w:pPr>
        <w:pStyle w:val="EndNoteBibliography"/>
        <w:spacing w:line="480" w:lineRule="auto"/>
        <w:ind w:firstLine="720"/>
        <w:rPr>
          <w:rFonts w:ascii="Times New Roman" w:hAnsi="Times New Roman" w:cs="Times New Roman"/>
          <w:sz w:val="24"/>
          <w:szCs w:val="24"/>
        </w:rPr>
      </w:pPr>
      <w:r>
        <w:rPr>
          <w:rFonts w:ascii="Times New Roman" w:hAnsi="Times New Roman" w:cs="Times New Roman"/>
          <w:sz w:val="24"/>
          <w:szCs w:val="24"/>
        </w:rPr>
        <w:t>THF washing of biomass samples at room temperature was utilized to solubilize surface deposited lignin and remove it from the solid samples. To ensure that this process in fact only removed surface deposited lignin and not lignin or carbohydrates in the LCC, unpretreated switchgrass and lignin-deposited Avicel (LDA) were washed</w:t>
      </w:r>
      <w:r w:rsidR="00342389">
        <w:rPr>
          <w:rFonts w:ascii="Times New Roman" w:hAnsi="Times New Roman" w:cs="Times New Roman"/>
          <w:sz w:val="24"/>
          <w:szCs w:val="24"/>
        </w:rPr>
        <w:t xml:space="preserve"> with THF</w:t>
      </w:r>
      <w:r w:rsidR="004065F0">
        <w:rPr>
          <w:rFonts w:ascii="Times New Roman" w:hAnsi="Times New Roman" w:cs="Times New Roman"/>
          <w:sz w:val="24"/>
          <w:szCs w:val="24"/>
        </w:rPr>
        <w:t xml:space="preserve"> as well</w:t>
      </w:r>
      <w:r w:rsidR="00342389">
        <w:rPr>
          <w:rFonts w:ascii="Times New Roman" w:hAnsi="Times New Roman" w:cs="Times New Roman"/>
          <w:sz w:val="24"/>
          <w:szCs w:val="24"/>
        </w:rPr>
        <w:t>. As shown in Figure S2</w:t>
      </w:r>
      <w:r>
        <w:rPr>
          <w:rFonts w:ascii="Times New Roman" w:hAnsi="Times New Roman" w:cs="Times New Roman"/>
          <w:sz w:val="24"/>
          <w:szCs w:val="24"/>
        </w:rPr>
        <w:t xml:space="preserve">, upon washing with THF, no change in major carbohydrates or lignin in unpretreated switchgrass was observed. The mass lost was attributed to the extractives present in switchgrass that are typically solubilized during pretreatment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&lt;EndNote&gt;&lt;Cite&gt;&lt;Author&gt;Chen&lt;/Author&gt;&lt;Year&gt;2010&lt;/Year&gt;&lt;RecNum&gt;5364&lt;/RecNum&gt;&lt;DisplayText&gt;(&lt;style face="italic"&gt;36&lt;/style&gt;)&lt;/DisplayText&gt;&lt;record&gt;&lt;rec-number&gt;5364&lt;/rec-number&gt;&lt;foreign-keys&gt;&lt;key app="EN" db-id="fdwxxtv5k5szdcex5r9ps9dev9x09d2fp05a" timestamp="1515642485"&gt;5364&lt;/key&gt;&lt;/foreign-keys&gt;&lt;ref-type name="Journal Article"&gt;17&lt;/ref-type&gt;&lt;contributors&gt;&lt;authors&gt;&lt;author&gt;Chen, S. F.&lt;/author&gt;&lt;author&gt;Mowery, R. A.&lt;/author&gt;&lt;author&gt;Sevcik, R. S.&lt;/author&gt;&lt;author&gt;Scarlata, C. J.&lt;/author&gt;&lt;author&gt;Chambliss, C. K.&lt;/author&gt;&lt;/authors&gt;&lt;/contributors&gt;&lt;auth-address&gt;Baylor Univ, Dept Chem &amp;amp; Biochem, Waco, TX 76798 USA&amp;#xD;Natl Renewable Energy Lab, Golden, CO 80401 USA&lt;/auth-address&gt;&lt;titles&gt;&lt;title&gt;Compositional Analysis of Water-Soluble Materials in Switchgrass&lt;/title&gt;&lt;secondary-title&gt;Journal of Agricultural and Food Chemistry&lt;/secondary-title&gt;&lt;alt-title&gt;J Agr Food Chem&lt;/alt-title&gt;&lt;/titles&gt;&lt;periodical&gt;&lt;full-title&gt;J Agric Food Chem&lt;/full-title&gt;&lt;abbr-1&gt;Journal of agricultural and food chemistry&lt;/abbr-1&gt;&lt;/periodical&gt;&lt;pages&gt;3251-3258&lt;/pages&gt;&lt;volume&gt;58&lt;/volume&gt;&lt;number&gt;6&lt;/number&gt;&lt;keywords&gt;&lt;keyword&gt;switchgrass&lt;/keyword&gt;&lt;keyword&gt;compositional analysis&lt;/keyword&gt;&lt;keyword&gt;extractives&lt;/keyword&gt;&lt;keyword&gt;biomass&lt;/keyword&gt;&lt;keyword&gt;value-added products water-soluble materials&lt;/keyword&gt;&lt;keyword&gt;feedstock&lt;/keyword&gt;&lt;keyword&gt;degradation-products&lt;/keyword&gt;&lt;keyword&gt;corn stover&lt;/keyword&gt;&lt;keyword&gt;biomass&lt;/keyword&gt;&lt;keyword&gt;ethanol&lt;/keyword&gt;&lt;keyword&gt;pretreatment&lt;/keyword&gt;&lt;keyword&gt;feedstocks&lt;/keyword&gt;&lt;keyword&gt;bioenergy&lt;/keyword&gt;&lt;keyword&gt;energy&lt;/keyword&gt;&lt;/keywords&gt;&lt;dates&gt;&lt;year&gt;2010&lt;/year&gt;&lt;pub-dates&gt;&lt;date&gt;Mar 24&lt;/date&gt;&lt;/pub-dates&gt;&lt;/dates&gt;&lt;isbn&gt;0021-8561&lt;/isbn&gt;&lt;accession-num&gt;WOS:000275710700002&lt;/accession-num&gt;&lt;urls&gt;&lt;related-urls&gt;&lt;url&gt;&amp;lt;Go to ISI&amp;gt;://WOS:000275710700002&lt;/url&gt;&lt;/related-urls&gt;&lt;/urls&gt;&lt;electronic-resource-num&gt;10.1021/jf9033877&lt;/electronic-resource-num&gt;&lt;language&gt;English&lt;/language&gt;&lt;/record&gt;&lt;/Cite&gt;&lt;/EndNote&gt;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w:t>
      </w:r>
      <w:r w:rsidR="004D69D0">
        <w:rPr>
          <w:rFonts w:ascii="Times New Roman" w:hAnsi="Times New Roman" w:cs="Times New Roman"/>
          <w:i/>
          <w:sz w:val="24"/>
          <w:szCs w:val="24"/>
        </w:rPr>
        <w:t>40</w:t>
      </w:r>
      <w:r>
        <w:rPr>
          <w:rFonts w:ascii="Times New Roman" w:hAnsi="Times New Roman" w:cs="Times New Roman"/>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Additionally, upon washing LDA with THF, the deposited lignin was removed from the solid fraction, leaving behind cellulose-rich Avicel. </w:t>
      </w:r>
    </w:p>
    <w:p w14:paraId="05ED4A0A" w14:textId="77777777" w:rsidR="00824F93" w:rsidRDefault="00824F93" w:rsidP="00824F93">
      <w:pPr>
        <w:rPr>
          <w:rFonts w:ascii="Times New Roman" w:hAnsi="Times New Roman" w:cs="Times New Roman"/>
          <w:sz w:val="24"/>
          <w:szCs w:val="24"/>
        </w:rPr>
      </w:pPr>
    </w:p>
    <w:p w14:paraId="7B3E2883" w14:textId="77777777" w:rsidR="00824F93" w:rsidRDefault="00824F93" w:rsidP="00824F93">
      <w:pPr>
        <w:rPr>
          <w:rFonts w:ascii="Times New Roman" w:hAnsi="Times New Roman" w:cs="Times New Roman"/>
          <w:sz w:val="24"/>
          <w:szCs w:val="24"/>
        </w:rPr>
      </w:pPr>
      <w:r w:rsidRPr="00F0564B">
        <w:rPr>
          <w:noProof/>
        </w:rPr>
        <w:drawing>
          <wp:inline distT="0" distB="0" distL="0" distR="0" wp14:anchorId="0733FD2F" wp14:editId="708495A4">
            <wp:extent cx="5457825" cy="4235924"/>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5484" cy="4241869"/>
                    </a:xfrm>
                    <a:prstGeom prst="rect">
                      <a:avLst/>
                    </a:prstGeom>
                    <a:noFill/>
                    <a:ln>
                      <a:noFill/>
                    </a:ln>
                  </pic:spPr>
                </pic:pic>
              </a:graphicData>
            </a:graphic>
          </wp:inline>
        </w:drawing>
      </w:r>
    </w:p>
    <w:p w14:paraId="7731060B" w14:textId="15B50743" w:rsidR="00824F93" w:rsidRPr="00BD282C" w:rsidRDefault="00342389" w:rsidP="00033C0E">
      <w:pPr>
        <w:rPr>
          <w:rFonts w:ascii="Times New Roman" w:hAnsi="Times New Roman" w:cs="Times New Roman"/>
          <w:sz w:val="24"/>
          <w:szCs w:val="24"/>
        </w:rPr>
      </w:pPr>
      <w:r>
        <w:rPr>
          <w:rFonts w:ascii="Times New Roman" w:hAnsi="Times New Roman" w:cs="Times New Roman"/>
          <w:b/>
          <w:sz w:val="24"/>
          <w:szCs w:val="24"/>
        </w:rPr>
        <w:t>Figure S2</w:t>
      </w:r>
      <w:r w:rsidR="00824F93" w:rsidRPr="00005FF8">
        <w:rPr>
          <w:rFonts w:ascii="Times New Roman" w:hAnsi="Times New Roman" w:cs="Times New Roman"/>
          <w:b/>
          <w:sz w:val="24"/>
          <w:szCs w:val="24"/>
        </w:rPr>
        <w:t xml:space="preserve">. </w:t>
      </w:r>
      <w:r w:rsidR="00533C04">
        <w:rPr>
          <w:rFonts w:ascii="Times New Roman" w:hAnsi="Times New Roman" w:cs="Times New Roman"/>
          <w:sz w:val="24"/>
          <w:szCs w:val="24"/>
        </w:rPr>
        <w:t>Ma</w:t>
      </w:r>
      <w:r w:rsidR="00824F93">
        <w:rPr>
          <w:rFonts w:ascii="Times New Roman" w:hAnsi="Times New Roman" w:cs="Times New Roman"/>
          <w:sz w:val="24"/>
          <w:szCs w:val="24"/>
        </w:rPr>
        <w:t xml:space="preserve">ss of glucan, xylan, and lignin in unpretreated and THF-washed unpretreated switchgrass, and lignin-deposited Avicel (LDA) and THF-washed LDA. THF wash </w:t>
      </w:r>
      <w:r w:rsidR="0079538A">
        <w:rPr>
          <w:rFonts w:ascii="Times New Roman" w:hAnsi="Times New Roman" w:cs="Times New Roman"/>
          <w:sz w:val="24"/>
          <w:szCs w:val="24"/>
        </w:rPr>
        <w:t xml:space="preserve">was </w:t>
      </w:r>
      <w:r w:rsidR="00824F93">
        <w:rPr>
          <w:rFonts w:ascii="Times New Roman" w:hAnsi="Times New Roman" w:cs="Times New Roman"/>
          <w:sz w:val="24"/>
          <w:szCs w:val="24"/>
        </w:rPr>
        <w:t>performed with 500 mL of</w:t>
      </w:r>
      <w:r w:rsidR="0079538A">
        <w:rPr>
          <w:rFonts w:ascii="Times New Roman" w:hAnsi="Times New Roman" w:cs="Times New Roman"/>
          <w:sz w:val="24"/>
          <w:szCs w:val="24"/>
        </w:rPr>
        <w:t xml:space="preserve"> </w:t>
      </w:r>
      <w:r w:rsidR="00824F93">
        <w:rPr>
          <w:rFonts w:ascii="Times New Roman" w:hAnsi="Times New Roman" w:cs="Times New Roman"/>
          <w:sz w:val="24"/>
          <w:szCs w:val="24"/>
        </w:rPr>
        <w:t>THF at room temperature.</w:t>
      </w:r>
    </w:p>
    <w:p w14:paraId="2EC1C66A" w14:textId="77777777" w:rsidR="00B22F68" w:rsidRDefault="00B22F68">
      <w:bookmarkStart w:id="0" w:name="_GoBack"/>
      <w:bookmarkEnd w:id="0"/>
    </w:p>
    <w:sectPr w:rsidR="00B22F6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33B4B7" w14:textId="77777777" w:rsidR="002E235E" w:rsidRDefault="002E235E">
      <w:pPr>
        <w:spacing w:after="0" w:line="240" w:lineRule="auto"/>
      </w:pPr>
      <w:r>
        <w:separator/>
      </w:r>
    </w:p>
  </w:endnote>
  <w:endnote w:type="continuationSeparator" w:id="0">
    <w:p w14:paraId="0BACF63D" w14:textId="77777777" w:rsidR="002E235E" w:rsidRDefault="002E2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811309"/>
      <w:docPartObj>
        <w:docPartGallery w:val="Page Numbers (Bottom of Page)"/>
        <w:docPartUnique/>
      </w:docPartObj>
    </w:sdtPr>
    <w:sdtEndPr>
      <w:rPr>
        <w:rFonts w:ascii="Times New Roman" w:hAnsi="Times New Roman" w:cs="Times New Roman"/>
        <w:noProof/>
      </w:rPr>
    </w:sdtEndPr>
    <w:sdtContent>
      <w:p w14:paraId="1032C811" w14:textId="77777777" w:rsidR="006A78F7" w:rsidRPr="007E57EF" w:rsidRDefault="006A78F7">
        <w:pPr>
          <w:pStyle w:val="Footer"/>
          <w:jc w:val="center"/>
          <w:rPr>
            <w:rFonts w:ascii="Times New Roman" w:hAnsi="Times New Roman" w:cs="Times New Roman"/>
          </w:rPr>
        </w:pPr>
        <w:r w:rsidRPr="007E57EF">
          <w:rPr>
            <w:rFonts w:ascii="Times New Roman" w:hAnsi="Times New Roman" w:cs="Times New Roman"/>
          </w:rPr>
          <w:fldChar w:fldCharType="begin"/>
        </w:r>
        <w:r w:rsidRPr="007E57EF">
          <w:rPr>
            <w:rFonts w:ascii="Times New Roman" w:hAnsi="Times New Roman" w:cs="Times New Roman"/>
          </w:rPr>
          <w:instrText xml:space="preserve"> PAGE   \* MERGEFORMAT </w:instrText>
        </w:r>
        <w:r w:rsidRPr="007E57EF">
          <w:rPr>
            <w:rFonts w:ascii="Times New Roman" w:hAnsi="Times New Roman" w:cs="Times New Roman"/>
          </w:rPr>
          <w:fldChar w:fldCharType="separate"/>
        </w:r>
        <w:r w:rsidR="00333399">
          <w:rPr>
            <w:rFonts w:ascii="Times New Roman" w:hAnsi="Times New Roman" w:cs="Times New Roman"/>
            <w:noProof/>
          </w:rPr>
          <w:t>3</w:t>
        </w:r>
        <w:r w:rsidRPr="007E57EF">
          <w:rPr>
            <w:rFonts w:ascii="Times New Roman" w:hAnsi="Times New Roman" w:cs="Times New Roman"/>
            <w:noProof/>
          </w:rPr>
          <w:fldChar w:fldCharType="end"/>
        </w:r>
      </w:p>
    </w:sdtContent>
  </w:sdt>
  <w:p w14:paraId="0731FAB0" w14:textId="77777777" w:rsidR="006A78F7" w:rsidRDefault="006A78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B348D" w14:textId="77777777" w:rsidR="002E235E" w:rsidRDefault="002E235E">
      <w:pPr>
        <w:spacing w:after="0" w:line="240" w:lineRule="auto"/>
      </w:pPr>
      <w:r>
        <w:separator/>
      </w:r>
    </w:p>
  </w:footnote>
  <w:footnote w:type="continuationSeparator" w:id="0">
    <w:p w14:paraId="4B191974" w14:textId="77777777" w:rsidR="002E235E" w:rsidRDefault="002E23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D9F"/>
    <w:rsid w:val="00033C0E"/>
    <w:rsid w:val="001204D3"/>
    <w:rsid w:val="00147C41"/>
    <w:rsid w:val="001525C6"/>
    <w:rsid w:val="001A1C79"/>
    <w:rsid w:val="00230372"/>
    <w:rsid w:val="002E235E"/>
    <w:rsid w:val="00333399"/>
    <w:rsid w:val="00342389"/>
    <w:rsid w:val="004065F0"/>
    <w:rsid w:val="00432787"/>
    <w:rsid w:val="004649EE"/>
    <w:rsid w:val="004B1157"/>
    <w:rsid w:val="004D69D0"/>
    <w:rsid w:val="004E79C4"/>
    <w:rsid w:val="00533C04"/>
    <w:rsid w:val="0054188B"/>
    <w:rsid w:val="00547FF7"/>
    <w:rsid w:val="00585B95"/>
    <w:rsid w:val="006A78F7"/>
    <w:rsid w:val="00760226"/>
    <w:rsid w:val="00787685"/>
    <w:rsid w:val="0079538A"/>
    <w:rsid w:val="007F7D9F"/>
    <w:rsid w:val="00824F93"/>
    <w:rsid w:val="008D4FF5"/>
    <w:rsid w:val="00B22F68"/>
    <w:rsid w:val="00DA1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0247C1"/>
  <w15:docId w15:val="{BD7BC58A-5BC0-4AC1-8F78-D931F339F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F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824F93"/>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824F93"/>
    <w:rPr>
      <w:rFonts w:ascii="Calibri" w:hAnsi="Calibri" w:cs="Calibri"/>
      <w:noProof/>
    </w:rPr>
  </w:style>
  <w:style w:type="paragraph" w:styleId="NormalWeb">
    <w:name w:val="Normal (Web)"/>
    <w:basedOn w:val="Normal"/>
    <w:uiPriority w:val="99"/>
    <w:semiHidden/>
    <w:unhideWhenUsed/>
    <w:rsid w:val="00824F93"/>
    <w:pPr>
      <w:spacing w:before="100" w:beforeAutospacing="1" w:after="100" w:afterAutospacing="1" w:line="240" w:lineRule="auto"/>
    </w:pPr>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824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F93"/>
  </w:style>
  <w:style w:type="paragraph" w:styleId="BalloonText">
    <w:name w:val="Balloon Text"/>
    <w:basedOn w:val="Normal"/>
    <w:link w:val="BalloonTextChar"/>
    <w:uiPriority w:val="99"/>
    <w:semiHidden/>
    <w:unhideWhenUsed/>
    <w:rsid w:val="0034238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2389"/>
    <w:rPr>
      <w:rFonts w:ascii="Lucida Grande" w:hAnsi="Lucida Grande" w:cs="Lucida Grande"/>
      <w:sz w:val="18"/>
      <w:szCs w:val="18"/>
    </w:rPr>
  </w:style>
  <w:style w:type="character" w:styleId="CommentReference">
    <w:name w:val="annotation reference"/>
    <w:basedOn w:val="DefaultParagraphFont"/>
    <w:uiPriority w:val="99"/>
    <w:semiHidden/>
    <w:unhideWhenUsed/>
    <w:rsid w:val="00585B95"/>
    <w:rPr>
      <w:sz w:val="16"/>
      <w:szCs w:val="16"/>
    </w:rPr>
  </w:style>
  <w:style w:type="paragraph" w:styleId="CommentText">
    <w:name w:val="annotation text"/>
    <w:basedOn w:val="Normal"/>
    <w:link w:val="CommentTextChar"/>
    <w:uiPriority w:val="99"/>
    <w:semiHidden/>
    <w:unhideWhenUsed/>
    <w:rsid w:val="00585B95"/>
    <w:pPr>
      <w:spacing w:line="240" w:lineRule="auto"/>
    </w:pPr>
    <w:rPr>
      <w:sz w:val="20"/>
      <w:szCs w:val="20"/>
    </w:rPr>
  </w:style>
  <w:style w:type="character" w:customStyle="1" w:styleId="CommentTextChar">
    <w:name w:val="Comment Text Char"/>
    <w:basedOn w:val="DefaultParagraphFont"/>
    <w:link w:val="CommentText"/>
    <w:uiPriority w:val="99"/>
    <w:semiHidden/>
    <w:rsid w:val="00585B95"/>
    <w:rPr>
      <w:sz w:val="20"/>
      <w:szCs w:val="20"/>
    </w:rPr>
  </w:style>
  <w:style w:type="paragraph" w:styleId="CommentSubject">
    <w:name w:val="annotation subject"/>
    <w:basedOn w:val="CommentText"/>
    <w:next w:val="CommentText"/>
    <w:link w:val="CommentSubjectChar"/>
    <w:uiPriority w:val="99"/>
    <w:semiHidden/>
    <w:unhideWhenUsed/>
    <w:rsid w:val="00585B95"/>
    <w:rPr>
      <w:b/>
      <w:bCs/>
    </w:rPr>
  </w:style>
  <w:style w:type="character" w:customStyle="1" w:styleId="CommentSubjectChar">
    <w:name w:val="Comment Subject Char"/>
    <w:basedOn w:val="CommentTextChar"/>
    <w:link w:val="CommentSubject"/>
    <w:uiPriority w:val="99"/>
    <w:semiHidden/>
    <w:rsid w:val="00585B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4232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Patri</dc:creator>
  <cp:keywords/>
  <dc:description/>
  <cp:lastModifiedBy>Jini Mol J.</cp:lastModifiedBy>
  <cp:revision>6</cp:revision>
  <dcterms:created xsi:type="dcterms:W3CDTF">2020-04-28T21:05:00Z</dcterms:created>
  <dcterms:modified xsi:type="dcterms:W3CDTF">2021-02-21T06:37:00Z</dcterms:modified>
</cp:coreProperties>
</file>