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493C0C" w14:textId="7B7A88C0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sv-SE"/>
        </w:rPr>
      </w:pPr>
      <w:r w:rsidRPr="00CE5EBC">
        <w:rPr>
          <w:rFonts w:ascii="Arial" w:eastAsia="Times New Roman" w:hAnsi="Arial" w:cs="Arial"/>
          <w:b/>
          <w:bCs/>
          <w:color w:val="000000"/>
          <w:lang w:eastAsia="sv-SE"/>
        </w:rPr>
        <w:t>Additional file 1</w:t>
      </w:r>
      <w:r w:rsidR="00CE5EBC" w:rsidRPr="00CE5EBC">
        <w:rPr>
          <w:rFonts w:ascii="Arial" w:eastAsia="Times New Roman" w:hAnsi="Arial" w:cs="Arial"/>
          <w:b/>
          <w:bCs/>
          <w:color w:val="000000"/>
          <w:lang w:eastAsia="sv-SE"/>
        </w:rPr>
        <w:t>.</w:t>
      </w:r>
    </w:p>
    <w:p w14:paraId="2091883B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  <w:r w:rsidRPr="00CE5EBC">
        <w:rPr>
          <w:rFonts w:ascii="Arial" w:eastAsia="Times New Roman" w:hAnsi="Arial" w:cs="Arial"/>
          <w:color w:val="000000"/>
          <w:lang w:eastAsia="sv-SE"/>
        </w:rPr>
        <w:t xml:space="preserve">Homologous sequences of transcription-elongation factor-alpha and beta-tubulin genes used for identifying the strain as </w:t>
      </w:r>
      <w:r w:rsidRPr="00CE5EBC">
        <w:rPr>
          <w:rFonts w:ascii="Arial" w:eastAsia="Times New Roman" w:hAnsi="Arial" w:cs="Arial"/>
          <w:i/>
          <w:iCs/>
          <w:color w:val="000000"/>
          <w:lang w:eastAsia="sv-SE"/>
        </w:rPr>
        <w:t>T. terrestris</w:t>
      </w:r>
      <w:r w:rsidRPr="00CE5EBC">
        <w:rPr>
          <w:rFonts w:ascii="Arial" w:eastAsia="Times New Roman" w:hAnsi="Arial" w:cs="Arial"/>
          <w:color w:val="000000"/>
          <w:lang w:eastAsia="sv-SE"/>
        </w:rPr>
        <w:t xml:space="preserve"> LPH172. </w:t>
      </w:r>
    </w:p>
    <w:p w14:paraId="0A23FA42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lang w:eastAsia="sv-SE"/>
        </w:rPr>
      </w:pPr>
    </w:p>
    <w:p w14:paraId="214459A5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eastAsia="sv-SE"/>
        </w:rPr>
      </w:pPr>
      <w:r w:rsidRPr="00CE5EBC">
        <w:rPr>
          <w:rFonts w:ascii="Arial" w:eastAsia="Times New Roman" w:hAnsi="Arial" w:cs="Arial"/>
          <w:b/>
          <w:bCs/>
          <w:color w:val="000000"/>
          <w:lang w:eastAsia="sv-SE"/>
        </w:rPr>
        <w:t xml:space="preserve">Method </w:t>
      </w:r>
    </w:p>
    <w:p w14:paraId="562FD419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sv-SE"/>
        </w:rPr>
      </w:pPr>
    </w:p>
    <w:p w14:paraId="03E8B607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sv-SE"/>
        </w:rPr>
      </w:pPr>
      <w:r w:rsidRPr="00CE5EBC">
        <w:rPr>
          <w:rFonts w:ascii="Arial" w:eastAsia="Times New Roman" w:hAnsi="Arial" w:cs="Arial"/>
          <w:color w:val="000000"/>
          <w:lang w:eastAsia="sv-SE"/>
        </w:rPr>
        <w:t xml:space="preserve">First, homologues of these genes from ascomycetous filamentous fungi were looked up in GenBank (KM655459.1 and </w:t>
      </w:r>
      <w:r w:rsidRPr="00CE5EBC">
        <w:rPr>
          <w:rFonts w:ascii="Arial" w:hAnsi="Arial" w:cs="Arial"/>
          <w:color w:val="000000"/>
        </w:rPr>
        <w:t>M38265.1)</w:t>
      </w:r>
      <w:r w:rsidRPr="00CE5EBC">
        <w:rPr>
          <w:rFonts w:ascii="Arial" w:eastAsia="Times New Roman" w:hAnsi="Arial" w:cs="Arial"/>
          <w:color w:val="000000"/>
          <w:lang w:eastAsia="sv-SE"/>
        </w:rPr>
        <w:t xml:space="preserve">, then blasted with the </w:t>
      </w:r>
      <w:r w:rsidRPr="00CE5EBC">
        <w:rPr>
          <w:rFonts w:ascii="Arial" w:eastAsia="Times New Roman" w:hAnsi="Arial" w:cs="Arial"/>
          <w:i/>
          <w:iCs/>
          <w:color w:val="000000"/>
          <w:lang w:eastAsia="sv-SE"/>
        </w:rPr>
        <w:t>T. terrestris</w:t>
      </w:r>
      <w:r w:rsidRPr="00CE5EBC">
        <w:rPr>
          <w:rFonts w:ascii="Arial" w:eastAsia="Times New Roman" w:hAnsi="Arial" w:cs="Arial"/>
          <w:color w:val="000000"/>
          <w:lang w:eastAsia="sv-SE"/>
        </w:rPr>
        <w:t xml:space="preserve"> NRRL 8126 coding sequences to find the matching homologues in </w:t>
      </w:r>
      <w:r w:rsidRPr="00CE5EBC">
        <w:rPr>
          <w:rFonts w:ascii="Arial" w:eastAsia="Times New Roman" w:hAnsi="Arial" w:cs="Arial"/>
          <w:i/>
          <w:iCs/>
          <w:color w:val="000000"/>
          <w:lang w:eastAsia="sv-SE"/>
        </w:rPr>
        <w:t>T. terrestris (</w:t>
      </w:r>
      <w:r w:rsidRPr="00CE5EBC">
        <w:rPr>
          <w:rFonts w:ascii="Arial" w:hAnsi="Arial" w:cs="Arial"/>
        </w:rPr>
        <w:t>Thite2|2111611 and Thite2|2149383)</w:t>
      </w:r>
      <w:r w:rsidRPr="00CE5EBC">
        <w:rPr>
          <w:rFonts w:ascii="Arial" w:eastAsia="Times New Roman" w:hAnsi="Arial" w:cs="Arial"/>
          <w:color w:val="000000"/>
          <w:lang w:eastAsia="sv-SE"/>
        </w:rPr>
        <w:t xml:space="preserve">. Lastly, the homologues from NRRL 8126 were blasted with the </w:t>
      </w:r>
      <w:r w:rsidRPr="00CE5EBC">
        <w:rPr>
          <w:rFonts w:ascii="Arial" w:eastAsia="Times New Roman" w:hAnsi="Arial" w:cs="Arial"/>
          <w:i/>
          <w:iCs/>
          <w:color w:val="000000"/>
          <w:lang w:eastAsia="sv-SE"/>
        </w:rPr>
        <w:t>T. terrestris</w:t>
      </w:r>
      <w:r w:rsidRPr="00CE5EBC">
        <w:rPr>
          <w:rFonts w:ascii="Arial" w:eastAsia="Times New Roman" w:hAnsi="Arial" w:cs="Arial"/>
          <w:color w:val="000000"/>
          <w:lang w:eastAsia="sv-SE"/>
        </w:rPr>
        <w:t xml:space="preserve"> LPH172, giving the results described in the article. </w:t>
      </w:r>
    </w:p>
    <w:p w14:paraId="119BD016" w14:textId="77777777" w:rsidR="0039731D" w:rsidRPr="00CE5EBC" w:rsidRDefault="0039731D" w:rsidP="0039731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eastAsia="sv-SE"/>
        </w:rPr>
      </w:pPr>
    </w:p>
    <w:p w14:paraId="218A8F8C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 xml:space="preserve">The TEF1 homologue in </w:t>
      </w:r>
      <w:r w:rsidRPr="00CE5EBC">
        <w:rPr>
          <w:rFonts w:ascii="Arial" w:hAnsi="Arial" w:cs="Arial"/>
          <w:i/>
          <w:iCs/>
        </w:rPr>
        <w:t>T. terrestris</w:t>
      </w:r>
      <w:r w:rsidRPr="00CE5EBC">
        <w:rPr>
          <w:rFonts w:ascii="Arial" w:hAnsi="Arial" w:cs="Arial"/>
        </w:rPr>
        <w:t xml:space="preserve"> LPH172:</w:t>
      </w:r>
    </w:p>
    <w:p w14:paraId="5BB1A023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 xml:space="preserve">&gt;THTET00000002213 gene=THTEG00000002213 name=tef </w:t>
      </w:r>
      <w:proofErr w:type="spellStart"/>
      <w:r w:rsidRPr="00CE5EBC">
        <w:rPr>
          <w:rFonts w:ascii="Arial" w:hAnsi="Arial" w:cs="Arial"/>
        </w:rPr>
        <w:t>seq_id</w:t>
      </w:r>
      <w:proofErr w:type="spellEnd"/>
      <w:r w:rsidRPr="00CE5EBC">
        <w:rPr>
          <w:rFonts w:ascii="Arial" w:hAnsi="Arial" w:cs="Arial"/>
        </w:rPr>
        <w:t>=unitig_0|quiver type=</w:t>
      </w:r>
      <w:proofErr w:type="spellStart"/>
      <w:r w:rsidRPr="00CE5EBC">
        <w:rPr>
          <w:rFonts w:ascii="Arial" w:hAnsi="Arial" w:cs="Arial"/>
        </w:rPr>
        <w:t>cds</w:t>
      </w:r>
      <w:proofErr w:type="spellEnd"/>
    </w:p>
    <w:p w14:paraId="485933FC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ATGGGCAAGGAAGACAAGACCCACATCAACGTGGTCGTCATCGGCCACGTCGACTCTGGC</w:t>
      </w:r>
    </w:p>
    <w:p w14:paraId="212C192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AAGTCCACGACGACTGGTCACTTGATCTACAAGTGCGGTGGTATCGACTCCCGTACCATC</w:t>
      </w:r>
    </w:p>
    <w:p w14:paraId="33CD8F09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GAGAAGTTCGAGAAGGAAGCTGCCCAGCTCGGCAAGGGCTCCTTCAAGTATGCGTGGGTT</w:t>
      </w:r>
    </w:p>
    <w:p w14:paraId="6FF52A01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CTCGACAAGCTCAAGGCTGAGCGTGAGCGTGGTATCACCATCGATATCGCCCTCTGGAAG</w:t>
      </w:r>
    </w:p>
    <w:p w14:paraId="2B594B1F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TTCGAGACCCCCAAGTACATGGTCACTGTCATCGATGCCCCCGGCCATCGTGACTTCATC</w:t>
      </w:r>
    </w:p>
    <w:p w14:paraId="1BA3A753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AAGAACATGATCACTGGTACTTCCCAGGCCGACTGCGCTATTCTCATCATTGCCGCCGGT</w:t>
      </w:r>
    </w:p>
    <w:p w14:paraId="7056E46E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ACTGGTGAGTTCGAGGCTGGTATCTCCAAGGATGGCCAGACTCGTGAGCACGCTCTGCTT</w:t>
      </w:r>
    </w:p>
    <w:p w14:paraId="50864287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GCCTACACCCTGGGTGTCAAGCAGCTCATCGTCGCCATCAACAAGATGGACACGACCAAC</w:t>
      </w:r>
    </w:p>
    <w:p w14:paraId="49B3048B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TGGTCCGAGGCTCGGTTCAACGAGATCATCAAGGAGACCTCGAACTTCATCAAGAAGGTC</w:t>
      </w:r>
    </w:p>
    <w:p w14:paraId="73C2179E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GGCTACAACCCCAAGTCGGTCGCCTTCGTCCCCATCTCCGGCTTCCACGGCGACAACATG</w:t>
      </w:r>
    </w:p>
    <w:p w14:paraId="7811016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CTGGAGCCCTCCGCCAACGCTCCCTGGTACAAGGGCTGGGAGAAGGAGGTCAAGAACGGC</w:t>
      </w:r>
    </w:p>
    <w:p w14:paraId="3F6FDA1C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AAGGTCACCGGCAAGACCCTCCTTGAGGCCATTGACGCCATCGAGCCCCCCAAGCGCCCC</w:t>
      </w:r>
    </w:p>
    <w:p w14:paraId="410F2A3B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ACCGACAAGCCCCTCCGCCTTCCTCTGCAGGATGTGTACAAGATCGGCGGTATCGGCACT</w:t>
      </w:r>
    </w:p>
    <w:p w14:paraId="7DD3ECE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GTCCCTGTCGGCCGTATTGAGACCGGTATCCTGAAGCCCGGCATGGTTGTTACCTTCGCC</w:t>
      </w:r>
    </w:p>
    <w:p w14:paraId="4634411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CCTTCGAACGTCACCACTGAAGTCAAGTCCGTCGAGATGCACCACGAGTCGCTCGCTGAG</w:t>
      </w:r>
    </w:p>
    <w:p w14:paraId="5DB21434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GGTGTTCCGGGCGACAACGTCGGCTTCAACGTGAAGAACGTTTCCGTCAAGGAAATCCGC</w:t>
      </w:r>
    </w:p>
    <w:p w14:paraId="13BDEA9B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CGCGGCAACGTTGCCGGCGACTCCAAGAACGACCCTCCTGCTGGCGCCGCTTCCTTCGAG</w:t>
      </w:r>
    </w:p>
    <w:p w14:paraId="77DDFC5F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GCCCAGGTCATCATTCTCAACCACCCCGGTCAGGTCGGCGCTGGCTATGCCCCCGTCCTC</w:t>
      </w:r>
    </w:p>
    <w:p w14:paraId="1A27ADF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GACTGCCACACCGCGCACATTGCCTGCAAGTTCGCTGAGCTCCTCCAGAAGATCGACCGC</w:t>
      </w:r>
    </w:p>
    <w:p w14:paraId="7F49B47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CGCACTGGTAAGGCCGTCGAGGACAACCCCAAGTTCATCAAGTCTGGCGATGCCGCCATC</w:t>
      </w:r>
    </w:p>
    <w:p w14:paraId="499D5455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lastRenderedPageBreak/>
        <w:t>GTCAAGATGATTCCCTCGAAGCCCATGTGCGTGGAGGCTTTCACCGAGTACCCTCCCCTT</w:t>
      </w:r>
    </w:p>
    <w:p w14:paraId="33B91AB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GGTCGTTTCGCCGTCCGCGACATGCGTCAAACCGTCGCCGTCGGTGTCATCAAGAAGGTT</w:t>
      </w:r>
    </w:p>
    <w:p w14:paraId="5F42D684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GAGAAGGCTGCTGCCGGTGCCGGCAAGGTCACCAAGTCCGCTGTCAAGGCCTCCAAGAAA</w:t>
      </w:r>
    </w:p>
    <w:p w14:paraId="222C5F58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TAA</w:t>
      </w:r>
    </w:p>
    <w:p w14:paraId="1B528132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</w:p>
    <w:p w14:paraId="473326EB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 xml:space="preserve">The beta-tubulin homologue in </w:t>
      </w:r>
      <w:r w:rsidRPr="00CE5EBC">
        <w:rPr>
          <w:rFonts w:ascii="Arial" w:hAnsi="Arial" w:cs="Arial"/>
          <w:i/>
          <w:iCs/>
        </w:rPr>
        <w:t>T. terrestris</w:t>
      </w:r>
      <w:r w:rsidRPr="00CE5EBC">
        <w:rPr>
          <w:rFonts w:ascii="Arial" w:hAnsi="Arial" w:cs="Arial"/>
        </w:rPr>
        <w:t xml:space="preserve"> LPH172:</w:t>
      </w:r>
    </w:p>
    <w:p w14:paraId="1068D15A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 xml:space="preserve">&gt;THTET00000009462 gene=THTEG00000009462 name=tub-2 </w:t>
      </w:r>
      <w:proofErr w:type="spellStart"/>
      <w:r w:rsidRPr="00CE5EBC">
        <w:rPr>
          <w:rFonts w:ascii="Arial" w:hAnsi="Arial" w:cs="Arial"/>
        </w:rPr>
        <w:t>seq_id</w:t>
      </w:r>
      <w:proofErr w:type="spellEnd"/>
      <w:r w:rsidRPr="00CE5EBC">
        <w:rPr>
          <w:rFonts w:ascii="Arial" w:hAnsi="Arial" w:cs="Arial"/>
        </w:rPr>
        <w:t>=unitig_90|quiver type=</w:t>
      </w:r>
      <w:proofErr w:type="spellStart"/>
      <w:r w:rsidRPr="00CE5EBC">
        <w:rPr>
          <w:rFonts w:ascii="Arial" w:hAnsi="Arial" w:cs="Arial"/>
        </w:rPr>
        <w:t>cds</w:t>
      </w:r>
      <w:proofErr w:type="spellEnd"/>
    </w:p>
    <w:p w14:paraId="20342437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ATGCGTGAGATCGTTCACCTCCAGACCGGCCAATGCGGTAACCAAATTGGTGCCGCTTTT</w:t>
      </w:r>
    </w:p>
    <w:p w14:paraId="0B5E2681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TGGCAGACCATCTCGGGCGAGCACGGCCTTGACAGCAATGGCGTGTACAATGGCACCTCC</w:t>
      </w:r>
    </w:p>
    <w:p w14:paraId="35F7D225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GAGCTCCAGCTCGAGCGCATGAACGTCTACTTCAACGAGGCCTCCGGCAACAAGTATGTC</w:t>
      </w:r>
    </w:p>
    <w:p w14:paraId="7F45A084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CCTCGTGCCGTCCTCGTCGACCTGGAGCCCGGCACCATGGATGCCGTCCGCGCTGGACCC</w:t>
      </w:r>
    </w:p>
    <w:p w14:paraId="2D2BE84F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TTCGGCCAGCTCTTCCGCCCTGACAACTTCGTCTTCGGCCAGTCCGGTGCTGGCAACAAC</w:t>
      </w:r>
    </w:p>
    <w:p w14:paraId="087BD80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TGGGCCAAGGGTCACTACACCGAGGGTGCCGAGCTCGTGGACCAGGTCCTCGATGTCGTC</w:t>
      </w:r>
    </w:p>
    <w:p w14:paraId="121B0FEF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CGTCGCGAGGCCGAGGGCTGCGACTGCCTCCAGGGCTTCCAGATCACCCACTCGCTCGGT</w:t>
      </w:r>
    </w:p>
    <w:p w14:paraId="333F0EAE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GGTGGTACCGGTGCCGGTATGGGTACCCTCCTGATCTCCAAGATCCGCGAGGAGTTCCCC</w:t>
      </w:r>
    </w:p>
    <w:p w14:paraId="1522EE4C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GACCGCATGATGGCCACCTTCTCGGTCGTGCCCTCGCCCAAGGTCTCCGACACGGTCGTC</w:t>
      </w:r>
    </w:p>
    <w:p w14:paraId="781C9F37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GAGCCTTACAACGCCACTCTCTCGGTGCACCAGCTGGTCGAAAACTCGGACGAGACCTTC</w:t>
      </w:r>
    </w:p>
    <w:p w14:paraId="7D14F75D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TGCATTGACAACGAGGCCCTCTACGACATCTGCATGCGCACCCTGAAGCTGTCGAACCCC</w:t>
      </w:r>
    </w:p>
    <w:p w14:paraId="2862AAB1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TCGTACGGTGACCTCAACTACCTGGTCTCGGCCGTCATGTCGGGCGTCACCGTCTCGCTG</w:t>
      </w:r>
    </w:p>
    <w:p w14:paraId="6C3AFE2C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CGCTTCCCCGGCCAGCTCAACTCGGACCTTCGCAAGCTGGCCGTCAACATGGTTCCTTTC</w:t>
      </w:r>
    </w:p>
    <w:p w14:paraId="2E35CED4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CCGCGTCTCCACTTCTTCATGGTTGGCTTCGCGCCTCTGACCAGCCGTGGCGCCCACTCG</w:t>
      </w:r>
    </w:p>
    <w:p w14:paraId="614C63C5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TTCCGCGCCGTCTCCGTTCCTGAGTTGACCCAGCAGATGTTCGACCCCAAGAACATGATG</w:t>
      </w:r>
    </w:p>
    <w:p w14:paraId="4A9C64B7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GCTGCGTCCGACTTCCGCAATGGTCGCTACCTCACCTGCTCTGCCATCTTCCGTGGCAAG</w:t>
      </w:r>
    </w:p>
    <w:p w14:paraId="6CD0ACC0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GTCTCCATGAAGGAGGTTGAGGACCAGATGCGCAACGTCCAGAACAAGAACTCGTCCTAC</w:t>
      </w:r>
    </w:p>
    <w:p w14:paraId="1C802DA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TTTGTCGAGTGGATCCCGAACAACGTCCAAACGGCGCTGTGCTCGATCCCGCCGCGCGGT</w:t>
      </w:r>
    </w:p>
    <w:p w14:paraId="7C64025B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CTCAAGATGTCGTCGACCTTCGTCGGCAACTCGACGGCCATCCAGGAGCTGTTCAAGCGT</w:t>
      </w:r>
    </w:p>
    <w:p w14:paraId="23BB611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GTTGGCGAGCAGTTCACGGCCATGTTCCGCCGCAAGGCCTTCTTGCACTGGTACACTGGC</w:t>
      </w:r>
    </w:p>
    <w:p w14:paraId="66883E90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GAAGGCATGGACGAGATGGAGTTCACCGAGGCCGAGTCCAACATGAACGATCTCGTCTCG</w:t>
      </w:r>
    </w:p>
    <w:p w14:paraId="13D515A6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lastRenderedPageBreak/>
        <w:t>GAGTACCAGCAGTACCAGGATGCTGGCGTCGACGAGGACGAGGAGGGTTATGAGGAGGAG</w:t>
      </w:r>
    </w:p>
    <w:p w14:paraId="70AC3407" w14:textId="77777777" w:rsidR="0039731D" w:rsidRPr="00CE5EBC" w:rsidRDefault="0039731D" w:rsidP="0039731D">
      <w:pPr>
        <w:spacing w:line="240" w:lineRule="auto"/>
        <w:jc w:val="both"/>
        <w:rPr>
          <w:rFonts w:ascii="Arial" w:hAnsi="Arial" w:cs="Arial"/>
        </w:rPr>
      </w:pPr>
      <w:r w:rsidRPr="00CE5EBC">
        <w:rPr>
          <w:rFonts w:ascii="Arial" w:hAnsi="Arial" w:cs="Arial"/>
        </w:rPr>
        <w:t>GTTCCTGTCGAGCAGGAGGAGTAA</w:t>
      </w:r>
    </w:p>
    <w:p w14:paraId="1954EFA0" w14:textId="77777777" w:rsidR="0039731D" w:rsidRPr="00CE5EBC" w:rsidRDefault="0039731D" w:rsidP="0039731D">
      <w:pPr>
        <w:rPr>
          <w:rFonts w:ascii="Arial" w:hAnsi="Arial" w:cs="Arial"/>
        </w:rPr>
      </w:pPr>
      <w:r w:rsidRPr="00CE5EBC">
        <w:rPr>
          <w:rFonts w:ascii="Arial" w:hAnsi="Arial" w:cs="Arial"/>
        </w:rPr>
        <w:br w:type="page"/>
      </w:r>
    </w:p>
    <w:p w14:paraId="0A2D05EE" w14:textId="6EC91E1F" w:rsidR="0039731D" w:rsidRPr="00CE5EBC" w:rsidRDefault="0039731D">
      <w:pPr>
        <w:rPr>
          <w:rFonts w:ascii="Arial" w:hAnsi="Arial" w:cs="Arial"/>
          <w:b/>
          <w:bCs/>
        </w:rPr>
      </w:pPr>
      <w:r w:rsidRPr="00CE5EBC">
        <w:rPr>
          <w:rFonts w:ascii="Arial" w:hAnsi="Arial" w:cs="Arial"/>
          <w:b/>
          <w:bCs/>
        </w:rPr>
        <w:lastRenderedPageBreak/>
        <w:t>Phylogenetic analysis</w:t>
      </w:r>
    </w:p>
    <w:p w14:paraId="345FE11E" w14:textId="03B6782D" w:rsidR="00BC1A79" w:rsidRPr="00CE5EBC" w:rsidRDefault="00BD796D">
      <w:pPr>
        <w:rPr>
          <w:rFonts w:ascii="Arial" w:hAnsi="Arial" w:cs="Arial"/>
        </w:rPr>
      </w:pPr>
      <w:r w:rsidRPr="00CE5EBC">
        <w:rPr>
          <w:rFonts w:ascii="Arial" w:hAnsi="Arial" w:cs="Arial"/>
          <w:noProof/>
        </w:rPr>
        <w:drawing>
          <wp:inline distT="0" distB="0" distL="0" distR="0" wp14:anchorId="483C93A0" wp14:editId="01EEB64D">
            <wp:extent cx="6559500" cy="593773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501" cy="598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947143" w14:textId="0BCA01E4" w:rsidR="00BD796D" w:rsidRPr="00CE5EBC" w:rsidRDefault="00BD796D">
      <w:pPr>
        <w:rPr>
          <w:rFonts w:ascii="Arial" w:hAnsi="Arial" w:cs="Arial"/>
        </w:rPr>
      </w:pPr>
    </w:p>
    <w:p w14:paraId="151A1D9D" w14:textId="77777777" w:rsidR="00BD796D" w:rsidRPr="00CE5EBC" w:rsidRDefault="00BD796D" w:rsidP="00BD796D">
      <w:pPr>
        <w:rPr>
          <w:rFonts w:ascii="Arial" w:hAnsi="Arial" w:cs="Arial"/>
        </w:rPr>
      </w:pPr>
      <w:r w:rsidRPr="00CE5EBC">
        <w:rPr>
          <w:rFonts w:ascii="Arial" w:hAnsi="Arial" w:cs="Arial"/>
          <w:noProof/>
        </w:rPr>
        <w:lastRenderedPageBreak/>
        <w:drawing>
          <wp:inline distT="0" distB="0" distL="0" distR="0" wp14:anchorId="5317528A" wp14:editId="40C64CBA">
            <wp:extent cx="7163435" cy="67551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3435" cy="675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EEBEB8" w14:textId="77777777" w:rsidR="00BD796D" w:rsidRPr="00CE5EBC" w:rsidRDefault="00BD796D" w:rsidP="00BD796D">
      <w:pPr>
        <w:rPr>
          <w:rFonts w:ascii="Arial" w:hAnsi="Arial" w:cs="Arial"/>
        </w:rPr>
      </w:pPr>
    </w:p>
    <w:p w14:paraId="5FB7468B" w14:textId="77777777" w:rsidR="00BD796D" w:rsidRPr="00CE5EBC" w:rsidRDefault="00BD796D">
      <w:pPr>
        <w:rPr>
          <w:rFonts w:ascii="Arial" w:hAnsi="Arial" w:cs="Arial"/>
        </w:rPr>
      </w:pPr>
    </w:p>
    <w:p w14:paraId="34359C54" w14:textId="073D1FD9" w:rsidR="00BD796D" w:rsidRPr="00CE5EBC" w:rsidRDefault="00BD796D">
      <w:pPr>
        <w:rPr>
          <w:rFonts w:ascii="Arial" w:hAnsi="Arial" w:cs="Arial"/>
        </w:rPr>
      </w:pPr>
    </w:p>
    <w:p w14:paraId="7A3196B2" w14:textId="77777777" w:rsidR="00F44270" w:rsidRPr="00CE5EBC" w:rsidRDefault="00BD796D" w:rsidP="00BE69E8">
      <w:pPr>
        <w:rPr>
          <w:rFonts w:ascii="Arial" w:hAnsi="Arial" w:cs="Arial"/>
          <w:b/>
          <w:bCs/>
          <w:i/>
          <w:iCs/>
        </w:rPr>
      </w:pPr>
      <w:r w:rsidRPr="00CE5EBC">
        <w:rPr>
          <w:rFonts w:ascii="Arial" w:hAnsi="Arial" w:cs="Arial"/>
          <w:noProof/>
        </w:rPr>
        <w:lastRenderedPageBreak/>
        <w:drawing>
          <wp:inline distT="0" distB="0" distL="0" distR="0" wp14:anchorId="2DFF9A78" wp14:editId="370427D5">
            <wp:extent cx="5495441" cy="562791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3378" cy="56462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B1AA6B" w14:textId="6D760411" w:rsidR="00BE69E8" w:rsidRPr="00CE5EBC" w:rsidRDefault="00BE69E8" w:rsidP="00CE5EBC">
      <w:pPr>
        <w:jc w:val="both"/>
        <w:rPr>
          <w:rFonts w:ascii="Arial" w:eastAsia="Times New Roman" w:hAnsi="Arial" w:cs="Arial"/>
          <w:color w:val="000000"/>
        </w:rPr>
      </w:pPr>
      <w:r w:rsidRPr="00CE5EBC">
        <w:rPr>
          <w:rFonts w:ascii="Arial" w:hAnsi="Arial" w:cs="Arial"/>
          <w:b/>
          <w:bCs/>
          <w:i/>
          <w:iCs/>
        </w:rPr>
        <w:t>Fig S1.</w:t>
      </w:r>
      <w:r w:rsidRPr="00CE5EBC">
        <w:rPr>
          <w:rFonts w:ascii="Arial" w:hAnsi="Arial" w:cs="Arial"/>
        </w:rPr>
        <w:t xml:space="preserve"> </w:t>
      </w:r>
      <w:r w:rsidR="00BB77C0" w:rsidRPr="00CE5EBC">
        <w:rPr>
          <w:rFonts w:ascii="Arial" w:eastAsia="Times New Roman" w:hAnsi="Arial" w:cs="Arial"/>
          <w:color w:val="000000"/>
        </w:rPr>
        <w:t xml:space="preserve">Maximum Likelihood </w:t>
      </w:r>
      <w:r w:rsidR="00B33FF8" w:rsidRPr="00CE5EBC">
        <w:rPr>
          <w:rFonts w:ascii="Arial" w:eastAsia="Times New Roman" w:hAnsi="Arial" w:cs="Arial"/>
          <w:color w:val="000000"/>
        </w:rPr>
        <w:t xml:space="preserve">trees depicting the relationship between LPH 172 and related taxa of </w:t>
      </w:r>
      <w:proofErr w:type="spellStart"/>
      <w:r w:rsidR="00B33FF8" w:rsidRPr="00CE5EBC">
        <w:rPr>
          <w:rFonts w:ascii="Arial" w:eastAsia="Times New Roman" w:hAnsi="Arial" w:cs="Arial"/>
          <w:color w:val="000000"/>
        </w:rPr>
        <w:t>Chaetomiaceae</w:t>
      </w:r>
      <w:proofErr w:type="spellEnd"/>
      <w:r w:rsidR="00B33FF8" w:rsidRPr="00CE5EBC">
        <w:rPr>
          <w:rFonts w:ascii="Arial" w:eastAsia="Times New Roman" w:hAnsi="Arial" w:cs="Arial"/>
          <w:color w:val="000000"/>
        </w:rPr>
        <w:t xml:space="preserve">. The trees were constructed based on </w:t>
      </w:r>
      <w:r w:rsidRPr="00CE5EBC">
        <w:rPr>
          <w:rFonts w:ascii="Arial" w:eastAsia="Times New Roman" w:hAnsi="Arial" w:cs="Arial"/>
          <w:color w:val="000000"/>
        </w:rPr>
        <w:t xml:space="preserve">the </w:t>
      </w:r>
      <w:r w:rsidR="00F44270" w:rsidRPr="00CE5EBC">
        <w:rPr>
          <w:rFonts w:ascii="Arial" w:eastAsia="Times New Roman" w:hAnsi="Arial" w:cs="Arial"/>
          <w:color w:val="000000"/>
        </w:rPr>
        <w:t>ITS-D1D2 (</w:t>
      </w:r>
      <w:r w:rsidRPr="00CE5EBC">
        <w:rPr>
          <w:rFonts w:ascii="Arial" w:eastAsia="Times New Roman" w:hAnsi="Arial" w:cs="Arial"/>
          <w:color w:val="000000"/>
        </w:rPr>
        <w:t xml:space="preserve">internal transcribed spacer and the D1D2 domains of the 28S </w:t>
      </w:r>
      <w:proofErr w:type="spellStart"/>
      <w:r w:rsidRPr="00CE5EBC">
        <w:rPr>
          <w:rFonts w:ascii="Arial" w:eastAsia="Times New Roman" w:hAnsi="Arial" w:cs="Arial"/>
          <w:color w:val="000000"/>
        </w:rPr>
        <w:t>nrDNA</w:t>
      </w:r>
      <w:proofErr w:type="spellEnd"/>
      <w:r w:rsidR="00F44270" w:rsidRPr="00CE5EBC">
        <w:rPr>
          <w:rFonts w:ascii="Arial" w:eastAsia="Times New Roman" w:hAnsi="Arial" w:cs="Arial"/>
          <w:color w:val="000000"/>
        </w:rPr>
        <w:t>), RPB2 (</w:t>
      </w:r>
      <w:r w:rsidRPr="00CE5EBC">
        <w:rPr>
          <w:rFonts w:ascii="Arial" w:eastAsia="Times New Roman" w:hAnsi="Arial" w:cs="Arial"/>
          <w:color w:val="000000"/>
        </w:rPr>
        <w:t>a part of the DNA-directed RNA polymerase II second largest subunit gene</w:t>
      </w:r>
      <w:r w:rsidR="00F44270" w:rsidRPr="00CE5EBC">
        <w:rPr>
          <w:rFonts w:ascii="Arial" w:eastAsia="Times New Roman" w:hAnsi="Arial" w:cs="Arial"/>
          <w:color w:val="000000"/>
        </w:rPr>
        <w:t>), and TUB2 (</w:t>
      </w:r>
      <w:r w:rsidRPr="00CE5EBC">
        <w:rPr>
          <w:rFonts w:ascii="Arial" w:eastAsia="Times New Roman" w:hAnsi="Arial" w:cs="Arial"/>
          <w:color w:val="000000"/>
        </w:rPr>
        <w:t>the β-tubulin gene)</w:t>
      </w:r>
      <w:r w:rsidR="00F44270" w:rsidRPr="00CE5EBC">
        <w:rPr>
          <w:rFonts w:ascii="Arial" w:eastAsia="Times New Roman" w:hAnsi="Arial" w:cs="Arial"/>
          <w:color w:val="000000"/>
        </w:rPr>
        <w:t xml:space="preserve"> sequences </w:t>
      </w:r>
      <w:r w:rsidR="00B33FF8" w:rsidRPr="00CE5EBC">
        <w:rPr>
          <w:rFonts w:ascii="Arial" w:eastAsia="Times New Roman" w:hAnsi="Arial" w:cs="Arial"/>
          <w:color w:val="000000"/>
        </w:rPr>
        <w:t xml:space="preserve">using Maximum Likelihood </w:t>
      </w:r>
      <w:r w:rsidR="00BB77C0" w:rsidRPr="00CE5EBC">
        <w:rPr>
          <w:rFonts w:ascii="Arial" w:eastAsia="Times New Roman" w:hAnsi="Arial" w:cs="Arial"/>
          <w:color w:val="000000"/>
        </w:rPr>
        <w:t>method and Tamura-</w:t>
      </w:r>
      <w:proofErr w:type="spellStart"/>
      <w:r w:rsidR="00BB77C0" w:rsidRPr="00CE5EBC">
        <w:rPr>
          <w:rFonts w:ascii="Arial" w:eastAsia="Times New Roman" w:hAnsi="Arial" w:cs="Arial"/>
          <w:color w:val="000000"/>
        </w:rPr>
        <w:t>Nei</w:t>
      </w:r>
      <w:proofErr w:type="spellEnd"/>
      <w:r w:rsidR="00BB77C0" w:rsidRPr="00CE5EBC">
        <w:rPr>
          <w:rFonts w:ascii="Arial" w:eastAsia="Times New Roman" w:hAnsi="Arial" w:cs="Arial"/>
          <w:color w:val="000000"/>
        </w:rPr>
        <w:t xml:space="preserve"> model [1]</w:t>
      </w:r>
      <w:r w:rsidRPr="00CE5EBC">
        <w:rPr>
          <w:rFonts w:ascii="Arial" w:eastAsia="Times New Roman" w:hAnsi="Arial" w:cs="Arial"/>
          <w:color w:val="000000"/>
        </w:rPr>
        <w:t>. Bootstrap values of &gt;50 %, obtained from 1000 replications, are shown. All positions with less than 95% site coverage were eliminated. GenBank accession numbers of the sequences are given in parentheses. Evolutionary analyses were conducted in MEGA X [2].</w:t>
      </w:r>
    </w:p>
    <w:p w14:paraId="4BB1F1D8" w14:textId="08970F27" w:rsidR="00DF7A6D" w:rsidRPr="00CE5EBC" w:rsidRDefault="00F44270" w:rsidP="00BB77C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</w:rPr>
      </w:pPr>
      <w:r w:rsidRPr="00CE5EBC">
        <w:rPr>
          <w:rFonts w:ascii="Arial" w:eastAsia="Times New Roman" w:hAnsi="Arial" w:cs="Arial"/>
          <w:i/>
          <w:iCs/>
          <w:color w:val="000000"/>
        </w:rPr>
        <w:t xml:space="preserve">Note: </w:t>
      </w:r>
      <w:r w:rsidR="002C08F9" w:rsidRPr="00CE5EBC">
        <w:rPr>
          <w:rFonts w:ascii="Arial" w:eastAsia="Times New Roman" w:hAnsi="Arial" w:cs="Arial"/>
          <w:i/>
          <w:iCs/>
          <w:color w:val="000000"/>
        </w:rPr>
        <w:t xml:space="preserve">LPH 172 sequences were extracted from the genome of the strain. </w:t>
      </w:r>
      <w:r w:rsidRPr="00CE5EBC">
        <w:rPr>
          <w:rFonts w:ascii="Arial" w:eastAsia="Times New Roman" w:hAnsi="Arial" w:cs="Arial"/>
          <w:i/>
          <w:iCs/>
          <w:color w:val="000000"/>
        </w:rPr>
        <w:t xml:space="preserve">There are two types of ITS-D1D2 sequences detected (“copy 1” and “copy 2”). Transcriptome analysis indicated that </w:t>
      </w:r>
      <w:r w:rsidR="00DF7A6D" w:rsidRPr="00CE5EBC">
        <w:rPr>
          <w:rFonts w:ascii="Arial" w:eastAsia="Times New Roman" w:hAnsi="Arial" w:cs="Arial"/>
          <w:i/>
          <w:iCs/>
          <w:color w:val="000000"/>
        </w:rPr>
        <w:t xml:space="preserve">“copy 2” was most likely a pseudogene as it was not transcribed (while “copy 1” did). ITS-D1D2 (copy 1) and RPB2 sequences of LPH 172 were identical with the ones of </w:t>
      </w:r>
      <w:r w:rsidR="00383723" w:rsidRPr="00CE5EBC">
        <w:rPr>
          <w:rFonts w:ascii="Arial" w:eastAsia="Times New Roman" w:hAnsi="Arial" w:cs="Arial"/>
          <w:i/>
          <w:iCs/>
          <w:color w:val="000000"/>
        </w:rPr>
        <w:t xml:space="preserve">CBS 117535T, the type strain of </w:t>
      </w:r>
      <w:proofErr w:type="spellStart"/>
      <w:r w:rsidR="00DF7A6D" w:rsidRPr="00CE5EBC">
        <w:rPr>
          <w:rFonts w:ascii="Arial" w:eastAsia="Times New Roman" w:hAnsi="Arial" w:cs="Arial"/>
          <w:i/>
          <w:iCs/>
          <w:color w:val="000000"/>
        </w:rPr>
        <w:t>Thermothielavioides</w:t>
      </w:r>
      <w:proofErr w:type="spellEnd"/>
      <w:r w:rsidR="00DF7A6D" w:rsidRPr="00CE5EBC">
        <w:rPr>
          <w:rFonts w:ascii="Arial" w:eastAsia="Times New Roman" w:hAnsi="Arial" w:cs="Arial"/>
          <w:i/>
          <w:iCs/>
          <w:color w:val="000000"/>
        </w:rPr>
        <w:t xml:space="preserve"> terrestris. There was single difference in the TUB2 sequence between two strains. Thus</w:t>
      </w:r>
      <w:r w:rsidR="00383723" w:rsidRPr="00CE5EBC">
        <w:rPr>
          <w:rFonts w:ascii="Arial" w:eastAsia="Times New Roman" w:hAnsi="Arial" w:cs="Arial"/>
          <w:i/>
          <w:iCs/>
          <w:color w:val="000000"/>
        </w:rPr>
        <w:t>,</w:t>
      </w:r>
      <w:r w:rsidR="00DF7A6D" w:rsidRPr="00CE5EBC">
        <w:rPr>
          <w:rFonts w:ascii="Arial" w:eastAsia="Times New Roman" w:hAnsi="Arial" w:cs="Arial"/>
          <w:i/>
          <w:iCs/>
          <w:color w:val="000000"/>
        </w:rPr>
        <w:t xml:space="preserve"> LPH 172 could be reliably placed under </w:t>
      </w:r>
      <w:proofErr w:type="spellStart"/>
      <w:r w:rsidR="00DF7A6D" w:rsidRPr="00CE5EBC">
        <w:rPr>
          <w:rFonts w:ascii="Arial" w:eastAsia="Times New Roman" w:hAnsi="Arial" w:cs="Arial"/>
          <w:i/>
          <w:iCs/>
          <w:color w:val="000000"/>
        </w:rPr>
        <w:t>Thermothielavioides</w:t>
      </w:r>
      <w:proofErr w:type="spellEnd"/>
      <w:r w:rsidR="00DF7A6D" w:rsidRPr="00CE5EBC">
        <w:rPr>
          <w:rFonts w:ascii="Arial" w:eastAsia="Times New Roman" w:hAnsi="Arial" w:cs="Arial"/>
          <w:i/>
          <w:iCs/>
          <w:color w:val="000000"/>
        </w:rPr>
        <w:t xml:space="preserve"> terrestris.</w:t>
      </w:r>
    </w:p>
    <w:p w14:paraId="3143C1EB" w14:textId="6386F7D6" w:rsidR="00F44270" w:rsidRPr="00CE5EBC" w:rsidRDefault="00DF7A6D" w:rsidP="00BB77C0">
      <w:pPr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CE5EBC">
        <w:rPr>
          <w:rFonts w:ascii="Arial" w:eastAsia="Times New Roman" w:hAnsi="Arial" w:cs="Arial"/>
          <w:color w:val="000000"/>
        </w:rPr>
        <w:lastRenderedPageBreak/>
        <w:t xml:space="preserve"> </w:t>
      </w:r>
    </w:p>
    <w:p w14:paraId="34DD7D5A" w14:textId="77777777" w:rsidR="00BB77C0" w:rsidRPr="00CE5EBC" w:rsidRDefault="00BB77C0" w:rsidP="00BB77C0">
      <w:pPr>
        <w:spacing w:before="30" w:after="30" w:line="240" w:lineRule="auto"/>
        <w:ind w:hanging="240"/>
        <w:rPr>
          <w:rFonts w:ascii="Arial" w:eastAsia="Times New Roman" w:hAnsi="Arial" w:cs="Arial"/>
          <w:color w:val="000000"/>
        </w:rPr>
      </w:pPr>
      <w:r w:rsidRPr="00CE5EBC">
        <w:rPr>
          <w:rFonts w:ascii="Arial" w:eastAsia="Times New Roman" w:hAnsi="Arial" w:cs="Arial"/>
          <w:color w:val="000000"/>
        </w:rPr>
        <w:t xml:space="preserve">1. Tamura K. and </w:t>
      </w:r>
      <w:proofErr w:type="spellStart"/>
      <w:r w:rsidRPr="00CE5EBC">
        <w:rPr>
          <w:rFonts w:ascii="Arial" w:eastAsia="Times New Roman" w:hAnsi="Arial" w:cs="Arial"/>
          <w:color w:val="000000"/>
        </w:rPr>
        <w:t>Nei</w:t>
      </w:r>
      <w:proofErr w:type="spellEnd"/>
      <w:r w:rsidRPr="00CE5EBC">
        <w:rPr>
          <w:rFonts w:ascii="Arial" w:eastAsia="Times New Roman" w:hAnsi="Arial" w:cs="Arial"/>
          <w:color w:val="000000"/>
        </w:rPr>
        <w:t xml:space="preserve"> M. (</w:t>
      </w:r>
      <w:r w:rsidRPr="00CE5EBC">
        <w:rPr>
          <w:rFonts w:ascii="Arial" w:eastAsia="Times New Roman" w:hAnsi="Arial" w:cs="Arial"/>
          <w:b/>
          <w:bCs/>
          <w:color w:val="000000"/>
        </w:rPr>
        <w:t>1993</w:t>
      </w:r>
      <w:r w:rsidRPr="00CE5EBC">
        <w:rPr>
          <w:rFonts w:ascii="Arial" w:eastAsia="Times New Roman" w:hAnsi="Arial" w:cs="Arial"/>
          <w:color w:val="000000"/>
        </w:rPr>
        <w:t>). Estimation of the number of nucleotide substitutions in the control region of mitochondrial DNA in humans and chimpanzees. </w:t>
      </w:r>
      <w:r w:rsidRPr="00CE5EBC">
        <w:rPr>
          <w:rFonts w:ascii="Arial" w:eastAsia="Times New Roman" w:hAnsi="Arial" w:cs="Arial"/>
          <w:i/>
          <w:iCs/>
          <w:color w:val="000000"/>
        </w:rPr>
        <w:t>Molecular Biology and Evolution</w:t>
      </w:r>
      <w:r w:rsidRPr="00CE5EBC">
        <w:rPr>
          <w:rFonts w:ascii="Arial" w:eastAsia="Times New Roman" w:hAnsi="Arial" w:cs="Arial"/>
          <w:color w:val="000000"/>
        </w:rPr>
        <w:t> </w:t>
      </w:r>
      <w:r w:rsidRPr="00CE5EBC">
        <w:rPr>
          <w:rFonts w:ascii="Arial" w:eastAsia="Times New Roman" w:hAnsi="Arial" w:cs="Arial"/>
          <w:b/>
          <w:bCs/>
          <w:color w:val="000000"/>
        </w:rPr>
        <w:t>10</w:t>
      </w:r>
      <w:r w:rsidRPr="00CE5EBC">
        <w:rPr>
          <w:rFonts w:ascii="Arial" w:eastAsia="Times New Roman" w:hAnsi="Arial" w:cs="Arial"/>
          <w:color w:val="000000"/>
        </w:rPr>
        <w:t>:512-526.</w:t>
      </w:r>
    </w:p>
    <w:p w14:paraId="5F69F429" w14:textId="26F7BDE0" w:rsidR="00BB77C0" w:rsidRPr="00CE5EBC" w:rsidRDefault="00BB77C0" w:rsidP="00F44270">
      <w:pPr>
        <w:spacing w:before="30" w:after="30" w:line="240" w:lineRule="auto"/>
        <w:ind w:hanging="240"/>
        <w:rPr>
          <w:rFonts w:ascii="Arial" w:eastAsia="Times New Roman" w:hAnsi="Arial" w:cs="Arial"/>
          <w:color w:val="000000"/>
        </w:rPr>
      </w:pPr>
      <w:r w:rsidRPr="00CE5EBC">
        <w:rPr>
          <w:rFonts w:ascii="Arial" w:eastAsia="Times New Roman" w:hAnsi="Arial" w:cs="Arial"/>
          <w:color w:val="000000"/>
        </w:rPr>
        <w:t xml:space="preserve">2. Kumar S., </w:t>
      </w:r>
      <w:proofErr w:type="spellStart"/>
      <w:r w:rsidRPr="00CE5EBC">
        <w:rPr>
          <w:rFonts w:ascii="Arial" w:eastAsia="Times New Roman" w:hAnsi="Arial" w:cs="Arial"/>
          <w:color w:val="000000"/>
        </w:rPr>
        <w:t>Stecher</w:t>
      </w:r>
      <w:proofErr w:type="spellEnd"/>
      <w:r w:rsidRPr="00CE5EBC">
        <w:rPr>
          <w:rFonts w:ascii="Arial" w:eastAsia="Times New Roman" w:hAnsi="Arial" w:cs="Arial"/>
          <w:color w:val="000000"/>
        </w:rPr>
        <w:t xml:space="preserve"> G., Li M., </w:t>
      </w:r>
      <w:proofErr w:type="spellStart"/>
      <w:r w:rsidRPr="00CE5EBC">
        <w:rPr>
          <w:rFonts w:ascii="Arial" w:eastAsia="Times New Roman" w:hAnsi="Arial" w:cs="Arial"/>
          <w:color w:val="000000"/>
        </w:rPr>
        <w:t>Knyaz</w:t>
      </w:r>
      <w:proofErr w:type="spellEnd"/>
      <w:r w:rsidRPr="00CE5EBC">
        <w:rPr>
          <w:rFonts w:ascii="Arial" w:eastAsia="Times New Roman" w:hAnsi="Arial" w:cs="Arial"/>
          <w:color w:val="000000"/>
        </w:rPr>
        <w:t xml:space="preserve"> C., and Tamura K. (</w:t>
      </w:r>
      <w:r w:rsidRPr="00CE5EBC">
        <w:rPr>
          <w:rFonts w:ascii="Arial" w:eastAsia="Times New Roman" w:hAnsi="Arial" w:cs="Arial"/>
          <w:b/>
          <w:bCs/>
          <w:color w:val="000000"/>
        </w:rPr>
        <w:t>2018</w:t>
      </w:r>
      <w:r w:rsidRPr="00CE5EBC">
        <w:rPr>
          <w:rFonts w:ascii="Arial" w:eastAsia="Times New Roman" w:hAnsi="Arial" w:cs="Arial"/>
          <w:color w:val="000000"/>
        </w:rPr>
        <w:t>). MEGA X: Molecular Evolutionary Genetics Analysis across computing platforms. </w:t>
      </w:r>
      <w:r w:rsidRPr="00CE5EBC">
        <w:rPr>
          <w:rFonts w:ascii="Arial" w:eastAsia="Times New Roman" w:hAnsi="Arial" w:cs="Arial"/>
          <w:i/>
          <w:iCs/>
          <w:color w:val="000000"/>
        </w:rPr>
        <w:t>Molecular Biology and Evolution</w:t>
      </w:r>
      <w:r w:rsidRPr="00CE5EBC">
        <w:rPr>
          <w:rFonts w:ascii="Arial" w:eastAsia="Times New Roman" w:hAnsi="Arial" w:cs="Arial"/>
          <w:color w:val="000000"/>
        </w:rPr>
        <w:t> </w:t>
      </w:r>
      <w:r w:rsidRPr="00CE5EBC">
        <w:rPr>
          <w:rFonts w:ascii="Arial" w:eastAsia="Times New Roman" w:hAnsi="Arial" w:cs="Arial"/>
          <w:b/>
          <w:bCs/>
          <w:color w:val="000000"/>
        </w:rPr>
        <w:t>35</w:t>
      </w:r>
      <w:r w:rsidRPr="00CE5EBC">
        <w:rPr>
          <w:rFonts w:ascii="Arial" w:eastAsia="Times New Roman" w:hAnsi="Arial" w:cs="Arial"/>
          <w:color w:val="000000"/>
        </w:rPr>
        <w:t>:1547-1549.</w:t>
      </w:r>
    </w:p>
    <w:sectPr w:rsidR="00BB77C0" w:rsidRPr="00CE5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7C0"/>
    <w:rsid w:val="000212D6"/>
    <w:rsid w:val="00176F3E"/>
    <w:rsid w:val="002C08F9"/>
    <w:rsid w:val="00383723"/>
    <w:rsid w:val="00397229"/>
    <w:rsid w:val="0039731D"/>
    <w:rsid w:val="00B33FF8"/>
    <w:rsid w:val="00BB77C0"/>
    <w:rsid w:val="00BC1A79"/>
    <w:rsid w:val="00BD796D"/>
    <w:rsid w:val="00BE69E8"/>
    <w:rsid w:val="00C70F8E"/>
    <w:rsid w:val="00CE5EBC"/>
    <w:rsid w:val="00DF7A6D"/>
    <w:rsid w:val="00F4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59CED"/>
  <w15:chartTrackingRefBased/>
  <w15:docId w15:val="{B7EA8B4D-BF91-4A43-B219-FF88C1D7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guretitle">
    <w:name w:val="figuretitle"/>
    <w:basedOn w:val="DefaultParagraphFont"/>
    <w:rsid w:val="00BB77C0"/>
  </w:style>
  <w:style w:type="character" w:customStyle="1" w:styleId="apple-converted-space">
    <w:name w:val="apple-converted-space"/>
    <w:basedOn w:val="DefaultParagraphFont"/>
    <w:rsid w:val="00BB77C0"/>
  </w:style>
  <w:style w:type="paragraph" w:customStyle="1" w:styleId="reference">
    <w:name w:val="reference"/>
    <w:basedOn w:val="Normal"/>
    <w:rsid w:val="00BB7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40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094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834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Lipomyces orientalis</dc:creator>
  <cp:keywords/>
  <dc:description/>
  <cp:lastModifiedBy>Monika Tõlgo</cp:lastModifiedBy>
  <cp:revision>2</cp:revision>
  <dcterms:created xsi:type="dcterms:W3CDTF">2021-04-28T09:22:00Z</dcterms:created>
  <dcterms:modified xsi:type="dcterms:W3CDTF">2021-04-28T09:22:00Z</dcterms:modified>
</cp:coreProperties>
</file>