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D4E7E" w14:textId="77777777" w:rsidR="00CD5E67" w:rsidRDefault="00CD5E67" w:rsidP="00CD5E67">
      <w:pPr>
        <w:spacing w:line="360" w:lineRule="auto"/>
        <w:rPr>
          <w:rFonts w:ascii="Times New Roman" w:hAnsi="Times New Roman" w:cs="Times New Roman"/>
          <w:bCs/>
          <w:sz w:val="32"/>
          <w:szCs w:val="32"/>
        </w:rPr>
      </w:pPr>
    </w:p>
    <w:p w14:paraId="42A924CB" w14:textId="04EE7D2A" w:rsidR="00CD5E67" w:rsidRPr="00CD5E67" w:rsidRDefault="00D13CBD" w:rsidP="00546D60">
      <w:pPr>
        <w:spacing w:line="360" w:lineRule="auto"/>
        <w:jc w:val="center"/>
        <w:rPr>
          <w:rFonts w:ascii="Times New Roman" w:hAnsi="Times New Roman" w:cs="Times New Roman"/>
          <w:bCs/>
          <w:sz w:val="32"/>
          <w:szCs w:val="32"/>
        </w:rPr>
      </w:pPr>
      <w:r w:rsidRPr="00CD5E67">
        <w:rPr>
          <w:rFonts w:ascii="Times New Roman" w:hAnsi="Times New Roman" w:cs="Times New Roman"/>
          <w:bCs/>
          <w:sz w:val="32"/>
          <w:szCs w:val="32"/>
        </w:rPr>
        <w:t>Supp</w:t>
      </w:r>
      <w:r>
        <w:rPr>
          <w:rFonts w:ascii="Times New Roman" w:hAnsi="Times New Roman" w:cs="Times New Roman"/>
          <w:bCs/>
          <w:sz w:val="32"/>
          <w:szCs w:val="32"/>
        </w:rPr>
        <w:t>lementary</w:t>
      </w:r>
      <w:r w:rsidRPr="00CD5E67">
        <w:rPr>
          <w:rFonts w:ascii="Times New Roman" w:hAnsi="Times New Roman" w:cs="Times New Roman"/>
          <w:bCs/>
          <w:sz w:val="32"/>
          <w:szCs w:val="32"/>
        </w:rPr>
        <w:t xml:space="preserve"> </w:t>
      </w:r>
      <w:r w:rsidR="00CD5E67" w:rsidRPr="00CD5E67">
        <w:rPr>
          <w:rFonts w:ascii="Times New Roman" w:hAnsi="Times New Roman" w:cs="Times New Roman"/>
          <w:bCs/>
          <w:sz w:val="32"/>
          <w:szCs w:val="32"/>
        </w:rPr>
        <w:t>Information</w:t>
      </w:r>
      <w:r w:rsidR="00136105">
        <w:rPr>
          <w:rFonts w:ascii="Times New Roman" w:hAnsi="Times New Roman" w:cs="Times New Roman"/>
          <w:bCs/>
          <w:sz w:val="32"/>
          <w:szCs w:val="32"/>
        </w:rPr>
        <w:t xml:space="preserve"> </w:t>
      </w:r>
    </w:p>
    <w:p w14:paraId="6DF564AC" w14:textId="77777777" w:rsidR="00CD5E67" w:rsidRDefault="00CD5E67" w:rsidP="00CD5E67">
      <w:pPr>
        <w:spacing w:line="360" w:lineRule="auto"/>
        <w:rPr>
          <w:rFonts w:ascii="Times New Roman" w:hAnsi="Times New Roman" w:cs="Times New Roman"/>
          <w:b/>
          <w:sz w:val="24"/>
          <w:szCs w:val="24"/>
        </w:rPr>
      </w:pPr>
    </w:p>
    <w:p w14:paraId="70A3ECF3" w14:textId="5FD2A63D" w:rsidR="00907FCD" w:rsidRPr="004C2097" w:rsidRDefault="00907FCD" w:rsidP="00907FCD">
      <w:pPr>
        <w:spacing w:line="360" w:lineRule="auto"/>
        <w:rPr>
          <w:rFonts w:ascii="Times New Roman" w:hAnsi="Times New Roman" w:cs="Times New Roman"/>
          <w:b/>
          <w:sz w:val="24"/>
          <w:szCs w:val="24"/>
        </w:rPr>
      </w:pPr>
      <w:r w:rsidRPr="00FF56C0">
        <w:rPr>
          <w:rFonts w:ascii="Times New Roman" w:hAnsi="Times New Roman" w:cs="Times New Roman"/>
          <w:b/>
          <w:sz w:val="24"/>
          <w:szCs w:val="24"/>
        </w:rPr>
        <w:t>Dynamic Life</w:t>
      </w:r>
      <w:r w:rsidR="00F153C1">
        <w:rPr>
          <w:rFonts w:ascii="Times New Roman" w:hAnsi="Times New Roman" w:cs="Times New Roman"/>
          <w:b/>
          <w:sz w:val="24"/>
          <w:szCs w:val="24"/>
        </w:rPr>
        <w:t>-c</w:t>
      </w:r>
      <w:r w:rsidRPr="00FF56C0">
        <w:rPr>
          <w:rFonts w:ascii="Times New Roman" w:hAnsi="Times New Roman" w:cs="Times New Roman"/>
          <w:b/>
          <w:sz w:val="24"/>
          <w:szCs w:val="24"/>
        </w:rPr>
        <w:t xml:space="preserve">ycle </w:t>
      </w:r>
      <w:r w:rsidR="00F153C1">
        <w:rPr>
          <w:rFonts w:ascii="Times New Roman" w:hAnsi="Times New Roman" w:cs="Times New Roman"/>
          <w:b/>
          <w:sz w:val="24"/>
          <w:szCs w:val="24"/>
        </w:rPr>
        <w:t>c</w:t>
      </w:r>
      <w:r w:rsidRPr="00FF56C0">
        <w:rPr>
          <w:rFonts w:ascii="Times New Roman" w:hAnsi="Times New Roman" w:cs="Times New Roman"/>
          <w:b/>
          <w:sz w:val="24"/>
          <w:szCs w:val="24"/>
        </w:rPr>
        <w:t xml:space="preserve">arbon </w:t>
      </w:r>
      <w:r w:rsidR="00F153C1">
        <w:rPr>
          <w:rFonts w:ascii="Times New Roman" w:hAnsi="Times New Roman" w:cs="Times New Roman"/>
          <w:b/>
          <w:sz w:val="24"/>
          <w:szCs w:val="24"/>
        </w:rPr>
        <w:t>a</w:t>
      </w:r>
      <w:r w:rsidRPr="00FF56C0">
        <w:rPr>
          <w:rFonts w:ascii="Times New Roman" w:hAnsi="Times New Roman" w:cs="Times New Roman"/>
          <w:b/>
          <w:sz w:val="24"/>
          <w:szCs w:val="24"/>
        </w:rPr>
        <w:t xml:space="preserve">nalysis for </w:t>
      </w:r>
      <w:r w:rsidR="00F153C1">
        <w:rPr>
          <w:rFonts w:ascii="Times New Roman" w:hAnsi="Times New Roman" w:cs="Times New Roman"/>
          <w:b/>
          <w:sz w:val="24"/>
          <w:szCs w:val="24"/>
        </w:rPr>
        <w:t>f</w:t>
      </w:r>
      <w:r w:rsidRPr="00FF56C0">
        <w:rPr>
          <w:rFonts w:ascii="Times New Roman" w:hAnsi="Times New Roman" w:cs="Times New Roman"/>
          <w:b/>
          <w:sz w:val="24"/>
          <w:szCs w:val="24"/>
        </w:rPr>
        <w:t xml:space="preserve">ast </w:t>
      </w:r>
      <w:r w:rsidR="00F153C1">
        <w:rPr>
          <w:rFonts w:ascii="Times New Roman" w:hAnsi="Times New Roman" w:cs="Times New Roman"/>
          <w:b/>
          <w:sz w:val="24"/>
          <w:szCs w:val="24"/>
        </w:rPr>
        <w:t>p</w:t>
      </w:r>
      <w:r w:rsidRPr="00FF56C0">
        <w:rPr>
          <w:rFonts w:ascii="Times New Roman" w:hAnsi="Times New Roman" w:cs="Times New Roman"/>
          <w:b/>
          <w:sz w:val="24"/>
          <w:szCs w:val="24"/>
        </w:rPr>
        <w:t xml:space="preserve">yrolysis </w:t>
      </w:r>
      <w:r w:rsidR="00F153C1">
        <w:rPr>
          <w:rFonts w:ascii="Times New Roman" w:hAnsi="Times New Roman" w:cs="Times New Roman"/>
          <w:b/>
          <w:sz w:val="24"/>
          <w:szCs w:val="24"/>
        </w:rPr>
        <w:t>b</w:t>
      </w:r>
      <w:r w:rsidRPr="00FF56C0">
        <w:rPr>
          <w:rFonts w:ascii="Times New Roman" w:hAnsi="Times New Roman" w:cs="Times New Roman"/>
          <w:b/>
          <w:sz w:val="24"/>
          <w:szCs w:val="24"/>
        </w:rPr>
        <w:t xml:space="preserve">iofuel </w:t>
      </w:r>
      <w:r w:rsidR="00F153C1">
        <w:rPr>
          <w:rFonts w:ascii="Times New Roman" w:hAnsi="Times New Roman" w:cs="Times New Roman"/>
          <w:b/>
          <w:sz w:val="24"/>
          <w:szCs w:val="24"/>
        </w:rPr>
        <w:t>p</w:t>
      </w:r>
      <w:r w:rsidRPr="00FF56C0">
        <w:rPr>
          <w:rFonts w:ascii="Times New Roman" w:hAnsi="Times New Roman" w:cs="Times New Roman"/>
          <w:b/>
          <w:sz w:val="24"/>
          <w:szCs w:val="24"/>
        </w:rPr>
        <w:t xml:space="preserve">roduced from </w:t>
      </w:r>
      <w:r w:rsidR="00F153C1">
        <w:rPr>
          <w:rFonts w:ascii="Times New Roman" w:hAnsi="Times New Roman" w:cs="Times New Roman"/>
          <w:b/>
          <w:sz w:val="24"/>
          <w:szCs w:val="24"/>
        </w:rPr>
        <w:t>p</w:t>
      </w:r>
      <w:r w:rsidRPr="00FF56C0">
        <w:rPr>
          <w:rFonts w:ascii="Times New Roman" w:hAnsi="Times New Roman" w:cs="Times New Roman"/>
          <w:b/>
          <w:sz w:val="24"/>
          <w:szCs w:val="24"/>
        </w:rPr>
        <w:t xml:space="preserve">ine </w:t>
      </w:r>
      <w:r w:rsidR="00F153C1">
        <w:rPr>
          <w:rFonts w:ascii="Times New Roman" w:hAnsi="Times New Roman" w:cs="Times New Roman"/>
          <w:b/>
          <w:sz w:val="24"/>
          <w:szCs w:val="24"/>
        </w:rPr>
        <w:t>r</w:t>
      </w:r>
      <w:r w:rsidRPr="00FF56C0">
        <w:rPr>
          <w:rFonts w:ascii="Times New Roman" w:hAnsi="Times New Roman" w:cs="Times New Roman"/>
          <w:b/>
          <w:sz w:val="24"/>
          <w:szCs w:val="24"/>
        </w:rPr>
        <w:t>esidues</w:t>
      </w:r>
      <w:r w:rsidRPr="004C2097">
        <w:rPr>
          <w:rFonts w:ascii="Times New Roman" w:hAnsi="Times New Roman" w:cs="Times New Roman"/>
          <w:b/>
          <w:sz w:val="24"/>
          <w:szCs w:val="24"/>
        </w:rPr>
        <w:t xml:space="preserve">: </w:t>
      </w:r>
      <w:r w:rsidR="00F153C1">
        <w:rPr>
          <w:rFonts w:ascii="Times New Roman" w:hAnsi="Times New Roman" w:cs="Times New Roman"/>
          <w:b/>
          <w:sz w:val="24"/>
          <w:szCs w:val="24"/>
        </w:rPr>
        <w:t>i</w:t>
      </w:r>
      <w:r w:rsidR="004C2097" w:rsidRPr="004C2097">
        <w:rPr>
          <w:rFonts w:ascii="Times New Roman" w:hAnsi="Times New Roman" w:cs="Times New Roman"/>
          <w:b/>
          <w:sz w:val="24"/>
          <w:szCs w:val="24"/>
        </w:rPr>
        <w:t xml:space="preserve">mplications of </w:t>
      </w:r>
      <w:r w:rsidR="00F153C1">
        <w:rPr>
          <w:rFonts w:ascii="Times New Roman" w:hAnsi="Times New Roman" w:cs="Times New Roman"/>
          <w:b/>
          <w:sz w:val="24"/>
          <w:szCs w:val="24"/>
        </w:rPr>
        <w:t>c</w:t>
      </w:r>
      <w:r w:rsidR="004C2097" w:rsidRPr="004C2097">
        <w:rPr>
          <w:rFonts w:ascii="Times New Roman" w:hAnsi="Times New Roman" w:cs="Times New Roman"/>
          <w:b/>
          <w:sz w:val="24"/>
          <w:szCs w:val="24"/>
        </w:rPr>
        <w:t xml:space="preserve">arbon </w:t>
      </w:r>
      <w:r w:rsidR="00F153C1">
        <w:rPr>
          <w:rFonts w:ascii="Times New Roman" w:hAnsi="Times New Roman" w:cs="Times New Roman"/>
          <w:b/>
          <w:sz w:val="24"/>
          <w:szCs w:val="24"/>
        </w:rPr>
        <w:t>t</w:t>
      </w:r>
      <w:r w:rsidR="004C2097" w:rsidRPr="004C2097">
        <w:rPr>
          <w:rFonts w:ascii="Times New Roman" w:hAnsi="Times New Roman" w:cs="Times New Roman"/>
          <w:b/>
          <w:sz w:val="24"/>
          <w:szCs w:val="24"/>
        </w:rPr>
        <w:t xml:space="preserve">emporal </w:t>
      </w:r>
      <w:r w:rsidR="00F153C1">
        <w:rPr>
          <w:rFonts w:ascii="Times New Roman" w:hAnsi="Times New Roman" w:cs="Times New Roman"/>
          <w:b/>
          <w:sz w:val="24"/>
          <w:szCs w:val="24"/>
        </w:rPr>
        <w:t>e</w:t>
      </w:r>
      <w:r w:rsidR="004C2097" w:rsidRPr="004C2097">
        <w:rPr>
          <w:rFonts w:ascii="Times New Roman" w:hAnsi="Times New Roman" w:cs="Times New Roman"/>
          <w:b/>
          <w:sz w:val="24"/>
          <w:szCs w:val="24"/>
        </w:rPr>
        <w:t>ffects</w:t>
      </w:r>
    </w:p>
    <w:p w14:paraId="5BC6201C" w14:textId="09F6F7F7" w:rsidR="00907FCD" w:rsidRPr="00907FCD" w:rsidRDefault="00907FCD" w:rsidP="00907FCD">
      <w:pPr>
        <w:spacing w:before="120"/>
        <w:rPr>
          <w:rFonts w:ascii="Times New Roman" w:hAnsi="Times New Roman" w:cs="Times New Roman"/>
          <w:iCs/>
          <w:sz w:val="24"/>
          <w:szCs w:val="24"/>
          <w:vertAlign w:val="superscript"/>
        </w:rPr>
      </w:pPr>
      <w:bookmarkStart w:id="0" w:name="_Hlk18434566"/>
      <w:r w:rsidRPr="00907FCD">
        <w:rPr>
          <w:rFonts w:ascii="Times New Roman" w:hAnsi="Times New Roman" w:cs="Times New Roman"/>
          <w:iCs/>
          <w:sz w:val="24"/>
          <w:szCs w:val="24"/>
        </w:rPr>
        <w:t>Kai Lan</w:t>
      </w:r>
      <w:r w:rsidRPr="00907FCD">
        <w:rPr>
          <w:rFonts w:ascii="Times New Roman" w:hAnsi="Times New Roman" w:cs="Times New Roman"/>
          <w:iCs/>
          <w:sz w:val="24"/>
          <w:szCs w:val="24"/>
          <w:vertAlign w:val="superscript"/>
        </w:rPr>
        <w:t>1</w:t>
      </w:r>
      <w:r w:rsidRPr="00907FCD">
        <w:rPr>
          <w:rFonts w:ascii="Times New Roman" w:hAnsi="Times New Roman" w:cs="Times New Roman"/>
          <w:iCs/>
          <w:sz w:val="24"/>
          <w:szCs w:val="24"/>
        </w:rPr>
        <w:t>,</w:t>
      </w:r>
      <w:r w:rsidRPr="00907FCD">
        <w:rPr>
          <w:rFonts w:ascii="Times New Roman" w:hAnsi="Times New Roman" w:cs="Times New Roman"/>
          <w:iCs/>
          <w:sz w:val="24"/>
          <w:szCs w:val="24"/>
          <w:vertAlign w:val="superscript"/>
        </w:rPr>
        <w:t xml:space="preserve"> </w:t>
      </w:r>
      <w:r w:rsidRPr="00907FCD">
        <w:rPr>
          <w:rFonts w:ascii="Times New Roman" w:hAnsi="Times New Roman" w:cs="Times New Roman"/>
          <w:iCs/>
          <w:sz w:val="24"/>
          <w:szCs w:val="24"/>
        </w:rPr>
        <w:t>Longwen Ou</w:t>
      </w:r>
      <w:r w:rsidRPr="00907FCD">
        <w:rPr>
          <w:rFonts w:ascii="Times New Roman" w:hAnsi="Times New Roman" w:cs="Times New Roman"/>
          <w:iCs/>
          <w:sz w:val="24"/>
          <w:szCs w:val="24"/>
          <w:vertAlign w:val="superscript"/>
        </w:rPr>
        <w:t>2</w:t>
      </w:r>
      <w:r w:rsidRPr="00907FCD">
        <w:rPr>
          <w:rFonts w:ascii="Times New Roman" w:hAnsi="Times New Roman" w:cs="Times New Roman"/>
          <w:iCs/>
          <w:sz w:val="24"/>
          <w:szCs w:val="24"/>
        </w:rPr>
        <w:t>, Sunkyu Park</w:t>
      </w:r>
      <w:r w:rsidRPr="00907FCD">
        <w:rPr>
          <w:rFonts w:ascii="Times New Roman" w:hAnsi="Times New Roman" w:cs="Times New Roman"/>
          <w:iCs/>
          <w:sz w:val="24"/>
          <w:szCs w:val="24"/>
          <w:vertAlign w:val="superscript"/>
        </w:rPr>
        <w:t>1</w:t>
      </w:r>
      <w:r w:rsidRPr="00907FCD">
        <w:rPr>
          <w:rFonts w:ascii="Times New Roman" w:hAnsi="Times New Roman" w:cs="Times New Roman"/>
          <w:iCs/>
          <w:sz w:val="24"/>
          <w:szCs w:val="24"/>
        </w:rPr>
        <w:t>, Stephen S. Kelley</w:t>
      </w:r>
      <w:r w:rsidRPr="00907FCD">
        <w:rPr>
          <w:rFonts w:ascii="Times New Roman" w:hAnsi="Times New Roman" w:cs="Times New Roman"/>
          <w:iCs/>
          <w:sz w:val="24"/>
          <w:szCs w:val="24"/>
          <w:vertAlign w:val="superscript"/>
        </w:rPr>
        <w:t>1</w:t>
      </w:r>
      <w:r w:rsidRPr="00907FCD">
        <w:rPr>
          <w:rFonts w:ascii="Times New Roman" w:hAnsi="Times New Roman" w:cs="Times New Roman"/>
          <w:iCs/>
          <w:sz w:val="24"/>
          <w:szCs w:val="24"/>
        </w:rPr>
        <w:t>, Prakash Nepal</w:t>
      </w:r>
      <w:r w:rsidRPr="00907FCD">
        <w:rPr>
          <w:rFonts w:ascii="Times New Roman" w:hAnsi="Times New Roman" w:cs="Times New Roman"/>
          <w:iCs/>
          <w:sz w:val="24"/>
          <w:szCs w:val="24"/>
          <w:vertAlign w:val="superscript"/>
        </w:rPr>
        <w:t>3</w:t>
      </w:r>
      <w:r w:rsidRPr="00907FCD">
        <w:rPr>
          <w:rFonts w:ascii="Times New Roman" w:hAnsi="Times New Roman" w:cs="Times New Roman"/>
          <w:iCs/>
          <w:sz w:val="24"/>
          <w:szCs w:val="24"/>
        </w:rPr>
        <w:t xml:space="preserve">, </w:t>
      </w:r>
      <w:bookmarkStart w:id="1" w:name="_Hlk15553864"/>
      <w:r w:rsidRPr="00907FCD">
        <w:rPr>
          <w:rFonts w:ascii="Times New Roman" w:hAnsi="Times New Roman" w:cs="Times New Roman"/>
          <w:iCs/>
          <w:sz w:val="24"/>
          <w:szCs w:val="24"/>
        </w:rPr>
        <w:t>Hoyoung Kwon</w:t>
      </w:r>
      <w:r w:rsidRPr="00907FCD">
        <w:rPr>
          <w:rFonts w:ascii="Times New Roman" w:hAnsi="Times New Roman" w:cs="Times New Roman"/>
          <w:iCs/>
          <w:sz w:val="24"/>
          <w:szCs w:val="24"/>
          <w:vertAlign w:val="superscript"/>
        </w:rPr>
        <w:t>2</w:t>
      </w:r>
      <w:r w:rsidRPr="00907FCD">
        <w:rPr>
          <w:rFonts w:ascii="Times New Roman" w:hAnsi="Times New Roman" w:cs="Times New Roman"/>
          <w:iCs/>
          <w:sz w:val="24"/>
          <w:szCs w:val="24"/>
        </w:rPr>
        <w:t>, Hao Cai</w:t>
      </w:r>
      <w:r w:rsidRPr="00907FCD">
        <w:rPr>
          <w:rFonts w:ascii="Times New Roman" w:hAnsi="Times New Roman" w:cs="Times New Roman"/>
          <w:iCs/>
          <w:sz w:val="24"/>
          <w:szCs w:val="24"/>
          <w:vertAlign w:val="superscript"/>
        </w:rPr>
        <w:t>*,2</w:t>
      </w:r>
      <w:r w:rsidRPr="00907FCD">
        <w:rPr>
          <w:rFonts w:ascii="Times New Roman" w:hAnsi="Times New Roman" w:cs="Times New Roman"/>
          <w:iCs/>
          <w:sz w:val="24"/>
          <w:szCs w:val="24"/>
        </w:rPr>
        <w:t>,</w:t>
      </w:r>
      <w:bookmarkEnd w:id="1"/>
      <w:r w:rsidRPr="00907FCD">
        <w:rPr>
          <w:rFonts w:ascii="Times New Roman" w:hAnsi="Times New Roman" w:cs="Times New Roman"/>
          <w:iCs/>
          <w:sz w:val="24"/>
          <w:szCs w:val="24"/>
        </w:rPr>
        <w:t xml:space="preserve"> Yuan Yao</w:t>
      </w:r>
      <w:r w:rsidRPr="00907FCD">
        <w:rPr>
          <w:rFonts w:ascii="Times New Roman" w:hAnsi="Times New Roman" w:cs="Times New Roman"/>
          <w:iCs/>
          <w:sz w:val="24"/>
          <w:szCs w:val="24"/>
          <w:vertAlign w:val="superscript"/>
        </w:rPr>
        <w:t>*,1</w:t>
      </w:r>
      <w:r w:rsidR="001C19C1">
        <w:rPr>
          <w:rFonts w:ascii="Times New Roman" w:hAnsi="Times New Roman" w:cs="Times New Roman"/>
          <w:iCs/>
          <w:sz w:val="24"/>
          <w:szCs w:val="24"/>
          <w:vertAlign w:val="superscript"/>
        </w:rPr>
        <w:t>,4</w:t>
      </w:r>
    </w:p>
    <w:bookmarkEnd w:id="0"/>
    <w:p w14:paraId="7BC67885" w14:textId="77777777" w:rsidR="0080453F" w:rsidRPr="0080453F" w:rsidRDefault="0080453F" w:rsidP="0080453F">
      <w:pPr>
        <w:spacing w:before="120"/>
        <w:rPr>
          <w:rFonts w:ascii="Times New Roman" w:hAnsi="Times New Roman" w:cs="Times New Roman"/>
          <w:i/>
          <w:iCs/>
          <w:sz w:val="24"/>
          <w:szCs w:val="24"/>
        </w:rPr>
      </w:pPr>
      <w:r w:rsidRPr="0080453F">
        <w:rPr>
          <w:rFonts w:ascii="Times New Roman" w:hAnsi="Times New Roman" w:cs="Times New Roman"/>
          <w:i/>
          <w:iCs/>
          <w:sz w:val="24"/>
          <w:szCs w:val="24"/>
          <w:vertAlign w:val="superscript"/>
        </w:rPr>
        <w:t>1</w:t>
      </w:r>
      <w:r w:rsidRPr="0080453F">
        <w:rPr>
          <w:rFonts w:ascii="Times New Roman" w:hAnsi="Times New Roman" w:cs="Times New Roman"/>
          <w:i/>
          <w:iCs/>
          <w:sz w:val="24"/>
          <w:szCs w:val="24"/>
        </w:rPr>
        <w:t xml:space="preserve">Department of Forest Biomaterials, North Carolina State University, 2820 Faucette Drive, Raleigh, NC, 27606, USA. </w:t>
      </w:r>
    </w:p>
    <w:p w14:paraId="080A89F8" w14:textId="77777777" w:rsidR="0080453F" w:rsidRPr="0080453F" w:rsidRDefault="0080453F" w:rsidP="0080453F">
      <w:pPr>
        <w:spacing w:before="120"/>
        <w:rPr>
          <w:rFonts w:ascii="Times New Roman" w:hAnsi="Times New Roman" w:cs="Times New Roman"/>
          <w:i/>
          <w:iCs/>
          <w:sz w:val="24"/>
          <w:szCs w:val="24"/>
        </w:rPr>
      </w:pPr>
      <w:r w:rsidRPr="0080453F">
        <w:rPr>
          <w:rFonts w:ascii="Times New Roman" w:hAnsi="Times New Roman" w:cs="Times New Roman"/>
          <w:i/>
          <w:iCs/>
          <w:sz w:val="24"/>
          <w:szCs w:val="24"/>
          <w:vertAlign w:val="superscript"/>
        </w:rPr>
        <w:t xml:space="preserve">2 </w:t>
      </w:r>
      <w:r w:rsidRPr="0080453F">
        <w:rPr>
          <w:rFonts w:ascii="Times New Roman" w:hAnsi="Times New Roman" w:cs="Times New Roman"/>
          <w:i/>
          <w:iCs/>
          <w:sz w:val="24"/>
          <w:szCs w:val="24"/>
        </w:rPr>
        <w:t>Systems Assessment Center, Energy Systems Division, Argonne National Laboratory, 9700 South Cass Avenue, Lemont, IL, 60439, USA. E-mail: hcai@anl.gov</w:t>
      </w:r>
    </w:p>
    <w:p w14:paraId="175BA81E" w14:textId="77777777" w:rsidR="0080453F" w:rsidRPr="0080453F" w:rsidRDefault="0080453F" w:rsidP="0080453F">
      <w:pPr>
        <w:spacing w:before="120"/>
        <w:rPr>
          <w:rFonts w:ascii="Times New Roman" w:hAnsi="Times New Roman" w:cs="Times New Roman"/>
          <w:i/>
          <w:iCs/>
          <w:sz w:val="24"/>
          <w:szCs w:val="24"/>
        </w:rPr>
      </w:pPr>
      <w:r w:rsidRPr="0080453F">
        <w:rPr>
          <w:rFonts w:ascii="Times New Roman" w:hAnsi="Times New Roman" w:cs="Times New Roman"/>
          <w:i/>
          <w:iCs/>
          <w:sz w:val="24"/>
          <w:szCs w:val="24"/>
          <w:vertAlign w:val="superscript"/>
        </w:rPr>
        <w:t>3</w:t>
      </w:r>
      <w:r w:rsidRPr="0080453F">
        <w:rPr>
          <w:rFonts w:ascii="Times New Roman" w:hAnsi="Times New Roman" w:cs="Times New Roman"/>
          <w:i/>
          <w:iCs/>
          <w:sz w:val="24"/>
          <w:szCs w:val="24"/>
        </w:rPr>
        <w:t xml:space="preserve"> USDA Forest Service, Forest Products Laboratory, 1 Gifford Pinchot Drive, Madison, WI, 53726, USA</w:t>
      </w:r>
    </w:p>
    <w:p w14:paraId="324D4324" w14:textId="5D859A84" w:rsidR="0080453F" w:rsidRPr="00252893" w:rsidRDefault="00252893" w:rsidP="0080453F">
      <w:pPr>
        <w:spacing w:before="120"/>
        <w:rPr>
          <w:rFonts w:ascii="Times New Roman" w:hAnsi="Times New Roman" w:cs="Times New Roman"/>
          <w:i/>
          <w:iCs/>
          <w:sz w:val="24"/>
          <w:szCs w:val="24"/>
        </w:rPr>
      </w:pPr>
      <w:r w:rsidRPr="00252893">
        <w:rPr>
          <w:rFonts w:ascii="Times New Roman" w:hAnsi="Times New Roman" w:cs="Times New Roman"/>
          <w:i/>
          <w:iCs/>
          <w:sz w:val="24"/>
          <w:szCs w:val="24"/>
          <w:vertAlign w:val="superscript"/>
        </w:rPr>
        <w:t xml:space="preserve">4 </w:t>
      </w:r>
      <w:r w:rsidRPr="00252893">
        <w:rPr>
          <w:rFonts w:ascii="Times New Roman" w:hAnsi="Times New Roman" w:cs="Times New Roman"/>
          <w:i/>
          <w:sz w:val="24"/>
          <w:szCs w:val="24"/>
        </w:rPr>
        <w:t>Center for Industrial Ecology, Yale School of the Environment, Yale University, 380 Edwards Street, New Haven, CT, 06511, USA</w:t>
      </w:r>
      <w:r w:rsidRPr="00252893">
        <w:rPr>
          <w:rFonts w:ascii="Times New Roman" w:hAnsi="Times New Roman" w:cs="Times New Roman"/>
          <w:color w:val="000000" w:themeColor="text1"/>
          <w:sz w:val="24"/>
          <w:szCs w:val="24"/>
        </w:rPr>
        <w:t xml:space="preserve">. </w:t>
      </w:r>
      <w:r w:rsidRPr="00252893">
        <w:rPr>
          <w:rFonts w:ascii="Times New Roman" w:hAnsi="Times New Roman" w:cs="Times New Roman"/>
          <w:i/>
          <w:iCs/>
          <w:sz w:val="24"/>
          <w:szCs w:val="24"/>
        </w:rPr>
        <w:t>E-mail: y.yao@yale.edu</w:t>
      </w:r>
    </w:p>
    <w:p w14:paraId="42F1E976" w14:textId="77777777" w:rsidR="00CD5E67" w:rsidRDefault="00CD5E67">
      <w:pPr>
        <w:rPr>
          <w:rFonts w:ascii="Times New Roman" w:hAnsi="Times New Roman" w:cs="Times New Roman"/>
          <w:b/>
          <w:bCs/>
          <w:sz w:val="24"/>
          <w:szCs w:val="24"/>
        </w:rPr>
      </w:pPr>
    </w:p>
    <w:p w14:paraId="55962204" w14:textId="77777777" w:rsidR="00CD5E67" w:rsidRDefault="00CD5E67">
      <w:pPr>
        <w:rPr>
          <w:rFonts w:ascii="Times New Roman" w:hAnsi="Times New Roman" w:cs="Times New Roman"/>
          <w:b/>
          <w:bCs/>
          <w:sz w:val="24"/>
          <w:szCs w:val="24"/>
        </w:rPr>
      </w:pPr>
    </w:p>
    <w:p w14:paraId="7BA3DE99" w14:textId="77777777" w:rsidR="00CD5E67" w:rsidRDefault="00CD5E67">
      <w:pPr>
        <w:rPr>
          <w:rFonts w:ascii="Times New Roman" w:hAnsi="Times New Roman" w:cs="Times New Roman"/>
          <w:b/>
          <w:bCs/>
          <w:sz w:val="24"/>
          <w:szCs w:val="24"/>
        </w:rPr>
      </w:pPr>
    </w:p>
    <w:p w14:paraId="589F8A0B" w14:textId="77777777" w:rsidR="00CD5E67" w:rsidRDefault="00CD5E67">
      <w:pPr>
        <w:rPr>
          <w:rFonts w:ascii="Times New Roman" w:hAnsi="Times New Roman" w:cs="Times New Roman"/>
          <w:b/>
          <w:bCs/>
          <w:sz w:val="24"/>
          <w:szCs w:val="24"/>
        </w:rPr>
      </w:pPr>
    </w:p>
    <w:p w14:paraId="7B7FA893" w14:textId="77777777" w:rsidR="00CD5E67" w:rsidRDefault="00CD5E67">
      <w:pPr>
        <w:rPr>
          <w:rFonts w:ascii="Times New Roman" w:hAnsi="Times New Roman" w:cs="Times New Roman"/>
          <w:b/>
          <w:bCs/>
          <w:sz w:val="24"/>
          <w:szCs w:val="24"/>
        </w:rPr>
      </w:pPr>
    </w:p>
    <w:p w14:paraId="6B7314C6" w14:textId="77777777" w:rsidR="00CD5E67" w:rsidRDefault="00CD5E67">
      <w:pPr>
        <w:rPr>
          <w:rFonts w:ascii="Times New Roman" w:hAnsi="Times New Roman" w:cs="Times New Roman"/>
          <w:b/>
          <w:bCs/>
          <w:sz w:val="24"/>
          <w:szCs w:val="24"/>
        </w:rPr>
      </w:pPr>
    </w:p>
    <w:p w14:paraId="38F0D60F" w14:textId="77777777" w:rsidR="00CD5E67" w:rsidRDefault="00CD5E67">
      <w:pPr>
        <w:rPr>
          <w:rFonts w:ascii="Times New Roman" w:hAnsi="Times New Roman" w:cs="Times New Roman"/>
          <w:b/>
          <w:bCs/>
          <w:sz w:val="24"/>
          <w:szCs w:val="24"/>
        </w:rPr>
      </w:pPr>
    </w:p>
    <w:p w14:paraId="0A50C71B" w14:textId="6CB0365D" w:rsidR="00C641EB" w:rsidRPr="00CD5E67" w:rsidRDefault="00CD5E67" w:rsidP="00CD5E67">
      <w:pPr>
        <w:jc w:val="center"/>
        <w:rPr>
          <w:rFonts w:ascii="Times New Roman" w:hAnsi="Times New Roman" w:cs="Times New Roman"/>
          <w:b/>
          <w:bCs/>
          <w:sz w:val="24"/>
          <w:szCs w:val="24"/>
        </w:rPr>
      </w:pPr>
      <w:r w:rsidRPr="00CD5E67">
        <w:rPr>
          <w:rFonts w:ascii="Times New Roman" w:hAnsi="Times New Roman" w:cs="Times New Roman"/>
          <w:sz w:val="24"/>
          <w:szCs w:val="24"/>
        </w:rPr>
        <w:t>Page</w:t>
      </w:r>
      <w:r>
        <w:rPr>
          <w:rFonts w:ascii="Times New Roman" w:hAnsi="Times New Roman" w:cs="Times New Roman"/>
          <w:b/>
          <w:bCs/>
          <w:sz w:val="24"/>
          <w:szCs w:val="24"/>
        </w:rPr>
        <w:t xml:space="preserve">: </w:t>
      </w:r>
      <w:r w:rsidR="00D13CBD" w:rsidRPr="00B048FC">
        <w:rPr>
          <w:rFonts w:ascii="Times New Roman" w:hAnsi="Times New Roman" w:cs="Times New Roman"/>
          <w:sz w:val="24"/>
          <w:szCs w:val="24"/>
        </w:rPr>
        <w:t>1</w:t>
      </w:r>
      <w:r w:rsidR="00DF6A42">
        <w:rPr>
          <w:rFonts w:ascii="Times New Roman" w:hAnsi="Times New Roman" w:cs="Times New Roman"/>
          <w:sz w:val="24"/>
          <w:szCs w:val="24"/>
        </w:rPr>
        <w:t>4</w:t>
      </w:r>
    </w:p>
    <w:p w14:paraId="57F31F7D" w14:textId="22DF99EE" w:rsidR="00CD5E67" w:rsidRDefault="00CD5E67">
      <w:pPr>
        <w:rPr>
          <w:rFonts w:ascii="Times New Roman" w:hAnsi="Times New Roman" w:cs="Times New Roman"/>
          <w:b/>
          <w:bCs/>
          <w:sz w:val="24"/>
          <w:szCs w:val="24"/>
        </w:rPr>
      </w:pPr>
      <w:r>
        <w:rPr>
          <w:rFonts w:ascii="Times New Roman" w:hAnsi="Times New Roman" w:cs="Times New Roman"/>
          <w:b/>
          <w:bCs/>
          <w:sz w:val="24"/>
          <w:szCs w:val="24"/>
        </w:rPr>
        <w:br w:type="page"/>
      </w:r>
    </w:p>
    <w:sdt>
      <w:sdtPr>
        <w:rPr>
          <w:rFonts w:ascii="Calibri" w:eastAsia="DengXian" w:hAnsi="Calibri" w:cs="Arial"/>
          <w:color w:val="auto"/>
          <w:sz w:val="22"/>
          <w:szCs w:val="22"/>
          <w:lang w:eastAsia="zh-CN"/>
        </w:rPr>
        <w:id w:val="-1604025047"/>
        <w:docPartObj>
          <w:docPartGallery w:val="Table of Contents"/>
          <w:docPartUnique/>
        </w:docPartObj>
      </w:sdtPr>
      <w:sdtEndPr>
        <w:rPr>
          <w:rFonts w:ascii="Times New Roman" w:hAnsi="Times New Roman"/>
          <w:noProof/>
          <w:sz w:val="24"/>
          <w:szCs w:val="24"/>
        </w:rPr>
      </w:sdtEndPr>
      <w:sdtContent>
        <w:p w14:paraId="65B46E5E" w14:textId="302AD6AD" w:rsidR="00D21843" w:rsidRDefault="00D21843" w:rsidP="00546D60">
          <w:pPr>
            <w:pStyle w:val="TOCHeading"/>
            <w:jc w:val="center"/>
            <w:rPr>
              <w:rFonts w:ascii="Times New Roman" w:hAnsi="Times New Roman"/>
              <w:b/>
              <w:bCs/>
              <w:color w:val="auto"/>
              <w:sz w:val="28"/>
              <w:szCs w:val="28"/>
            </w:rPr>
          </w:pPr>
          <w:r w:rsidRPr="00546D60">
            <w:rPr>
              <w:rFonts w:ascii="Times New Roman" w:hAnsi="Times New Roman"/>
              <w:b/>
              <w:bCs/>
              <w:color w:val="auto"/>
              <w:sz w:val="28"/>
              <w:szCs w:val="28"/>
            </w:rPr>
            <w:t>Table of Contents</w:t>
          </w:r>
        </w:p>
        <w:p w14:paraId="767A82E3" w14:textId="77777777" w:rsidR="00FF56C0" w:rsidRPr="00FF56C0" w:rsidRDefault="00FF56C0" w:rsidP="00FF56C0">
          <w:pPr>
            <w:rPr>
              <w:lang w:eastAsia="en-US"/>
            </w:rPr>
          </w:pPr>
        </w:p>
        <w:p w14:paraId="3CF19465" w14:textId="40F27AC6" w:rsidR="00FF56C0" w:rsidRPr="00FF56C0" w:rsidRDefault="00D21843" w:rsidP="00FF56C0">
          <w:pPr>
            <w:pStyle w:val="TOC1"/>
            <w:tabs>
              <w:tab w:val="right" w:leader="dot" w:pos="9350"/>
            </w:tabs>
            <w:spacing w:line="360" w:lineRule="auto"/>
            <w:rPr>
              <w:rFonts w:ascii="Times New Roman" w:eastAsiaTheme="minorEastAsia" w:hAnsi="Times New Roman" w:cs="Times New Roman"/>
              <w:noProof/>
              <w:sz w:val="24"/>
              <w:szCs w:val="24"/>
            </w:rPr>
          </w:pPr>
          <w:r w:rsidRPr="00FF56C0">
            <w:rPr>
              <w:rFonts w:ascii="Times New Roman" w:hAnsi="Times New Roman" w:cs="Times New Roman"/>
              <w:sz w:val="24"/>
              <w:szCs w:val="24"/>
            </w:rPr>
            <w:fldChar w:fldCharType="begin"/>
          </w:r>
          <w:r w:rsidRPr="00FF56C0">
            <w:rPr>
              <w:rFonts w:ascii="Times New Roman" w:hAnsi="Times New Roman" w:cs="Times New Roman"/>
              <w:sz w:val="24"/>
              <w:szCs w:val="24"/>
            </w:rPr>
            <w:instrText xml:space="preserve"> TOC \o "1-3" \h \z \u </w:instrText>
          </w:r>
          <w:r w:rsidRPr="00FF56C0">
            <w:rPr>
              <w:rFonts w:ascii="Times New Roman" w:hAnsi="Times New Roman" w:cs="Times New Roman"/>
              <w:sz w:val="24"/>
              <w:szCs w:val="24"/>
            </w:rPr>
            <w:fldChar w:fldCharType="separate"/>
          </w:r>
          <w:hyperlink w:anchor="_Toc62294831" w:history="1">
            <w:r w:rsidR="00FF56C0" w:rsidRPr="00FF56C0">
              <w:rPr>
                <w:rStyle w:val="Hyperlink"/>
                <w:rFonts w:ascii="Times New Roman" w:hAnsi="Times New Roman" w:cs="Times New Roman"/>
                <w:noProof/>
                <w:sz w:val="24"/>
                <w:szCs w:val="24"/>
              </w:rPr>
              <w:t>1. Pine residue production</w:t>
            </w:r>
            <w:r w:rsidR="00FF56C0" w:rsidRPr="00FF56C0">
              <w:rPr>
                <w:rFonts w:ascii="Times New Roman" w:hAnsi="Times New Roman" w:cs="Times New Roman"/>
                <w:noProof/>
                <w:webHidden/>
                <w:sz w:val="24"/>
                <w:szCs w:val="24"/>
              </w:rPr>
              <w:tab/>
            </w:r>
            <w:r w:rsidR="00FF56C0" w:rsidRPr="00FF56C0">
              <w:rPr>
                <w:rFonts w:ascii="Times New Roman" w:hAnsi="Times New Roman" w:cs="Times New Roman"/>
                <w:noProof/>
                <w:webHidden/>
                <w:sz w:val="24"/>
                <w:szCs w:val="24"/>
              </w:rPr>
              <w:fldChar w:fldCharType="begin"/>
            </w:r>
            <w:r w:rsidR="00FF56C0" w:rsidRPr="00FF56C0">
              <w:rPr>
                <w:rFonts w:ascii="Times New Roman" w:hAnsi="Times New Roman" w:cs="Times New Roman"/>
                <w:noProof/>
                <w:webHidden/>
                <w:sz w:val="24"/>
                <w:szCs w:val="24"/>
              </w:rPr>
              <w:instrText xml:space="preserve"> PAGEREF _Toc62294831 \h </w:instrText>
            </w:r>
            <w:r w:rsidR="00FF56C0" w:rsidRPr="00FF56C0">
              <w:rPr>
                <w:rFonts w:ascii="Times New Roman" w:hAnsi="Times New Roman" w:cs="Times New Roman"/>
                <w:noProof/>
                <w:webHidden/>
                <w:sz w:val="24"/>
                <w:szCs w:val="24"/>
              </w:rPr>
            </w:r>
            <w:r w:rsidR="00FF56C0" w:rsidRPr="00FF56C0">
              <w:rPr>
                <w:rFonts w:ascii="Times New Roman" w:hAnsi="Times New Roman" w:cs="Times New Roman"/>
                <w:noProof/>
                <w:webHidden/>
                <w:sz w:val="24"/>
                <w:szCs w:val="24"/>
              </w:rPr>
              <w:fldChar w:fldCharType="separate"/>
            </w:r>
            <w:r w:rsidR="00FF56C0" w:rsidRPr="00FF56C0">
              <w:rPr>
                <w:rFonts w:ascii="Times New Roman" w:hAnsi="Times New Roman" w:cs="Times New Roman"/>
                <w:noProof/>
                <w:webHidden/>
                <w:sz w:val="24"/>
                <w:szCs w:val="24"/>
              </w:rPr>
              <w:t>3</w:t>
            </w:r>
            <w:r w:rsidR="00FF56C0" w:rsidRPr="00FF56C0">
              <w:rPr>
                <w:rFonts w:ascii="Times New Roman" w:hAnsi="Times New Roman" w:cs="Times New Roman"/>
                <w:noProof/>
                <w:webHidden/>
                <w:sz w:val="24"/>
                <w:szCs w:val="24"/>
              </w:rPr>
              <w:fldChar w:fldCharType="end"/>
            </w:r>
          </w:hyperlink>
        </w:p>
        <w:p w14:paraId="1AD6ABDA" w14:textId="705A1285" w:rsidR="00FF56C0" w:rsidRPr="00FF56C0" w:rsidRDefault="00D97653" w:rsidP="00FF56C0">
          <w:pPr>
            <w:pStyle w:val="TOC2"/>
            <w:tabs>
              <w:tab w:val="right" w:leader="dot" w:pos="9350"/>
            </w:tabs>
            <w:spacing w:line="360" w:lineRule="auto"/>
            <w:rPr>
              <w:rFonts w:ascii="Times New Roman" w:eastAsiaTheme="minorEastAsia" w:hAnsi="Times New Roman" w:cs="Times New Roman"/>
              <w:noProof/>
              <w:sz w:val="24"/>
              <w:szCs w:val="24"/>
            </w:rPr>
          </w:pPr>
          <w:hyperlink w:anchor="_Toc62294832" w:history="1">
            <w:r w:rsidR="00FF56C0" w:rsidRPr="00FF56C0">
              <w:rPr>
                <w:rStyle w:val="Hyperlink"/>
                <w:rFonts w:ascii="Times New Roman" w:hAnsi="Times New Roman" w:cs="Times New Roman"/>
                <w:noProof/>
                <w:sz w:val="24"/>
                <w:szCs w:val="24"/>
              </w:rPr>
              <w:t>1.1 Forest operations</w:t>
            </w:r>
            <w:r w:rsidR="00FF56C0" w:rsidRPr="00FF56C0">
              <w:rPr>
                <w:rFonts w:ascii="Times New Roman" w:hAnsi="Times New Roman" w:cs="Times New Roman"/>
                <w:noProof/>
                <w:webHidden/>
                <w:sz w:val="24"/>
                <w:szCs w:val="24"/>
              </w:rPr>
              <w:tab/>
            </w:r>
            <w:r w:rsidR="00FF56C0" w:rsidRPr="00FF56C0">
              <w:rPr>
                <w:rFonts w:ascii="Times New Roman" w:hAnsi="Times New Roman" w:cs="Times New Roman"/>
                <w:noProof/>
                <w:webHidden/>
                <w:sz w:val="24"/>
                <w:szCs w:val="24"/>
              </w:rPr>
              <w:fldChar w:fldCharType="begin"/>
            </w:r>
            <w:r w:rsidR="00FF56C0" w:rsidRPr="00FF56C0">
              <w:rPr>
                <w:rFonts w:ascii="Times New Roman" w:hAnsi="Times New Roman" w:cs="Times New Roman"/>
                <w:noProof/>
                <w:webHidden/>
                <w:sz w:val="24"/>
                <w:szCs w:val="24"/>
              </w:rPr>
              <w:instrText xml:space="preserve"> PAGEREF _Toc62294832 \h </w:instrText>
            </w:r>
            <w:r w:rsidR="00FF56C0" w:rsidRPr="00FF56C0">
              <w:rPr>
                <w:rFonts w:ascii="Times New Roman" w:hAnsi="Times New Roman" w:cs="Times New Roman"/>
                <w:noProof/>
                <w:webHidden/>
                <w:sz w:val="24"/>
                <w:szCs w:val="24"/>
              </w:rPr>
            </w:r>
            <w:r w:rsidR="00FF56C0" w:rsidRPr="00FF56C0">
              <w:rPr>
                <w:rFonts w:ascii="Times New Roman" w:hAnsi="Times New Roman" w:cs="Times New Roman"/>
                <w:noProof/>
                <w:webHidden/>
                <w:sz w:val="24"/>
                <w:szCs w:val="24"/>
              </w:rPr>
              <w:fldChar w:fldCharType="separate"/>
            </w:r>
            <w:r w:rsidR="00FF56C0" w:rsidRPr="00FF56C0">
              <w:rPr>
                <w:rFonts w:ascii="Times New Roman" w:hAnsi="Times New Roman" w:cs="Times New Roman"/>
                <w:noProof/>
                <w:webHidden/>
                <w:sz w:val="24"/>
                <w:szCs w:val="24"/>
              </w:rPr>
              <w:t>3</w:t>
            </w:r>
            <w:r w:rsidR="00FF56C0" w:rsidRPr="00FF56C0">
              <w:rPr>
                <w:rFonts w:ascii="Times New Roman" w:hAnsi="Times New Roman" w:cs="Times New Roman"/>
                <w:noProof/>
                <w:webHidden/>
                <w:sz w:val="24"/>
                <w:szCs w:val="24"/>
              </w:rPr>
              <w:fldChar w:fldCharType="end"/>
            </w:r>
          </w:hyperlink>
        </w:p>
        <w:p w14:paraId="388B96C6" w14:textId="2F721148" w:rsidR="00FF56C0" w:rsidRPr="00FF56C0" w:rsidRDefault="00D97653" w:rsidP="00FF56C0">
          <w:pPr>
            <w:pStyle w:val="TOC2"/>
            <w:tabs>
              <w:tab w:val="right" w:leader="dot" w:pos="9350"/>
            </w:tabs>
            <w:spacing w:line="360" w:lineRule="auto"/>
            <w:rPr>
              <w:rFonts w:ascii="Times New Roman" w:eastAsiaTheme="minorEastAsia" w:hAnsi="Times New Roman" w:cs="Times New Roman"/>
              <w:noProof/>
              <w:sz w:val="24"/>
              <w:szCs w:val="24"/>
            </w:rPr>
          </w:pPr>
          <w:hyperlink w:anchor="_Toc62294833" w:history="1">
            <w:r w:rsidR="00FF56C0" w:rsidRPr="00FF56C0">
              <w:rPr>
                <w:rStyle w:val="Hyperlink"/>
                <w:rFonts w:ascii="Times New Roman" w:hAnsi="Times New Roman" w:cs="Times New Roman"/>
                <w:noProof/>
                <w:sz w:val="24"/>
                <w:szCs w:val="24"/>
              </w:rPr>
              <w:t xml:space="preserve">1.2 Pine growth </w:t>
            </w:r>
            <w:r w:rsidR="00F153C1">
              <w:rPr>
                <w:rStyle w:val="Hyperlink"/>
                <w:rFonts w:ascii="Times New Roman" w:hAnsi="Times New Roman" w:cs="Times New Roman"/>
                <w:noProof/>
                <w:sz w:val="24"/>
                <w:szCs w:val="24"/>
              </w:rPr>
              <w:t xml:space="preserve">and </w:t>
            </w:r>
            <w:r w:rsidR="00FF56C0" w:rsidRPr="00FF56C0">
              <w:rPr>
                <w:rStyle w:val="Hyperlink"/>
                <w:rFonts w:ascii="Times New Roman" w:hAnsi="Times New Roman" w:cs="Times New Roman"/>
                <w:noProof/>
                <w:sz w:val="24"/>
                <w:szCs w:val="24"/>
              </w:rPr>
              <w:t>yield</w:t>
            </w:r>
            <w:r w:rsidR="00FF56C0" w:rsidRPr="00FF56C0">
              <w:rPr>
                <w:rFonts w:ascii="Times New Roman" w:hAnsi="Times New Roman" w:cs="Times New Roman"/>
                <w:noProof/>
                <w:webHidden/>
                <w:sz w:val="24"/>
                <w:szCs w:val="24"/>
              </w:rPr>
              <w:tab/>
            </w:r>
            <w:r w:rsidR="00FF56C0" w:rsidRPr="00FF56C0">
              <w:rPr>
                <w:rFonts w:ascii="Times New Roman" w:hAnsi="Times New Roman" w:cs="Times New Roman"/>
                <w:noProof/>
                <w:webHidden/>
                <w:sz w:val="24"/>
                <w:szCs w:val="24"/>
              </w:rPr>
              <w:fldChar w:fldCharType="begin"/>
            </w:r>
            <w:r w:rsidR="00FF56C0" w:rsidRPr="00FF56C0">
              <w:rPr>
                <w:rFonts w:ascii="Times New Roman" w:hAnsi="Times New Roman" w:cs="Times New Roman"/>
                <w:noProof/>
                <w:webHidden/>
                <w:sz w:val="24"/>
                <w:szCs w:val="24"/>
              </w:rPr>
              <w:instrText xml:space="preserve"> PAGEREF _Toc62294833 \h </w:instrText>
            </w:r>
            <w:r w:rsidR="00FF56C0" w:rsidRPr="00FF56C0">
              <w:rPr>
                <w:rFonts w:ascii="Times New Roman" w:hAnsi="Times New Roman" w:cs="Times New Roman"/>
                <w:noProof/>
                <w:webHidden/>
                <w:sz w:val="24"/>
                <w:szCs w:val="24"/>
              </w:rPr>
            </w:r>
            <w:r w:rsidR="00FF56C0" w:rsidRPr="00FF56C0">
              <w:rPr>
                <w:rFonts w:ascii="Times New Roman" w:hAnsi="Times New Roman" w:cs="Times New Roman"/>
                <w:noProof/>
                <w:webHidden/>
                <w:sz w:val="24"/>
                <w:szCs w:val="24"/>
              </w:rPr>
              <w:fldChar w:fldCharType="separate"/>
            </w:r>
            <w:r w:rsidR="00FF56C0" w:rsidRPr="00FF56C0">
              <w:rPr>
                <w:rFonts w:ascii="Times New Roman" w:hAnsi="Times New Roman" w:cs="Times New Roman"/>
                <w:noProof/>
                <w:webHidden/>
                <w:sz w:val="24"/>
                <w:szCs w:val="24"/>
              </w:rPr>
              <w:t>4</w:t>
            </w:r>
            <w:r w:rsidR="00FF56C0" w:rsidRPr="00FF56C0">
              <w:rPr>
                <w:rFonts w:ascii="Times New Roman" w:hAnsi="Times New Roman" w:cs="Times New Roman"/>
                <w:noProof/>
                <w:webHidden/>
                <w:sz w:val="24"/>
                <w:szCs w:val="24"/>
              </w:rPr>
              <w:fldChar w:fldCharType="end"/>
            </w:r>
          </w:hyperlink>
        </w:p>
        <w:p w14:paraId="5E23F5D5" w14:textId="43F6E26B" w:rsidR="00FF56C0" w:rsidRPr="00FF56C0" w:rsidRDefault="00D97653" w:rsidP="00FF56C0">
          <w:pPr>
            <w:pStyle w:val="TOC2"/>
            <w:tabs>
              <w:tab w:val="right" w:leader="dot" w:pos="9350"/>
            </w:tabs>
            <w:spacing w:line="360" w:lineRule="auto"/>
            <w:rPr>
              <w:rFonts w:ascii="Times New Roman" w:eastAsiaTheme="minorEastAsia" w:hAnsi="Times New Roman" w:cs="Times New Roman"/>
              <w:noProof/>
              <w:sz w:val="24"/>
              <w:szCs w:val="24"/>
            </w:rPr>
          </w:pPr>
          <w:hyperlink w:anchor="_Toc62294834" w:history="1">
            <w:r w:rsidR="00FF56C0" w:rsidRPr="00FF56C0">
              <w:rPr>
                <w:rStyle w:val="Hyperlink"/>
                <w:rFonts w:ascii="Times New Roman" w:hAnsi="Times New Roman" w:cs="Times New Roman"/>
                <w:noProof/>
                <w:sz w:val="24"/>
                <w:szCs w:val="24"/>
              </w:rPr>
              <w:t>1.3  Probability distribution of key parameters</w:t>
            </w:r>
            <w:r w:rsidR="00FF56C0" w:rsidRPr="00FF56C0">
              <w:rPr>
                <w:rFonts w:ascii="Times New Roman" w:hAnsi="Times New Roman" w:cs="Times New Roman"/>
                <w:noProof/>
                <w:webHidden/>
                <w:sz w:val="24"/>
                <w:szCs w:val="24"/>
              </w:rPr>
              <w:tab/>
            </w:r>
            <w:r w:rsidR="00FF56C0" w:rsidRPr="00FF56C0">
              <w:rPr>
                <w:rFonts w:ascii="Times New Roman" w:hAnsi="Times New Roman" w:cs="Times New Roman"/>
                <w:noProof/>
                <w:webHidden/>
                <w:sz w:val="24"/>
                <w:szCs w:val="24"/>
              </w:rPr>
              <w:fldChar w:fldCharType="begin"/>
            </w:r>
            <w:r w:rsidR="00FF56C0" w:rsidRPr="00FF56C0">
              <w:rPr>
                <w:rFonts w:ascii="Times New Roman" w:hAnsi="Times New Roman" w:cs="Times New Roman"/>
                <w:noProof/>
                <w:webHidden/>
                <w:sz w:val="24"/>
                <w:szCs w:val="24"/>
              </w:rPr>
              <w:instrText xml:space="preserve"> PAGEREF _Toc62294834 \h </w:instrText>
            </w:r>
            <w:r w:rsidR="00FF56C0" w:rsidRPr="00FF56C0">
              <w:rPr>
                <w:rFonts w:ascii="Times New Roman" w:hAnsi="Times New Roman" w:cs="Times New Roman"/>
                <w:noProof/>
                <w:webHidden/>
                <w:sz w:val="24"/>
                <w:szCs w:val="24"/>
              </w:rPr>
            </w:r>
            <w:r w:rsidR="00FF56C0" w:rsidRPr="00FF56C0">
              <w:rPr>
                <w:rFonts w:ascii="Times New Roman" w:hAnsi="Times New Roman" w:cs="Times New Roman"/>
                <w:noProof/>
                <w:webHidden/>
                <w:sz w:val="24"/>
                <w:szCs w:val="24"/>
              </w:rPr>
              <w:fldChar w:fldCharType="separate"/>
            </w:r>
            <w:r w:rsidR="00FF56C0" w:rsidRPr="00FF56C0">
              <w:rPr>
                <w:rFonts w:ascii="Times New Roman" w:hAnsi="Times New Roman" w:cs="Times New Roman"/>
                <w:noProof/>
                <w:webHidden/>
                <w:sz w:val="24"/>
                <w:szCs w:val="24"/>
              </w:rPr>
              <w:t>7</w:t>
            </w:r>
            <w:r w:rsidR="00FF56C0" w:rsidRPr="00FF56C0">
              <w:rPr>
                <w:rFonts w:ascii="Times New Roman" w:hAnsi="Times New Roman" w:cs="Times New Roman"/>
                <w:noProof/>
                <w:webHidden/>
                <w:sz w:val="24"/>
                <w:szCs w:val="24"/>
              </w:rPr>
              <w:fldChar w:fldCharType="end"/>
            </w:r>
          </w:hyperlink>
        </w:p>
        <w:p w14:paraId="249AC64B" w14:textId="49659CFC" w:rsidR="00FF56C0" w:rsidRPr="00FF56C0" w:rsidRDefault="00D97653" w:rsidP="00FF56C0">
          <w:pPr>
            <w:pStyle w:val="TOC2"/>
            <w:tabs>
              <w:tab w:val="right" w:leader="dot" w:pos="9350"/>
            </w:tabs>
            <w:spacing w:line="360" w:lineRule="auto"/>
            <w:rPr>
              <w:rFonts w:ascii="Times New Roman" w:eastAsiaTheme="minorEastAsia" w:hAnsi="Times New Roman" w:cs="Times New Roman"/>
              <w:noProof/>
              <w:sz w:val="24"/>
              <w:szCs w:val="24"/>
            </w:rPr>
          </w:pPr>
          <w:hyperlink w:anchor="_Toc62294835" w:history="1">
            <w:r w:rsidR="00FF56C0" w:rsidRPr="00FF56C0">
              <w:rPr>
                <w:rStyle w:val="Hyperlink"/>
                <w:rFonts w:ascii="Times New Roman" w:hAnsi="Times New Roman" w:cs="Times New Roman"/>
                <w:noProof/>
                <w:sz w:val="24"/>
                <w:szCs w:val="24"/>
              </w:rPr>
              <w:t>2. Time-Based Discounted GWP Method</w:t>
            </w:r>
            <w:r w:rsidR="00FF56C0" w:rsidRPr="00FF56C0">
              <w:rPr>
                <w:rFonts w:ascii="Times New Roman" w:hAnsi="Times New Roman" w:cs="Times New Roman"/>
                <w:noProof/>
                <w:webHidden/>
                <w:sz w:val="24"/>
                <w:szCs w:val="24"/>
              </w:rPr>
              <w:tab/>
            </w:r>
            <w:r w:rsidR="00FF56C0" w:rsidRPr="00FF56C0">
              <w:rPr>
                <w:rFonts w:ascii="Times New Roman" w:hAnsi="Times New Roman" w:cs="Times New Roman"/>
                <w:noProof/>
                <w:webHidden/>
                <w:sz w:val="24"/>
                <w:szCs w:val="24"/>
              </w:rPr>
              <w:fldChar w:fldCharType="begin"/>
            </w:r>
            <w:r w:rsidR="00FF56C0" w:rsidRPr="00FF56C0">
              <w:rPr>
                <w:rFonts w:ascii="Times New Roman" w:hAnsi="Times New Roman" w:cs="Times New Roman"/>
                <w:noProof/>
                <w:webHidden/>
                <w:sz w:val="24"/>
                <w:szCs w:val="24"/>
              </w:rPr>
              <w:instrText xml:space="preserve"> PAGEREF _Toc62294835 \h </w:instrText>
            </w:r>
            <w:r w:rsidR="00FF56C0" w:rsidRPr="00FF56C0">
              <w:rPr>
                <w:rFonts w:ascii="Times New Roman" w:hAnsi="Times New Roman" w:cs="Times New Roman"/>
                <w:noProof/>
                <w:webHidden/>
                <w:sz w:val="24"/>
                <w:szCs w:val="24"/>
              </w:rPr>
            </w:r>
            <w:r w:rsidR="00FF56C0" w:rsidRPr="00FF56C0">
              <w:rPr>
                <w:rFonts w:ascii="Times New Roman" w:hAnsi="Times New Roman" w:cs="Times New Roman"/>
                <w:noProof/>
                <w:webHidden/>
                <w:sz w:val="24"/>
                <w:szCs w:val="24"/>
              </w:rPr>
              <w:fldChar w:fldCharType="separate"/>
            </w:r>
            <w:r w:rsidR="00FF56C0" w:rsidRPr="00FF56C0">
              <w:rPr>
                <w:rFonts w:ascii="Times New Roman" w:hAnsi="Times New Roman" w:cs="Times New Roman"/>
                <w:noProof/>
                <w:webHidden/>
                <w:sz w:val="24"/>
                <w:szCs w:val="24"/>
              </w:rPr>
              <w:t>8</w:t>
            </w:r>
            <w:r w:rsidR="00FF56C0" w:rsidRPr="00FF56C0">
              <w:rPr>
                <w:rFonts w:ascii="Times New Roman" w:hAnsi="Times New Roman" w:cs="Times New Roman"/>
                <w:noProof/>
                <w:webHidden/>
                <w:sz w:val="24"/>
                <w:szCs w:val="24"/>
              </w:rPr>
              <w:fldChar w:fldCharType="end"/>
            </w:r>
          </w:hyperlink>
        </w:p>
        <w:p w14:paraId="60B603E2" w14:textId="101E72FB" w:rsidR="00FF56C0" w:rsidRPr="00FF56C0" w:rsidRDefault="00D97653" w:rsidP="00FF56C0">
          <w:pPr>
            <w:pStyle w:val="TOC1"/>
            <w:tabs>
              <w:tab w:val="right" w:leader="dot" w:pos="9350"/>
            </w:tabs>
            <w:spacing w:line="360" w:lineRule="auto"/>
            <w:rPr>
              <w:rFonts w:ascii="Times New Roman" w:eastAsiaTheme="minorEastAsia" w:hAnsi="Times New Roman" w:cs="Times New Roman"/>
              <w:noProof/>
              <w:sz w:val="24"/>
              <w:szCs w:val="24"/>
            </w:rPr>
          </w:pPr>
          <w:hyperlink w:anchor="_Toc62294836" w:history="1">
            <w:r w:rsidR="00FF56C0" w:rsidRPr="00FF56C0">
              <w:rPr>
                <w:rStyle w:val="Hyperlink"/>
                <w:rFonts w:ascii="Times New Roman" w:hAnsi="Times New Roman" w:cs="Times New Roman"/>
                <w:noProof/>
                <w:sz w:val="24"/>
                <w:szCs w:val="24"/>
              </w:rPr>
              <w:t>3. Carbon Emission Profile</w:t>
            </w:r>
            <w:r w:rsidR="00FF56C0" w:rsidRPr="00FF56C0">
              <w:rPr>
                <w:rFonts w:ascii="Times New Roman" w:hAnsi="Times New Roman" w:cs="Times New Roman"/>
                <w:noProof/>
                <w:webHidden/>
                <w:sz w:val="24"/>
                <w:szCs w:val="24"/>
              </w:rPr>
              <w:tab/>
            </w:r>
            <w:r w:rsidR="00FF56C0" w:rsidRPr="00FF56C0">
              <w:rPr>
                <w:rFonts w:ascii="Times New Roman" w:hAnsi="Times New Roman" w:cs="Times New Roman"/>
                <w:noProof/>
                <w:webHidden/>
                <w:sz w:val="24"/>
                <w:szCs w:val="24"/>
              </w:rPr>
              <w:fldChar w:fldCharType="begin"/>
            </w:r>
            <w:r w:rsidR="00FF56C0" w:rsidRPr="00FF56C0">
              <w:rPr>
                <w:rFonts w:ascii="Times New Roman" w:hAnsi="Times New Roman" w:cs="Times New Roman"/>
                <w:noProof/>
                <w:webHidden/>
                <w:sz w:val="24"/>
                <w:szCs w:val="24"/>
              </w:rPr>
              <w:instrText xml:space="preserve"> PAGEREF _Toc62294836 \h </w:instrText>
            </w:r>
            <w:r w:rsidR="00FF56C0" w:rsidRPr="00FF56C0">
              <w:rPr>
                <w:rFonts w:ascii="Times New Roman" w:hAnsi="Times New Roman" w:cs="Times New Roman"/>
                <w:noProof/>
                <w:webHidden/>
                <w:sz w:val="24"/>
                <w:szCs w:val="24"/>
              </w:rPr>
            </w:r>
            <w:r w:rsidR="00FF56C0" w:rsidRPr="00FF56C0">
              <w:rPr>
                <w:rFonts w:ascii="Times New Roman" w:hAnsi="Times New Roman" w:cs="Times New Roman"/>
                <w:noProof/>
                <w:webHidden/>
                <w:sz w:val="24"/>
                <w:szCs w:val="24"/>
              </w:rPr>
              <w:fldChar w:fldCharType="separate"/>
            </w:r>
            <w:r w:rsidR="00FF56C0" w:rsidRPr="00FF56C0">
              <w:rPr>
                <w:rFonts w:ascii="Times New Roman" w:hAnsi="Times New Roman" w:cs="Times New Roman"/>
                <w:noProof/>
                <w:webHidden/>
                <w:sz w:val="24"/>
                <w:szCs w:val="24"/>
              </w:rPr>
              <w:t>9</w:t>
            </w:r>
            <w:r w:rsidR="00FF56C0" w:rsidRPr="00FF56C0">
              <w:rPr>
                <w:rFonts w:ascii="Times New Roman" w:hAnsi="Times New Roman" w:cs="Times New Roman"/>
                <w:noProof/>
                <w:webHidden/>
                <w:sz w:val="24"/>
                <w:szCs w:val="24"/>
              </w:rPr>
              <w:fldChar w:fldCharType="end"/>
            </w:r>
          </w:hyperlink>
        </w:p>
        <w:p w14:paraId="41BFF0BC" w14:textId="349F33BE" w:rsidR="00FF56C0" w:rsidRPr="00FF56C0" w:rsidRDefault="00D97653" w:rsidP="00FF56C0">
          <w:pPr>
            <w:pStyle w:val="TOC1"/>
            <w:tabs>
              <w:tab w:val="right" w:leader="dot" w:pos="9350"/>
            </w:tabs>
            <w:spacing w:line="360" w:lineRule="auto"/>
            <w:rPr>
              <w:rFonts w:ascii="Times New Roman" w:eastAsiaTheme="minorEastAsia" w:hAnsi="Times New Roman" w:cs="Times New Roman"/>
              <w:noProof/>
              <w:sz w:val="24"/>
              <w:szCs w:val="24"/>
            </w:rPr>
          </w:pPr>
          <w:hyperlink w:anchor="_Toc62294837" w:history="1">
            <w:r w:rsidR="00FF56C0" w:rsidRPr="00FF56C0">
              <w:rPr>
                <w:rStyle w:val="Hyperlink"/>
                <w:rFonts w:ascii="Times New Roman" w:hAnsi="Times New Roman" w:cs="Times New Roman"/>
                <w:noProof/>
                <w:sz w:val="24"/>
                <w:szCs w:val="24"/>
              </w:rPr>
              <w:t>4. Biochar decay</w:t>
            </w:r>
            <w:r w:rsidR="00FF56C0" w:rsidRPr="00FF56C0">
              <w:rPr>
                <w:rFonts w:ascii="Times New Roman" w:hAnsi="Times New Roman" w:cs="Times New Roman"/>
                <w:noProof/>
                <w:webHidden/>
                <w:sz w:val="24"/>
                <w:szCs w:val="24"/>
              </w:rPr>
              <w:tab/>
            </w:r>
            <w:r w:rsidR="00FF56C0" w:rsidRPr="00FF56C0">
              <w:rPr>
                <w:rFonts w:ascii="Times New Roman" w:hAnsi="Times New Roman" w:cs="Times New Roman"/>
                <w:noProof/>
                <w:webHidden/>
                <w:sz w:val="24"/>
                <w:szCs w:val="24"/>
              </w:rPr>
              <w:fldChar w:fldCharType="begin"/>
            </w:r>
            <w:r w:rsidR="00FF56C0" w:rsidRPr="00FF56C0">
              <w:rPr>
                <w:rFonts w:ascii="Times New Roman" w:hAnsi="Times New Roman" w:cs="Times New Roman"/>
                <w:noProof/>
                <w:webHidden/>
                <w:sz w:val="24"/>
                <w:szCs w:val="24"/>
              </w:rPr>
              <w:instrText xml:space="preserve"> PAGEREF _Toc62294837 \h </w:instrText>
            </w:r>
            <w:r w:rsidR="00FF56C0" w:rsidRPr="00FF56C0">
              <w:rPr>
                <w:rFonts w:ascii="Times New Roman" w:hAnsi="Times New Roman" w:cs="Times New Roman"/>
                <w:noProof/>
                <w:webHidden/>
                <w:sz w:val="24"/>
                <w:szCs w:val="24"/>
              </w:rPr>
            </w:r>
            <w:r w:rsidR="00FF56C0" w:rsidRPr="00FF56C0">
              <w:rPr>
                <w:rFonts w:ascii="Times New Roman" w:hAnsi="Times New Roman" w:cs="Times New Roman"/>
                <w:noProof/>
                <w:webHidden/>
                <w:sz w:val="24"/>
                <w:szCs w:val="24"/>
              </w:rPr>
              <w:fldChar w:fldCharType="separate"/>
            </w:r>
            <w:r w:rsidR="00FF56C0" w:rsidRPr="00FF56C0">
              <w:rPr>
                <w:rFonts w:ascii="Times New Roman" w:hAnsi="Times New Roman" w:cs="Times New Roman"/>
                <w:noProof/>
                <w:webHidden/>
                <w:sz w:val="24"/>
                <w:szCs w:val="24"/>
              </w:rPr>
              <w:t>11</w:t>
            </w:r>
            <w:r w:rsidR="00FF56C0" w:rsidRPr="00FF56C0">
              <w:rPr>
                <w:rFonts w:ascii="Times New Roman" w:hAnsi="Times New Roman" w:cs="Times New Roman"/>
                <w:noProof/>
                <w:webHidden/>
                <w:sz w:val="24"/>
                <w:szCs w:val="24"/>
              </w:rPr>
              <w:fldChar w:fldCharType="end"/>
            </w:r>
          </w:hyperlink>
        </w:p>
        <w:p w14:paraId="7B832AE5" w14:textId="458FD8E0" w:rsidR="00FF56C0" w:rsidRPr="00FF56C0" w:rsidRDefault="00D97653" w:rsidP="00FF56C0">
          <w:pPr>
            <w:pStyle w:val="TOC1"/>
            <w:tabs>
              <w:tab w:val="right" w:leader="dot" w:pos="9350"/>
            </w:tabs>
            <w:spacing w:line="360" w:lineRule="auto"/>
            <w:rPr>
              <w:rFonts w:ascii="Times New Roman" w:eastAsiaTheme="minorEastAsia" w:hAnsi="Times New Roman" w:cs="Times New Roman"/>
              <w:noProof/>
              <w:sz w:val="24"/>
              <w:szCs w:val="24"/>
            </w:rPr>
          </w:pPr>
          <w:hyperlink w:anchor="_Toc62294838" w:history="1">
            <w:r w:rsidR="00FF56C0" w:rsidRPr="00FF56C0">
              <w:rPr>
                <w:rStyle w:val="Hyperlink"/>
                <w:rFonts w:ascii="Times New Roman" w:hAnsi="Times New Roman" w:cs="Times New Roman"/>
                <w:noProof/>
                <w:sz w:val="24"/>
                <w:szCs w:val="24"/>
              </w:rPr>
              <w:t>Reference</w:t>
            </w:r>
            <w:r w:rsidR="00FF56C0" w:rsidRPr="00FF56C0">
              <w:rPr>
                <w:rFonts w:ascii="Times New Roman" w:hAnsi="Times New Roman" w:cs="Times New Roman"/>
                <w:noProof/>
                <w:webHidden/>
                <w:sz w:val="24"/>
                <w:szCs w:val="24"/>
              </w:rPr>
              <w:tab/>
            </w:r>
            <w:r w:rsidR="00FF56C0" w:rsidRPr="00FF56C0">
              <w:rPr>
                <w:rFonts w:ascii="Times New Roman" w:hAnsi="Times New Roman" w:cs="Times New Roman"/>
                <w:noProof/>
                <w:webHidden/>
                <w:sz w:val="24"/>
                <w:szCs w:val="24"/>
              </w:rPr>
              <w:fldChar w:fldCharType="begin"/>
            </w:r>
            <w:r w:rsidR="00FF56C0" w:rsidRPr="00FF56C0">
              <w:rPr>
                <w:rFonts w:ascii="Times New Roman" w:hAnsi="Times New Roman" w:cs="Times New Roman"/>
                <w:noProof/>
                <w:webHidden/>
                <w:sz w:val="24"/>
                <w:szCs w:val="24"/>
              </w:rPr>
              <w:instrText xml:space="preserve"> PAGEREF _Toc62294838 \h </w:instrText>
            </w:r>
            <w:r w:rsidR="00FF56C0" w:rsidRPr="00FF56C0">
              <w:rPr>
                <w:rFonts w:ascii="Times New Roman" w:hAnsi="Times New Roman" w:cs="Times New Roman"/>
                <w:noProof/>
                <w:webHidden/>
                <w:sz w:val="24"/>
                <w:szCs w:val="24"/>
              </w:rPr>
            </w:r>
            <w:r w:rsidR="00FF56C0" w:rsidRPr="00FF56C0">
              <w:rPr>
                <w:rFonts w:ascii="Times New Roman" w:hAnsi="Times New Roman" w:cs="Times New Roman"/>
                <w:noProof/>
                <w:webHidden/>
                <w:sz w:val="24"/>
                <w:szCs w:val="24"/>
              </w:rPr>
              <w:fldChar w:fldCharType="separate"/>
            </w:r>
            <w:r w:rsidR="00FF56C0" w:rsidRPr="00FF56C0">
              <w:rPr>
                <w:rFonts w:ascii="Times New Roman" w:hAnsi="Times New Roman" w:cs="Times New Roman"/>
                <w:noProof/>
                <w:webHidden/>
                <w:sz w:val="24"/>
                <w:szCs w:val="24"/>
              </w:rPr>
              <w:t>12</w:t>
            </w:r>
            <w:r w:rsidR="00FF56C0" w:rsidRPr="00FF56C0">
              <w:rPr>
                <w:rFonts w:ascii="Times New Roman" w:hAnsi="Times New Roman" w:cs="Times New Roman"/>
                <w:noProof/>
                <w:webHidden/>
                <w:sz w:val="24"/>
                <w:szCs w:val="24"/>
              </w:rPr>
              <w:fldChar w:fldCharType="end"/>
            </w:r>
          </w:hyperlink>
        </w:p>
        <w:p w14:paraId="55FAF98B" w14:textId="721181C8" w:rsidR="00D21843" w:rsidRPr="00546D60" w:rsidRDefault="00D21843" w:rsidP="00FF56C0">
          <w:pPr>
            <w:spacing w:line="360" w:lineRule="auto"/>
            <w:rPr>
              <w:rFonts w:ascii="Times New Roman" w:hAnsi="Times New Roman" w:cs="Times New Roman"/>
              <w:sz w:val="24"/>
              <w:szCs w:val="24"/>
            </w:rPr>
          </w:pPr>
          <w:r w:rsidRPr="00FF56C0">
            <w:rPr>
              <w:rFonts w:ascii="Times New Roman" w:hAnsi="Times New Roman" w:cs="Times New Roman"/>
              <w:noProof/>
              <w:sz w:val="24"/>
              <w:szCs w:val="24"/>
            </w:rPr>
            <w:fldChar w:fldCharType="end"/>
          </w:r>
        </w:p>
      </w:sdtContent>
    </w:sdt>
    <w:p w14:paraId="7721103B" w14:textId="6CFED970" w:rsidR="00D21843" w:rsidRDefault="00D21843">
      <w:pPr>
        <w:rPr>
          <w:rFonts w:ascii="Times New Roman" w:hAnsi="Times New Roman" w:cs="Times New Roman"/>
          <w:b/>
          <w:bCs/>
          <w:sz w:val="24"/>
          <w:szCs w:val="24"/>
        </w:rPr>
      </w:pPr>
    </w:p>
    <w:p w14:paraId="07E88FCF" w14:textId="0E39F4FA" w:rsidR="00D21843" w:rsidRDefault="00D2184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764F52FA" w14:textId="573C62FC" w:rsidR="00CD5E67" w:rsidRPr="00BF3A22" w:rsidRDefault="00C641EB" w:rsidP="00BA4FB9">
      <w:pPr>
        <w:pStyle w:val="Heading1"/>
        <w:spacing w:before="0" w:line="480" w:lineRule="auto"/>
        <w:rPr>
          <w:rFonts w:ascii="Times New Roman" w:hAnsi="Times New Roman"/>
          <w:b/>
          <w:bCs/>
          <w:color w:val="auto"/>
          <w:sz w:val="24"/>
          <w:szCs w:val="24"/>
        </w:rPr>
      </w:pPr>
      <w:bookmarkStart w:id="2" w:name="_Toc18954406"/>
      <w:bookmarkStart w:id="3" w:name="_Toc62294831"/>
      <w:r w:rsidRPr="00BF3A22">
        <w:rPr>
          <w:rFonts w:ascii="Times New Roman" w:hAnsi="Times New Roman"/>
          <w:b/>
          <w:bCs/>
          <w:color w:val="auto"/>
          <w:sz w:val="24"/>
          <w:szCs w:val="24"/>
        </w:rPr>
        <w:lastRenderedPageBreak/>
        <w:t xml:space="preserve">1. Pine </w:t>
      </w:r>
      <w:r w:rsidR="003A115B" w:rsidRPr="00BF3A22">
        <w:rPr>
          <w:rFonts w:ascii="Times New Roman" w:hAnsi="Times New Roman"/>
          <w:b/>
          <w:bCs/>
          <w:color w:val="auto"/>
          <w:sz w:val="24"/>
          <w:szCs w:val="24"/>
        </w:rPr>
        <w:t>r</w:t>
      </w:r>
      <w:r w:rsidRPr="00BF3A22">
        <w:rPr>
          <w:rFonts w:ascii="Times New Roman" w:hAnsi="Times New Roman"/>
          <w:b/>
          <w:bCs/>
          <w:color w:val="auto"/>
          <w:sz w:val="24"/>
          <w:szCs w:val="24"/>
        </w:rPr>
        <w:t xml:space="preserve">esidue </w:t>
      </w:r>
      <w:r w:rsidR="003A115B" w:rsidRPr="00BF3A22">
        <w:rPr>
          <w:rFonts w:ascii="Times New Roman" w:hAnsi="Times New Roman"/>
          <w:b/>
          <w:bCs/>
          <w:color w:val="auto"/>
          <w:sz w:val="24"/>
          <w:szCs w:val="24"/>
        </w:rPr>
        <w:t>p</w:t>
      </w:r>
      <w:r w:rsidRPr="00BF3A22">
        <w:rPr>
          <w:rFonts w:ascii="Times New Roman" w:hAnsi="Times New Roman"/>
          <w:b/>
          <w:bCs/>
          <w:color w:val="auto"/>
          <w:sz w:val="24"/>
          <w:szCs w:val="24"/>
        </w:rPr>
        <w:t>roduction</w:t>
      </w:r>
      <w:bookmarkEnd w:id="2"/>
      <w:bookmarkEnd w:id="3"/>
    </w:p>
    <w:p w14:paraId="1BA7B750" w14:textId="4249D033" w:rsidR="009B1E68" w:rsidRDefault="009B1E68" w:rsidP="00B048FC">
      <w:pPr>
        <w:pStyle w:val="Heading2"/>
        <w:spacing w:before="0" w:line="480" w:lineRule="auto"/>
      </w:pPr>
      <w:bookmarkStart w:id="4" w:name="_Toc18954407"/>
      <w:bookmarkStart w:id="5" w:name="_Toc62294832"/>
      <w:r w:rsidRPr="00DE34FD">
        <w:rPr>
          <w:rFonts w:ascii="Times New Roman" w:hAnsi="Times New Roman"/>
          <w:b/>
          <w:bCs/>
          <w:color w:val="auto"/>
          <w:sz w:val="24"/>
          <w:szCs w:val="24"/>
        </w:rPr>
        <w:t xml:space="preserve">1.1 Forest </w:t>
      </w:r>
      <w:r w:rsidR="005D74EA">
        <w:rPr>
          <w:rFonts w:ascii="Times New Roman" w:hAnsi="Times New Roman"/>
          <w:b/>
          <w:bCs/>
          <w:color w:val="auto"/>
          <w:sz w:val="24"/>
          <w:szCs w:val="24"/>
        </w:rPr>
        <w:t>o</w:t>
      </w:r>
      <w:r w:rsidRPr="00DE34FD">
        <w:rPr>
          <w:rFonts w:ascii="Times New Roman" w:hAnsi="Times New Roman"/>
          <w:b/>
          <w:bCs/>
          <w:color w:val="auto"/>
          <w:sz w:val="24"/>
          <w:szCs w:val="24"/>
        </w:rPr>
        <w:t>perations</w:t>
      </w:r>
      <w:bookmarkEnd w:id="4"/>
      <w:bookmarkEnd w:id="5"/>
    </w:p>
    <w:p w14:paraId="0C302CAA" w14:textId="1A368093" w:rsidR="00C641EB" w:rsidRDefault="00CD5E67" w:rsidP="00B048FC">
      <w:pPr>
        <w:spacing w:after="0" w:line="480" w:lineRule="auto"/>
        <w:jc w:val="both"/>
        <w:rPr>
          <w:rFonts w:ascii="Times New Roman" w:hAnsi="Times New Roman" w:cs="Times New Roman"/>
          <w:sz w:val="24"/>
          <w:szCs w:val="24"/>
        </w:rPr>
      </w:pPr>
      <w:r w:rsidRPr="00CD5E67">
        <w:rPr>
          <w:rFonts w:ascii="Times New Roman" w:hAnsi="Times New Roman" w:cs="Times New Roman"/>
          <w:sz w:val="24"/>
          <w:szCs w:val="24"/>
        </w:rPr>
        <w:t>Fig</w:t>
      </w:r>
      <w:r w:rsidR="000E41BD">
        <w:rPr>
          <w:rFonts w:ascii="Times New Roman" w:hAnsi="Times New Roman" w:cs="Times New Roman"/>
          <w:sz w:val="24"/>
          <w:szCs w:val="24"/>
        </w:rPr>
        <w:t>.</w:t>
      </w:r>
      <w:r w:rsidRPr="00CD5E67">
        <w:rPr>
          <w:rFonts w:ascii="Times New Roman" w:hAnsi="Times New Roman" w:cs="Times New Roman"/>
          <w:sz w:val="24"/>
          <w:szCs w:val="24"/>
        </w:rPr>
        <w:t xml:space="preserve"> S1 displays the system boundary </w:t>
      </w:r>
      <w:r w:rsidR="00DE7D2D">
        <w:rPr>
          <w:rFonts w:ascii="Times New Roman" w:hAnsi="Times New Roman" w:cs="Times New Roman"/>
          <w:sz w:val="24"/>
          <w:szCs w:val="24"/>
        </w:rPr>
        <w:t xml:space="preserve">used </w:t>
      </w:r>
      <w:r w:rsidRPr="00CD5E67">
        <w:rPr>
          <w:rFonts w:ascii="Times New Roman" w:hAnsi="Times New Roman" w:cs="Times New Roman"/>
          <w:sz w:val="24"/>
          <w:szCs w:val="24"/>
        </w:rPr>
        <w:t xml:space="preserve">for pine residue production. All inputs and outputs were </w:t>
      </w:r>
      <w:r>
        <w:rPr>
          <w:rFonts w:ascii="Times New Roman" w:hAnsi="Times New Roman" w:cs="Times New Roman"/>
          <w:sz w:val="24"/>
          <w:szCs w:val="24"/>
        </w:rPr>
        <w:t>based</w:t>
      </w:r>
      <w:r w:rsidRPr="00CD5E67">
        <w:rPr>
          <w:rFonts w:ascii="Times New Roman" w:hAnsi="Times New Roman" w:cs="Times New Roman"/>
          <w:sz w:val="24"/>
          <w:szCs w:val="24"/>
        </w:rPr>
        <w:t xml:space="preserve"> </w:t>
      </w:r>
      <w:r>
        <w:rPr>
          <w:rFonts w:ascii="Times New Roman" w:hAnsi="Times New Roman" w:cs="Times New Roman"/>
          <w:sz w:val="24"/>
          <w:szCs w:val="24"/>
        </w:rPr>
        <w:t>on</w:t>
      </w:r>
      <w:r w:rsidRPr="00CD5E67">
        <w:rPr>
          <w:rFonts w:ascii="Times New Roman" w:hAnsi="Times New Roman" w:cs="Times New Roman"/>
          <w:sz w:val="24"/>
          <w:szCs w:val="24"/>
        </w:rPr>
        <w:t xml:space="preserve"> 1 oven dry </w:t>
      </w:r>
      <w:r>
        <w:rPr>
          <w:rFonts w:ascii="Times New Roman" w:hAnsi="Times New Roman" w:cs="Times New Roman"/>
          <w:sz w:val="24"/>
          <w:szCs w:val="24"/>
        </w:rPr>
        <w:t xml:space="preserve">metric </w:t>
      </w:r>
      <w:r w:rsidRPr="00CD5E67">
        <w:rPr>
          <w:rFonts w:ascii="Times New Roman" w:hAnsi="Times New Roman" w:cs="Times New Roman"/>
          <w:sz w:val="24"/>
          <w:szCs w:val="24"/>
        </w:rPr>
        <w:t xml:space="preserve">ton of pine residues. </w:t>
      </w:r>
      <w:r w:rsidR="00BE01B0">
        <w:rPr>
          <w:rFonts w:ascii="Times New Roman" w:hAnsi="Times New Roman" w:cs="Times New Roman"/>
          <w:sz w:val="24"/>
          <w:szCs w:val="24"/>
        </w:rPr>
        <w:t>The m</w:t>
      </w:r>
      <w:r w:rsidR="00BE01B0" w:rsidRPr="00CD5E67">
        <w:rPr>
          <w:rFonts w:ascii="Times New Roman" w:hAnsi="Times New Roman" w:cs="Times New Roman"/>
          <w:sz w:val="24"/>
          <w:szCs w:val="24"/>
        </w:rPr>
        <w:t xml:space="preserve">ass </w:t>
      </w:r>
      <w:r w:rsidRPr="00CD5E67">
        <w:rPr>
          <w:rFonts w:ascii="Times New Roman" w:hAnsi="Times New Roman" w:cs="Times New Roman"/>
          <w:sz w:val="24"/>
          <w:szCs w:val="24"/>
        </w:rPr>
        <w:t>allocation was used</w:t>
      </w:r>
      <w:r w:rsidR="00240F73">
        <w:rPr>
          <w:rFonts w:ascii="Times New Roman" w:hAnsi="Times New Roman" w:cs="Times New Roman"/>
          <w:sz w:val="24"/>
          <w:szCs w:val="24"/>
        </w:rPr>
        <w:t xml:space="preserve"> to</w:t>
      </w:r>
      <w:r w:rsidRPr="00CD5E67">
        <w:rPr>
          <w:rFonts w:ascii="Times New Roman" w:hAnsi="Times New Roman" w:cs="Times New Roman"/>
          <w:sz w:val="24"/>
          <w:szCs w:val="24"/>
        </w:rPr>
        <w:t xml:space="preserve"> </w:t>
      </w:r>
      <w:r w:rsidR="00DE7D2D">
        <w:rPr>
          <w:rFonts w:ascii="Times New Roman" w:hAnsi="Times New Roman" w:cs="Times New Roman"/>
          <w:sz w:val="24"/>
          <w:szCs w:val="24"/>
        </w:rPr>
        <w:t xml:space="preserve">apportion the </w:t>
      </w:r>
      <w:r w:rsidR="00240F73">
        <w:rPr>
          <w:rFonts w:ascii="Times New Roman" w:hAnsi="Times New Roman" w:cs="Times New Roman"/>
          <w:sz w:val="24"/>
          <w:szCs w:val="24"/>
        </w:rPr>
        <w:t>Life Cycle Inventory (LCI) data</w:t>
      </w:r>
      <w:r w:rsidR="00187495">
        <w:rPr>
          <w:rFonts w:ascii="Times New Roman" w:hAnsi="Times New Roman" w:cs="Times New Roman"/>
          <w:sz w:val="24"/>
          <w:szCs w:val="24"/>
        </w:rPr>
        <w:t xml:space="preserve"> between </w:t>
      </w:r>
      <w:r w:rsidRPr="00CD5E67">
        <w:rPr>
          <w:rFonts w:ascii="Times New Roman" w:hAnsi="Times New Roman" w:cs="Times New Roman"/>
          <w:sz w:val="24"/>
          <w:szCs w:val="24"/>
        </w:rPr>
        <w:t xml:space="preserve">logs and residues. </w:t>
      </w:r>
    </w:p>
    <w:p w14:paraId="2F2E3CDE" w14:textId="77777777" w:rsidR="00CD5E67" w:rsidRPr="00CD5E67" w:rsidRDefault="00CD5E67" w:rsidP="00BA4FB9">
      <w:pPr>
        <w:spacing w:after="0" w:line="480" w:lineRule="auto"/>
        <w:rPr>
          <w:rFonts w:ascii="Times New Roman" w:hAnsi="Times New Roman" w:cs="Times New Roman"/>
          <w:sz w:val="28"/>
          <w:szCs w:val="28"/>
        </w:rPr>
      </w:pPr>
    </w:p>
    <w:p w14:paraId="1BE1D296" w14:textId="622ACAF7" w:rsidR="00C641EB" w:rsidRDefault="00A367E5" w:rsidP="00BA4FB9">
      <w:pPr>
        <w:spacing w:after="0" w:line="240" w:lineRule="auto"/>
        <w:rPr>
          <w:rFonts w:ascii="Times New Roman" w:hAnsi="Times New Roman" w:cs="Times New Roman"/>
          <w:sz w:val="24"/>
          <w:szCs w:val="24"/>
        </w:rPr>
      </w:pPr>
      <w:r>
        <w:rPr>
          <w:noProof/>
        </w:rPr>
        <w:drawing>
          <wp:inline distT="0" distB="0" distL="0" distR="0" wp14:anchorId="1EB95B12" wp14:editId="7F4A7C79">
            <wp:extent cx="5439410" cy="21478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62137" cy="2156844"/>
                    </a:xfrm>
                    <a:prstGeom prst="rect">
                      <a:avLst/>
                    </a:prstGeom>
                  </pic:spPr>
                </pic:pic>
              </a:graphicData>
            </a:graphic>
          </wp:inline>
        </w:drawing>
      </w:r>
    </w:p>
    <w:p w14:paraId="41589856" w14:textId="6B0ED08B" w:rsidR="00CD5E67" w:rsidRPr="0015650E" w:rsidRDefault="00CD5E67" w:rsidP="008801E9">
      <w:pPr>
        <w:pStyle w:val="Head1"/>
      </w:pPr>
      <w:r w:rsidRPr="0015650E">
        <w:t>Fi</w:t>
      </w:r>
      <w:r w:rsidR="00270765">
        <w:t>g</w:t>
      </w:r>
      <w:r w:rsidR="00B35FB3">
        <w:t>.</w:t>
      </w:r>
      <w:r w:rsidRPr="0015650E">
        <w:t xml:space="preserve"> </w:t>
      </w:r>
      <w:r>
        <w:t>S</w:t>
      </w:r>
      <w:r w:rsidRPr="0015650E">
        <w:t>1</w:t>
      </w:r>
      <w:r>
        <w:t xml:space="preserve"> </w:t>
      </w:r>
      <w:r w:rsidRPr="00A974D0">
        <w:rPr>
          <w:b w:val="0"/>
          <w:bCs/>
        </w:rPr>
        <w:t>The process flow chart of pine residue production.</w:t>
      </w:r>
    </w:p>
    <w:p w14:paraId="7ED8FEE5" w14:textId="77777777" w:rsidR="00CD5E67" w:rsidRDefault="00CD5E67" w:rsidP="00BA4FB9">
      <w:pPr>
        <w:spacing w:after="0" w:line="480" w:lineRule="auto"/>
        <w:rPr>
          <w:rFonts w:ascii="Times New Roman" w:hAnsi="Times New Roman" w:cs="Times New Roman"/>
          <w:sz w:val="24"/>
          <w:szCs w:val="24"/>
        </w:rPr>
      </w:pPr>
    </w:p>
    <w:p w14:paraId="65B7875B" w14:textId="5A3184C5" w:rsidR="00A974D0" w:rsidRDefault="00A974D0" w:rsidP="00B048FC">
      <w:pPr>
        <w:spacing w:after="0" w:line="480" w:lineRule="auto"/>
        <w:ind w:firstLine="180"/>
        <w:jc w:val="both"/>
        <w:rPr>
          <w:rFonts w:ascii="Times New Roman" w:hAnsi="Times New Roman" w:cs="Times New Roman"/>
          <w:sz w:val="24"/>
          <w:szCs w:val="24"/>
        </w:rPr>
      </w:pPr>
      <w:r w:rsidRPr="00A974D0">
        <w:rPr>
          <w:rFonts w:ascii="Times New Roman" w:hAnsi="Times New Roman" w:cs="Times New Roman"/>
          <w:sz w:val="24"/>
          <w:szCs w:val="24"/>
        </w:rPr>
        <w:t>Fig</w:t>
      </w:r>
      <w:r w:rsidR="00B35FB3">
        <w:rPr>
          <w:rFonts w:ascii="Times New Roman" w:hAnsi="Times New Roman" w:cs="Times New Roman"/>
          <w:sz w:val="24"/>
          <w:szCs w:val="24"/>
        </w:rPr>
        <w:t>.</w:t>
      </w:r>
      <w:r w:rsidRPr="00A974D0">
        <w:rPr>
          <w:rFonts w:ascii="Times New Roman" w:hAnsi="Times New Roman" w:cs="Times New Roman"/>
          <w:sz w:val="24"/>
          <w:szCs w:val="24"/>
        </w:rPr>
        <w:t xml:space="preserve"> S2 shows the timeline of </w:t>
      </w:r>
      <w:r w:rsidR="00187495">
        <w:rPr>
          <w:rFonts w:ascii="Times New Roman" w:hAnsi="Times New Roman" w:cs="Times New Roman"/>
          <w:sz w:val="24"/>
          <w:szCs w:val="24"/>
        </w:rPr>
        <w:t xml:space="preserve">the forest operations included in </w:t>
      </w:r>
      <w:r w:rsidR="005D0343">
        <w:rPr>
          <w:rFonts w:ascii="Times New Roman" w:hAnsi="Times New Roman" w:cs="Times New Roman"/>
          <w:sz w:val="24"/>
          <w:szCs w:val="24"/>
        </w:rPr>
        <w:t xml:space="preserve">Growth Case </w:t>
      </w:r>
      <w:r w:rsidR="00E55D9F">
        <w:rPr>
          <w:rFonts w:ascii="Times New Roman" w:hAnsi="Times New Roman" w:cs="Times New Roman"/>
          <w:sz w:val="24"/>
          <w:szCs w:val="24"/>
        </w:rPr>
        <w:t>1 and 2; Fig</w:t>
      </w:r>
      <w:r w:rsidR="00B35FB3">
        <w:rPr>
          <w:rFonts w:ascii="Times New Roman" w:hAnsi="Times New Roman" w:cs="Times New Roman"/>
          <w:sz w:val="24"/>
          <w:szCs w:val="24"/>
        </w:rPr>
        <w:t>.</w:t>
      </w:r>
      <w:r w:rsidR="00E55D9F">
        <w:rPr>
          <w:rFonts w:ascii="Times New Roman" w:hAnsi="Times New Roman" w:cs="Times New Roman"/>
          <w:sz w:val="24"/>
          <w:szCs w:val="24"/>
        </w:rPr>
        <w:t xml:space="preserve"> S3 shows the timeline of </w:t>
      </w:r>
      <w:r w:rsidR="005D0343">
        <w:rPr>
          <w:rFonts w:ascii="Times New Roman" w:hAnsi="Times New Roman" w:cs="Times New Roman"/>
          <w:sz w:val="24"/>
          <w:szCs w:val="24"/>
        </w:rPr>
        <w:t xml:space="preserve">Growth Case </w:t>
      </w:r>
      <w:r w:rsidR="00E55D9F">
        <w:rPr>
          <w:rFonts w:ascii="Times New Roman" w:hAnsi="Times New Roman" w:cs="Times New Roman"/>
          <w:sz w:val="24"/>
          <w:szCs w:val="24"/>
        </w:rPr>
        <w:t>3</w:t>
      </w:r>
      <w:r w:rsidRPr="00A974D0">
        <w:rPr>
          <w:rFonts w:ascii="Times New Roman" w:hAnsi="Times New Roman" w:cs="Times New Roman"/>
          <w:sz w:val="24"/>
          <w:szCs w:val="24"/>
        </w:rPr>
        <w:t>.</w:t>
      </w:r>
      <w:r w:rsidR="00E55D9F">
        <w:rPr>
          <w:rFonts w:ascii="Times New Roman" w:hAnsi="Times New Roman" w:cs="Times New Roman"/>
          <w:sz w:val="24"/>
          <w:szCs w:val="24"/>
        </w:rPr>
        <w:t xml:space="preserve"> The different end-of-life cases in each scenario will decide the detailed operations. </w:t>
      </w:r>
    </w:p>
    <w:p w14:paraId="4CD0AB1D" w14:textId="0ABAD31E" w:rsidR="00D20802" w:rsidRDefault="0029644D" w:rsidP="00BA4FB9">
      <w:pPr>
        <w:spacing w:after="0" w:line="240" w:lineRule="auto"/>
        <w:rPr>
          <w:rFonts w:ascii="Times New Roman" w:hAnsi="Times New Roman" w:cs="Times New Roman"/>
          <w:sz w:val="28"/>
          <w:szCs w:val="28"/>
        </w:rPr>
      </w:pPr>
      <w:r>
        <w:rPr>
          <w:noProof/>
        </w:rPr>
        <w:drawing>
          <wp:inline distT="0" distB="0" distL="0" distR="0" wp14:anchorId="3C41D5B4" wp14:editId="6D5226D1">
            <wp:extent cx="5233916" cy="131463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48326" cy="1318249"/>
                    </a:xfrm>
                    <a:prstGeom prst="rect">
                      <a:avLst/>
                    </a:prstGeom>
                  </pic:spPr>
                </pic:pic>
              </a:graphicData>
            </a:graphic>
          </wp:inline>
        </w:drawing>
      </w:r>
    </w:p>
    <w:p w14:paraId="7C415771" w14:textId="4947BA29" w:rsidR="00D20802" w:rsidRDefault="00E30789" w:rsidP="00BA4FB9">
      <w:pPr>
        <w:spacing w:after="0" w:line="240" w:lineRule="auto"/>
        <w:rPr>
          <w:rFonts w:ascii="Times New Roman" w:hAnsi="Times New Roman" w:cs="Times New Roman"/>
          <w:sz w:val="24"/>
          <w:szCs w:val="24"/>
        </w:rPr>
      </w:pPr>
      <w:r w:rsidRPr="00E30789">
        <w:rPr>
          <w:rFonts w:ascii="Times New Roman" w:hAnsi="Times New Roman" w:cs="Times New Roman"/>
          <w:b/>
          <w:bCs/>
          <w:sz w:val="24"/>
          <w:szCs w:val="24"/>
        </w:rPr>
        <w:t>Fig</w:t>
      </w:r>
      <w:r w:rsidR="00B35FB3">
        <w:rPr>
          <w:rFonts w:ascii="Times New Roman" w:hAnsi="Times New Roman" w:cs="Times New Roman"/>
          <w:b/>
          <w:bCs/>
          <w:sz w:val="24"/>
          <w:szCs w:val="24"/>
        </w:rPr>
        <w:t>.</w:t>
      </w:r>
      <w:r w:rsidRPr="00E30789">
        <w:rPr>
          <w:rFonts w:ascii="Times New Roman" w:hAnsi="Times New Roman" w:cs="Times New Roman"/>
          <w:b/>
          <w:bCs/>
          <w:sz w:val="24"/>
          <w:szCs w:val="24"/>
        </w:rPr>
        <w:t xml:space="preserve"> S2</w:t>
      </w:r>
      <w:r>
        <w:rPr>
          <w:rFonts w:ascii="Times New Roman" w:hAnsi="Times New Roman" w:cs="Times New Roman"/>
          <w:sz w:val="24"/>
          <w:szCs w:val="24"/>
        </w:rPr>
        <w:t xml:space="preserve"> The timeline of </w:t>
      </w:r>
      <w:r w:rsidR="004D158C">
        <w:rPr>
          <w:rFonts w:ascii="Times New Roman" w:hAnsi="Times New Roman" w:cs="Times New Roman"/>
          <w:sz w:val="24"/>
          <w:szCs w:val="24"/>
        </w:rPr>
        <w:t>Growth Case</w:t>
      </w:r>
      <w:r w:rsidR="00905AFF">
        <w:rPr>
          <w:rFonts w:ascii="Times New Roman" w:hAnsi="Times New Roman" w:cs="Times New Roman"/>
          <w:sz w:val="24"/>
          <w:szCs w:val="24"/>
        </w:rPr>
        <w:t xml:space="preserve"> 1 and</w:t>
      </w:r>
      <w:r w:rsidR="004D158C">
        <w:rPr>
          <w:rFonts w:ascii="Times New Roman" w:hAnsi="Times New Roman" w:cs="Times New Roman"/>
          <w:sz w:val="24"/>
          <w:szCs w:val="24"/>
        </w:rPr>
        <w:t xml:space="preserve"> </w:t>
      </w:r>
      <w:r w:rsidR="00905AFF">
        <w:rPr>
          <w:rFonts w:ascii="Times New Roman" w:hAnsi="Times New Roman" w:cs="Times New Roman"/>
          <w:sz w:val="24"/>
          <w:szCs w:val="24"/>
        </w:rPr>
        <w:t>2</w:t>
      </w:r>
      <w:r w:rsidR="00D6409C">
        <w:rPr>
          <w:rFonts w:ascii="Times New Roman" w:hAnsi="Times New Roman" w:cs="Times New Roman"/>
          <w:sz w:val="24"/>
          <w:szCs w:val="24"/>
        </w:rPr>
        <w:t xml:space="preserve"> in one rotation</w:t>
      </w:r>
      <w:r>
        <w:rPr>
          <w:rFonts w:ascii="Times New Roman" w:hAnsi="Times New Roman" w:cs="Times New Roman"/>
          <w:sz w:val="24"/>
          <w:szCs w:val="24"/>
        </w:rPr>
        <w:t>.</w:t>
      </w:r>
    </w:p>
    <w:p w14:paraId="71C47712" w14:textId="77777777" w:rsidR="00480510" w:rsidRPr="00E30789" w:rsidRDefault="00480510" w:rsidP="00BA4FB9">
      <w:pPr>
        <w:spacing w:after="0" w:line="240" w:lineRule="auto"/>
        <w:rPr>
          <w:rFonts w:ascii="Times New Roman" w:hAnsi="Times New Roman" w:cs="Times New Roman"/>
          <w:sz w:val="24"/>
          <w:szCs w:val="24"/>
        </w:rPr>
      </w:pPr>
    </w:p>
    <w:p w14:paraId="1918D278" w14:textId="4CBE22C8" w:rsidR="00D20802" w:rsidRDefault="00D6409C" w:rsidP="00BA4FB9">
      <w:pPr>
        <w:spacing w:after="0" w:line="240" w:lineRule="auto"/>
        <w:rPr>
          <w:rFonts w:ascii="Times New Roman" w:hAnsi="Times New Roman" w:cs="Times New Roman"/>
          <w:sz w:val="28"/>
          <w:szCs w:val="28"/>
        </w:rPr>
      </w:pPr>
      <w:r>
        <w:rPr>
          <w:noProof/>
        </w:rPr>
        <w:lastRenderedPageBreak/>
        <w:drawing>
          <wp:inline distT="0" distB="0" distL="0" distR="0" wp14:anchorId="354929A6" wp14:editId="02F702A2">
            <wp:extent cx="5308979" cy="1330081"/>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29206" cy="1335148"/>
                    </a:xfrm>
                    <a:prstGeom prst="rect">
                      <a:avLst/>
                    </a:prstGeom>
                  </pic:spPr>
                </pic:pic>
              </a:graphicData>
            </a:graphic>
          </wp:inline>
        </w:drawing>
      </w:r>
    </w:p>
    <w:p w14:paraId="684F12D8" w14:textId="257C8846" w:rsidR="00E30789" w:rsidRPr="00E30789" w:rsidRDefault="00E30789" w:rsidP="00BA4FB9">
      <w:pPr>
        <w:spacing w:after="0" w:line="240" w:lineRule="auto"/>
        <w:rPr>
          <w:rFonts w:ascii="Times New Roman" w:hAnsi="Times New Roman" w:cs="Times New Roman"/>
          <w:sz w:val="24"/>
          <w:szCs w:val="24"/>
        </w:rPr>
      </w:pPr>
      <w:r w:rsidRPr="00E30789">
        <w:rPr>
          <w:rFonts w:ascii="Times New Roman" w:hAnsi="Times New Roman" w:cs="Times New Roman"/>
          <w:b/>
          <w:bCs/>
          <w:sz w:val="24"/>
          <w:szCs w:val="24"/>
        </w:rPr>
        <w:t>Fig</w:t>
      </w:r>
      <w:r w:rsidR="00B35FB3">
        <w:rPr>
          <w:rFonts w:ascii="Times New Roman" w:hAnsi="Times New Roman" w:cs="Times New Roman"/>
          <w:b/>
          <w:bCs/>
          <w:sz w:val="24"/>
          <w:szCs w:val="24"/>
        </w:rPr>
        <w:t>.</w:t>
      </w:r>
      <w:r w:rsidRPr="00E30789">
        <w:rPr>
          <w:rFonts w:ascii="Times New Roman" w:hAnsi="Times New Roman" w:cs="Times New Roman"/>
          <w:b/>
          <w:bCs/>
          <w:sz w:val="24"/>
          <w:szCs w:val="24"/>
        </w:rPr>
        <w:t xml:space="preserve"> S</w:t>
      </w:r>
      <w:r>
        <w:rPr>
          <w:rFonts w:ascii="Times New Roman" w:hAnsi="Times New Roman" w:cs="Times New Roman"/>
          <w:b/>
          <w:bCs/>
          <w:sz w:val="24"/>
          <w:szCs w:val="24"/>
        </w:rPr>
        <w:t>3</w:t>
      </w:r>
      <w:r>
        <w:rPr>
          <w:rFonts w:ascii="Times New Roman" w:hAnsi="Times New Roman" w:cs="Times New Roman"/>
          <w:sz w:val="24"/>
          <w:szCs w:val="24"/>
        </w:rPr>
        <w:t xml:space="preserve"> The timeline of </w:t>
      </w:r>
      <w:r w:rsidR="00E17BCD">
        <w:rPr>
          <w:rFonts w:ascii="Times New Roman" w:hAnsi="Times New Roman" w:cs="Times New Roman"/>
          <w:sz w:val="24"/>
          <w:szCs w:val="24"/>
        </w:rPr>
        <w:t>Growth Case</w:t>
      </w:r>
      <w:r>
        <w:rPr>
          <w:rFonts w:ascii="Times New Roman" w:hAnsi="Times New Roman" w:cs="Times New Roman"/>
          <w:sz w:val="24"/>
          <w:szCs w:val="24"/>
        </w:rPr>
        <w:t xml:space="preserve"> 3</w:t>
      </w:r>
      <w:r w:rsidR="00D6409C">
        <w:rPr>
          <w:rFonts w:ascii="Times New Roman" w:hAnsi="Times New Roman" w:cs="Times New Roman"/>
          <w:sz w:val="24"/>
          <w:szCs w:val="24"/>
        </w:rPr>
        <w:t xml:space="preserve"> in one rotation</w:t>
      </w:r>
      <w:r w:rsidR="00905AFF">
        <w:rPr>
          <w:rFonts w:ascii="Times New Roman" w:hAnsi="Times New Roman" w:cs="Times New Roman"/>
          <w:sz w:val="24"/>
          <w:szCs w:val="24"/>
        </w:rPr>
        <w:t>.</w:t>
      </w:r>
    </w:p>
    <w:p w14:paraId="3AF7D273" w14:textId="77777777" w:rsidR="00B23F3B" w:rsidRPr="009B1E68" w:rsidRDefault="00B23F3B" w:rsidP="00BA4FB9">
      <w:pPr>
        <w:spacing w:after="0" w:line="480" w:lineRule="auto"/>
        <w:rPr>
          <w:rFonts w:ascii="Times New Roman" w:hAnsi="Times New Roman" w:cs="Times New Roman"/>
          <w:sz w:val="24"/>
          <w:szCs w:val="24"/>
        </w:rPr>
      </w:pPr>
    </w:p>
    <w:p w14:paraId="5EA28CFD" w14:textId="449138A9" w:rsidR="00B7544E" w:rsidRDefault="009B1E68" w:rsidP="00B048FC">
      <w:pPr>
        <w:pStyle w:val="Heading2"/>
        <w:spacing w:before="0" w:line="480" w:lineRule="auto"/>
      </w:pPr>
      <w:bookmarkStart w:id="6" w:name="_Toc18954408"/>
      <w:bookmarkStart w:id="7" w:name="_Toc62294833"/>
      <w:r w:rsidRPr="00DE34FD">
        <w:rPr>
          <w:rFonts w:ascii="Times New Roman" w:hAnsi="Times New Roman"/>
          <w:b/>
          <w:bCs/>
          <w:color w:val="auto"/>
          <w:sz w:val="24"/>
          <w:szCs w:val="24"/>
        </w:rPr>
        <w:t xml:space="preserve">1.2 Pine </w:t>
      </w:r>
      <w:r w:rsidR="00F70B6D">
        <w:rPr>
          <w:rFonts w:ascii="Times New Roman" w:hAnsi="Times New Roman"/>
          <w:b/>
          <w:bCs/>
          <w:color w:val="auto"/>
          <w:sz w:val="24"/>
          <w:szCs w:val="24"/>
        </w:rPr>
        <w:t>g</w:t>
      </w:r>
      <w:r w:rsidRPr="00DE34FD">
        <w:rPr>
          <w:rFonts w:ascii="Times New Roman" w:hAnsi="Times New Roman"/>
          <w:b/>
          <w:bCs/>
          <w:color w:val="auto"/>
          <w:sz w:val="24"/>
          <w:szCs w:val="24"/>
        </w:rPr>
        <w:t>rowth</w:t>
      </w:r>
      <w:r w:rsidR="00482C94">
        <w:rPr>
          <w:rFonts w:ascii="Times New Roman" w:hAnsi="Times New Roman"/>
          <w:b/>
          <w:bCs/>
          <w:color w:val="auto"/>
          <w:sz w:val="24"/>
          <w:szCs w:val="24"/>
        </w:rPr>
        <w:t xml:space="preserve"> and</w:t>
      </w:r>
      <w:r w:rsidRPr="00DE34FD">
        <w:rPr>
          <w:rFonts w:ascii="Times New Roman" w:hAnsi="Times New Roman"/>
          <w:b/>
          <w:bCs/>
          <w:color w:val="auto"/>
          <w:sz w:val="24"/>
          <w:szCs w:val="24"/>
        </w:rPr>
        <w:t xml:space="preserve"> </w:t>
      </w:r>
      <w:r w:rsidR="00F70B6D">
        <w:rPr>
          <w:rFonts w:ascii="Times New Roman" w:hAnsi="Times New Roman"/>
          <w:b/>
          <w:bCs/>
          <w:color w:val="auto"/>
          <w:sz w:val="24"/>
          <w:szCs w:val="24"/>
        </w:rPr>
        <w:t>y</w:t>
      </w:r>
      <w:r w:rsidRPr="00DE34FD">
        <w:rPr>
          <w:rFonts w:ascii="Times New Roman" w:hAnsi="Times New Roman"/>
          <w:b/>
          <w:bCs/>
          <w:color w:val="auto"/>
          <w:sz w:val="24"/>
          <w:szCs w:val="24"/>
        </w:rPr>
        <w:t>ield</w:t>
      </w:r>
      <w:bookmarkEnd w:id="6"/>
      <w:bookmarkEnd w:id="7"/>
    </w:p>
    <w:p w14:paraId="1D07B21C" w14:textId="29B76D72" w:rsidR="001732E2" w:rsidRDefault="001732E2" w:rsidP="00B048FC">
      <w:pPr>
        <w:spacing w:after="0" w:line="480" w:lineRule="auto"/>
        <w:jc w:val="both"/>
        <w:rPr>
          <w:rFonts w:ascii="Times New Roman" w:hAnsi="Times New Roman" w:cs="Times New Roman"/>
          <w:sz w:val="24"/>
          <w:szCs w:val="24"/>
        </w:rPr>
      </w:pPr>
      <w:r w:rsidRPr="003524CA">
        <w:rPr>
          <w:rFonts w:ascii="Times New Roman" w:hAnsi="Times New Roman" w:cs="Times New Roman"/>
          <w:sz w:val="24"/>
          <w:szCs w:val="24"/>
        </w:rPr>
        <w:t xml:space="preserve">The </w:t>
      </w:r>
      <w:r>
        <w:rPr>
          <w:rFonts w:ascii="Times New Roman" w:hAnsi="Times New Roman" w:cs="Times New Roman"/>
          <w:sz w:val="24"/>
          <w:szCs w:val="24"/>
        </w:rPr>
        <w:t xml:space="preserve">FASTLOB </w:t>
      </w:r>
      <w:r w:rsidRPr="003524CA">
        <w:rPr>
          <w:rFonts w:ascii="Times New Roman" w:hAnsi="Times New Roman" w:cs="Times New Roman"/>
          <w:sz w:val="24"/>
          <w:szCs w:val="24"/>
        </w:rPr>
        <w:t xml:space="preserve">model </w:t>
      </w:r>
      <w:r w:rsidR="005D74EA">
        <w:rPr>
          <w:rFonts w:ascii="Times New Roman" w:hAnsi="Times New Roman" w:cs="Times New Roman"/>
          <w:sz w:val="24"/>
          <w:szCs w:val="24"/>
        </w:rPr>
        <w:t xml:space="preserve">used in this study </w:t>
      </w:r>
      <w:r w:rsidRPr="003524CA">
        <w:rPr>
          <w:rFonts w:ascii="Times New Roman" w:hAnsi="Times New Roman" w:cs="Times New Roman"/>
          <w:sz w:val="24"/>
          <w:szCs w:val="24"/>
        </w:rPr>
        <w:t xml:space="preserve">has been widely utilized to project stand level characteristics of loblolly pine plantations across </w:t>
      </w:r>
      <w:r>
        <w:rPr>
          <w:rFonts w:ascii="Times New Roman" w:hAnsi="Times New Roman" w:cs="Times New Roman"/>
          <w:sz w:val="24"/>
          <w:szCs w:val="24"/>
        </w:rPr>
        <w:t>the southern U.S.</w:t>
      </w:r>
      <w:r w:rsidRPr="003524CA">
        <w:rPr>
          <w:rFonts w:ascii="Times New Roman" w:hAnsi="Times New Roman" w:cs="Times New Roman"/>
          <w:sz w:val="24"/>
          <w:szCs w:val="24"/>
        </w:rPr>
        <w:t xml:space="preserve">, which served </w:t>
      </w:r>
      <w:r w:rsidR="00BE01B0">
        <w:rPr>
          <w:rFonts w:ascii="Times New Roman" w:hAnsi="Times New Roman" w:cs="Times New Roman"/>
          <w:sz w:val="24"/>
          <w:szCs w:val="24"/>
        </w:rPr>
        <w:t xml:space="preserve">as </w:t>
      </w:r>
      <w:r w:rsidRPr="003524CA">
        <w:rPr>
          <w:rFonts w:ascii="Times New Roman" w:hAnsi="Times New Roman" w:cs="Times New Roman"/>
          <w:sz w:val="24"/>
          <w:szCs w:val="24"/>
        </w:rPr>
        <w:t>the basis for further analyses to help answer numerous forest management and policy questions</w:t>
      </w:r>
      <w:r w:rsidR="00FE1557">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7936A9">
        <w:rPr>
          <w:rFonts w:ascii="Times New Roman" w:hAnsi="Times New Roman" w:cs="Times New Roman"/>
          <w:sz w:val="24"/>
          <w:szCs w:val="24"/>
        </w:rPr>
        <w:instrText>ADDIN CSL_CITATION {"citationItems":[{"id":"ITEM-1","itemData":{"DOI":"10.3390/resources6010004","ISSN":"20799276","abstract":"© 2016 by the authors. Management of family forests in the United States has been long-influenced by public policies and programs that encourage active management on these private lands, especially afforestation of idle lands and reforestation of cut-over lands. Financial incentive programs to encourage family forest reforestation date back to the 1940s, and in the beginning were funded by the federal government. Beginning in the early 1970s, state governments, especially those with strong forestry-based economies, saw a need to offer their own incentives, primarily cost-share programs to increase forest productivity. These programs are considered to be successful, but little research addresses the value and increased timber supply that result from the state investment. Here, we use historical data from the South Carolina Forest Renewal Program (FRP), one of the oldest and well-established state forestry cost-share programs, to determine the incremental timber outputs generated. Marginal analysis was used to produce financial comparison between regeneration options that include cost-share and those that do not. Annual funding for the FRP is currently $1,000,000 and in the long-run five dollars of economic impact is created for each dollar invested, and over a half million tons of additional wood is added to the annual timber supply.","author":[{"dropping-particle":"","family":"Stoots","given":"Brandon G.","non-dropping-particle":"","parse-names":false,"suffix":""},{"dropping-particle":"","family":"Straka","given":"Thomas J.","non-dropping-particle":"","parse-names":false,"suffix":""},{"dropping-particle":"","family":"Phillips","given":"Scott L.","non-dropping-particle":"","parse-names":false,"suffix":""}],"container-title":"Resources","id":"ITEM-1","issue":"1","issued":{"date-parts":[["2017"]]},"title":"State-level forestry cost-share programs and economic impact of increased timber outputs: A South Carolina case study","type":"article-journal","volume":"6"},"uris":["http://www.mendeley.com/documents/?uuid=f6e61e3e-4857-470e-bdba-47c2659fa3f5"]},{"id":"ITEM-2","itemData":{"DOI":"10.1016/j.biombioe.2015.08.012","ISSN":"18732909","abstract":"Expansion of ethanol production has led to regional-scale cultivation of cellulosic biofuel crops, such as switchgrass (Panicum virgatum L.), on agriculturally marginal lands. A range of forest-based solutions are also being evaluated, especially in the southeastern U.S. However, there may be unanticipated environmental consequences, including changes in water export when managing forests to accommodate biofuel demands at a regional scale. We used the Soil Water Assessment Tool (SWAT) to simulate effects of regional-scale conversion of loblolly pine (Pinus taeda L.) plantations to switchgrass biofuel production on stream flow in the ~5 million ha Tombigbee River Watershed in the southeastern U.S. Greater than 50% of the Tombigbee Watershed is forested, with 20% of the watershed supporting primarily loblolly pine forests. We modified the SWAT model by adding five age classes of loblolly pine trees, to more accurately represent existing forested systems. We found that maximum conversion of lobloll</w:instrText>
      </w:r>
      <w:r w:rsidR="007936A9">
        <w:rPr>
          <w:rFonts w:ascii="Times New Roman" w:hAnsi="Times New Roman" w:cs="Times New Roman" w:hint="eastAsia"/>
          <w:sz w:val="24"/>
          <w:szCs w:val="24"/>
        </w:rPr>
        <w:instrText>y pine to switchgrass, affecting 7% of the watershed, represented an extreme land-use change and resulted in a 4% increase in annual stream flow. The more operationally and economically feasible option of converting young (</w:instrText>
      </w:r>
      <w:r w:rsidR="007936A9">
        <w:rPr>
          <w:rFonts w:ascii="Times New Roman" w:hAnsi="Times New Roman" w:cs="Times New Roman" w:hint="eastAsia"/>
          <w:sz w:val="24"/>
          <w:szCs w:val="24"/>
        </w:rPr>
        <w:instrText>≤</w:instrText>
      </w:r>
      <w:r w:rsidR="007936A9">
        <w:rPr>
          <w:rFonts w:ascii="Times New Roman" w:hAnsi="Times New Roman" w:cs="Times New Roman" w:hint="eastAsia"/>
          <w:sz w:val="24"/>
          <w:szCs w:val="24"/>
        </w:rPr>
        <w:instrText>4 yrs) and old (</w:instrText>
      </w:r>
      <w:r w:rsidR="007936A9">
        <w:rPr>
          <w:rFonts w:ascii="Times New Roman" w:hAnsi="Times New Roman" w:cs="Times New Roman" w:hint="eastAsia"/>
          <w:sz w:val="24"/>
          <w:szCs w:val="24"/>
        </w:rPr>
        <w:instrText>≥</w:instrText>
      </w:r>
      <w:r w:rsidR="007936A9">
        <w:rPr>
          <w:rFonts w:ascii="Times New Roman" w:hAnsi="Times New Roman" w:cs="Times New Roman" w:hint="eastAsia"/>
          <w:sz w:val="24"/>
          <w:szCs w:val="24"/>
        </w:rPr>
        <w:instrText>16 yrs) loblol</w:instrText>
      </w:r>
      <w:r w:rsidR="007936A9">
        <w:rPr>
          <w:rFonts w:ascii="Times New Roman" w:hAnsi="Times New Roman" w:cs="Times New Roman"/>
          <w:sz w:val="24"/>
          <w:szCs w:val="24"/>
        </w:rPr>
        <w:instrText>ly pine stands to switchgrass on &lt;8% slope (2% of the watershed) resulted in a 2% increase in stream flow. Changes in annual stream flow were driven primarily by alterations in evapotranspiration (ET). Seasonal changes in stream flow were attributed to complex interactions among water-balance components of ET, surface flow, and groundwater flow.","author":[{"dropping-particle":"","family":"Christopher","given":"Sheila F.","non-dropping-particle":"","parse-names":false,"suffix":""},{"dropping-particle":"","family":"Schoenholtz","given":"Stephen H.","non-dropping-particle":"","parse-names":false,"suffix":""},{"dropping-particle":"","family":"Nettles","given":"Jami E.","non-dropping-particle":"","parse-names":false,"suffix":""}],"container-title":"Biomass and Bioenergy","id":"ITEM-2","issued":{"date-parts":[["2015"]]},"page":"50-59","publisher":"Elsevier Ltd","title":"Water quantity implications of regional-scale switchgrass production in the southeastern U.S.","type":"article-journal","volume":"83"},"uris":["http://www.mendeley.com/documents/?uuid=74214fd2-573a-467c-92de-02c8eec9a8a6"]},{"id":"ITEM-3","itemData":{"DOI":"10.3390/f6093045","ISSN":"19994907","abstract":"Sequestering carbon in forest stands and using woody bioenergy are two potential ways to utilize forests in mitigating emissions of greenhouse gases (GHGs). Such forestry related strategies are, however, greatly influenced by carbon and bioenergy markets. This study investigates the impact of both carbon and woody bioenergy markets on land expectation value (LEV) and rotation age of loblolly pine (Pinus taeda L.) forests in the southeastern United States for two scenarios—one with thinning and no fertilization and the other with thinning and fertilization. Economic analysis was conducted using a modified Hartman model. The amount of carbon dioxide (CO2) emitted during various activities such as management of stands, harvesting, and product decay was included in the model. Sensitivity analysis was conducted with a range of carbon offset, wood for bioenergy, and forest product prices. The results showed that LEV increased in both management scenarios as the price of carbon and wood for bioenergy increased. However, the results indicated that the management scenario without fertilizer was optimal at low carbon prices and the management scenario with fertilizer was optimal at higher carbon prices for medium and low forest product prices. Carbon payments had a greater impact on LEV than prices for wood utilized for bioenergy. Also, increase in the carbon price increased the optimal rotation age, whereas, wood prices for bioenergy had little impact. The management scenario without fertilizer was found to have longer optimal rotation ages.","author":[{"dropping-particle":"","family":"Shrestha","given":"Prativa","non-dropping-particle":"","parse-names":false,"suffix":""},{"dropping-particle":"","family":"Stainback","given":"George Andrew","non-dropping-particle":"","parse-names":false,"suffix":""},{"dropping-particle":"","family":"Dwivedi","given":"Puneet","non-dropping-particle":"","parse-names":false,"suffix":""}],"container-title":"Forests","id":"ITEM-3","issue":"9","issued":{"date-parts":[["2015"]]},"page":"3045-3059","title":"Economic impact of net carbon payments and bioenergy production in fertilized and non-fertilized loblolly pine plantations","type":"article-journal","volume":"6"},"uris":["http://www.mendeley.com/documents/?uuid=02aab032-23b8-4a65-82c5-f7333fe2a19a"]},{"id":"ITEM-4","itemData":{"abstract":"Accounting for forest components in carbon accounting systems may be insufficient when substantial amounts of sequestered carbon are harvested and converted to wood products in use and in landfill. The potential of forest offset - in-woods aboveground carbon storage, carbon stored in harvested wood, and energy offset by burning harvested wood - from loblolly pine plantations was evaluated for greenhouse gas (GHG) mitigation over a half-century period. The in-woods carbon in wellmanaged loblolly pine plantations across the South totaled 341 million metric tons. This is equivalent to 20 percent of total energy-consumed GHG emission in the United States in 2006. Present-day carbon storage in southern pine plantations averaged 30.54 Mg.ha-1 (+or-2.54 percent) for in-woods carbon. Annual wood production was 62.1 and 45.9 million green metric tons from pulpwood and sawtimber yield, respectively, with roughly one-fourth of the green weight being carbon. The carbon storage in wood products increased steadily over the half-century projection and showed no sign of leveling off, while the storage in plantations was found to remain constant or increase slightly over time. An additional 11 million metric tons of harvested carbon was used for energy per year on average, equivalent to 25 percent of annual forest-products-industry renewable energy use in U.S.A. Intensified application of fertilizers and herbicide and genetic improvement showed the potential to increase total storage in in-wood and harvested carbon pools as much as 30 percent, and energy offset up to 40 percent. Reducing management intensity greatly increased in-woods carbon storage potential, but eliminated the wood-products carbon sink.","author":[{"dropping-particle":"","family":"Wang","given":"H J","non-dropping-particle":"","parse-names":false,"suffix":""},{"dropping-particle":"","family":"Radtke","given":"P J","non-dropping-particle":"","parse-names":false,"suffix":""},{"dropping-particle":"","family":"Prisley","given":"S P","non-dropping-particle":"","parse-names":false,"suffix":""}],"container-title":"McWilliams, Will; Roesch, Francis A. eds. 2012. Monitoring Across Borders: 2010 Joint Meeting of the Forest Inventory and Analysis (FIA) Symposium and the Southern Mensurationists. e-Gen. Tech. Rep. SRS-157","id":"ITEM-4","issued":{"date-parts":[["2012"]]},"page":"265-292","publisher":"US Department of Agriculture, Forest Service, Southern Research Station","publisher-place":"Asheville, NC","title":"Long-term simulations of forest management impacts on carbon storage from loblolly pine plantations in the Southern U.S","type":"paper-conference","volume":"157"},"uris":["http://www.mendeley.com/documents/?uuid=26c33f17-c2c0-470c-b53d-145283e204e7"]},{"id":"ITEM-5","itemData":{"DOI":"10.1093/jof/108.5.230","ISSN":"0022-1201","abstract":"Over the last 10 years, multiple-value, ecosystem-based approaches to management on public forestlands have become more prevalent. However, less attention has been paid to this concept in the private sector. Although it is recognized that nonindustrial private forest (NIPF) landowners own forestland for a diversity of reasons, information on management approaches that seek to more fully meet multiple objectives is needed, particularly for southern US pine forests. Alternatives to plantation management are available, but little information exists on the economic implications so that NIPF landowners can make informed decisions regarding implementation. This study develops a simple economic model as a heuristic tool to compare financial performance of extensive, multiple-value management approaches. The 50-year projection illustrates that, although not equal to more intensive management systems by some economic performance metrics, multiaged, selection-based alternatives can provide substantial net cash flow, maintain significant timber volume, and have comparable total value. © 2010 by the Society of American Foresters.","author":[{"dropping-particle":"","family":"Kevin McIntyre","given":"R.","non-dropping-particle":"","parse-names":false,"suffix":""},{"dropping-particle":"","family":"Jack","given":"Steven B.","non-dropping-particle":"","parse-names":false,"suffix":""},{"dropping-particle":"","family":"Mitchell","given":"Robert J.","non-dropping-particle":"","parse-names":false,"suffix":""},{"dropping-particle":"","family":"McCall","given":"Barrett B.","non-dropping-particle":"","parse-names":false,"suffix":""}],"container-title":"Journal of Forestry","id":"ITEM-5","issue":"5","issued":{"date-parts":[["2010"]]},"page":"230-237","title":"Financial feasibility of selection-based multiple-value management on private lands in the south: A heuristic case study approach","type":"article-journal","volume":"108"},"uris":["http://www.mendeley.com/documents/?uuid=3fa1024b-b473-410c-b914-10d6d2744354"]}],"mendeley":{"formattedCitation":"[1–5]","plainTextFormattedCitation":"[1–5]","previouslyFormattedCitation":"[1–5]"},"properties":{"noteIndex":0},"schema":"https://github.com/citation-style-language/schema/raw/master/csl-citation.json"}</w:instrText>
      </w:r>
      <w:r>
        <w:rPr>
          <w:rFonts w:ascii="Times New Roman" w:hAnsi="Times New Roman" w:cs="Times New Roman"/>
          <w:sz w:val="24"/>
          <w:szCs w:val="24"/>
        </w:rPr>
        <w:fldChar w:fldCharType="separate"/>
      </w:r>
      <w:r w:rsidR="00FE1557" w:rsidRPr="00FE1557">
        <w:rPr>
          <w:rFonts w:ascii="Times New Roman" w:hAnsi="Times New Roman" w:cs="Times New Roman"/>
          <w:noProof/>
          <w:sz w:val="24"/>
          <w:szCs w:val="24"/>
        </w:rPr>
        <w:t>[1–5]</w:t>
      </w:r>
      <w:r>
        <w:rPr>
          <w:rFonts w:ascii="Times New Roman" w:hAnsi="Times New Roman" w:cs="Times New Roman"/>
          <w:sz w:val="24"/>
          <w:szCs w:val="24"/>
        </w:rPr>
        <w:fldChar w:fldCharType="end"/>
      </w:r>
      <w:r w:rsidR="00FE1557">
        <w:rPr>
          <w:rFonts w:ascii="Times New Roman" w:hAnsi="Times New Roman" w:cs="Times New Roman"/>
          <w:sz w:val="24"/>
          <w:szCs w:val="24"/>
        </w:rPr>
        <w:t>.</w:t>
      </w:r>
      <w:r w:rsidRPr="003524CA">
        <w:rPr>
          <w:rFonts w:ascii="Times New Roman" w:hAnsi="Times New Roman" w:cs="Times New Roman"/>
          <w:sz w:val="24"/>
          <w:szCs w:val="24"/>
        </w:rPr>
        <w:t xml:space="preserve"> The detailed descriptions</w:t>
      </w:r>
      <w:r w:rsidR="00240F73">
        <w:rPr>
          <w:rFonts w:ascii="Times New Roman" w:hAnsi="Times New Roman" w:cs="Times New Roman"/>
          <w:sz w:val="24"/>
          <w:szCs w:val="24"/>
        </w:rPr>
        <w:t xml:space="preserve"> </w:t>
      </w:r>
      <w:r w:rsidRPr="003524CA">
        <w:rPr>
          <w:rFonts w:ascii="Times New Roman" w:hAnsi="Times New Roman" w:cs="Times New Roman"/>
          <w:sz w:val="24"/>
          <w:szCs w:val="24"/>
        </w:rPr>
        <w:t xml:space="preserve">of data sources and equations and parameters that FATLOB uses in projecting </w:t>
      </w:r>
      <w:r w:rsidR="00BE01B0" w:rsidRPr="003524CA">
        <w:rPr>
          <w:rFonts w:ascii="Times New Roman" w:hAnsi="Times New Roman" w:cs="Times New Roman"/>
          <w:sz w:val="24"/>
          <w:szCs w:val="24"/>
        </w:rPr>
        <w:t>stand</w:t>
      </w:r>
      <w:r w:rsidR="00BE01B0">
        <w:rPr>
          <w:rFonts w:ascii="Times New Roman" w:hAnsi="Times New Roman" w:cs="Times New Roman"/>
          <w:sz w:val="24"/>
          <w:szCs w:val="24"/>
        </w:rPr>
        <w:t>-</w:t>
      </w:r>
      <w:r w:rsidRPr="003524CA">
        <w:rPr>
          <w:rFonts w:ascii="Times New Roman" w:hAnsi="Times New Roman" w:cs="Times New Roman"/>
          <w:sz w:val="24"/>
          <w:szCs w:val="24"/>
        </w:rPr>
        <w:t>level dominant height, survival, basal area, and biomass volumes are summarized in</w:t>
      </w:r>
      <w:r>
        <w:rPr>
          <w:rFonts w:ascii="Times New Roman" w:hAnsi="Times New Roman" w:cs="Times New Roman"/>
          <w:sz w:val="24"/>
          <w:szCs w:val="24"/>
        </w:rPr>
        <w:t xml:space="preserve"> work by </w:t>
      </w:r>
      <w:r w:rsidRPr="003524CA">
        <w:rPr>
          <w:rFonts w:ascii="Times New Roman" w:hAnsi="Times New Roman" w:cs="Times New Roman"/>
          <w:sz w:val="24"/>
          <w:szCs w:val="24"/>
        </w:rPr>
        <w:t xml:space="preserve">Amateis </w:t>
      </w:r>
      <w:r w:rsidRPr="00B93617">
        <w:rPr>
          <w:rFonts w:ascii="Times New Roman" w:hAnsi="Times New Roman" w:cs="Times New Roman"/>
          <w:i/>
          <w:iCs/>
          <w:sz w:val="24"/>
          <w:szCs w:val="24"/>
        </w:rPr>
        <w:t>et al</w:t>
      </w:r>
      <w:r w:rsidRPr="003524CA">
        <w:rPr>
          <w:rFonts w:ascii="Times New Roman" w:hAnsi="Times New Roman" w:cs="Times New Roman"/>
          <w:sz w:val="24"/>
          <w:szCs w:val="24"/>
        </w:rPr>
        <w:t>.</w:t>
      </w:r>
      <w:r w:rsidR="00FE1557">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7936A9">
        <w:rPr>
          <w:rFonts w:ascii="Times New Roman" w:hAnsi="Times New Roman" w:cs="Times New Roman"/>
          <w:sz w:val="24"/>
          <w:szCs w:val="24"/>
        </w:rPr>
        <w:instrText>ADDIN CSL_CITATION {"citationItems":[{"id":"ITEM-1","itemData":{"abstract":"A stand-level growth and yield model for managed loblolly pine plantations was developed using data from permanent remeasurement plots throughout much of the natural range of the species. Stand-level projection equations for dominant height, survival and basal area form the nucleus of a thinned and unthinned baseline model. Functions for intermediate treatments of fertilization were developed from treatment plot data reflecting typical fertilized regimes. The response functions are sensitive to specific fertilization prescriptions as well as to stand and site conditions at time of treatment. They are used to modify or adjust the baseline models in order to reflect the effects of intermediate fertilizer treatments on stand development after treatment. An assumption is made that the effect on stand response of fertilization and thinning is additive so that multiple treatments can be simulated. Level of competing overstory hardwood basal area has been incorporated into the baseline models so the effect of this component of competing vegetation can be simulated if desired. Treatment scenarios can be evaluated with convenient","author":[{"dropping-particle":"","family":"Amateis","given":"Ralph L","non-dropping-particle":"","parse-names":false,"suffix":""},{"dropping-particle":"","family":"Burkhart","given":"Harold E","non-dropping-particle":"","parse-names":false,"suffix":""},{"dropping-particle":"","family":"Allen","given":"H Lee","non-dropping-particle":"","parse-names":false,"suffix":""},{"dropping-particle":"","family":"Montes","given":"Cristian","non-dropping-particle":"","parse-names":false,"suffix":""}],"id":"ITEM-1","issued":{"date-parts":[["2001"]]},"title":"FASTLOB (A Stand-Level Growth and Yield Model for Fertilized and Thinned Loblolly Pine Plantations)","type":"article-journal"},"uris":["http://www.mendeley.com/documents/?uuid=82e411cf-27c9-4212-ab0c-109aa8c4800c"]}],"mendeley":{"formattedCitation":"[6]","plainTextFormattedCitation":"[6]","previouslyFormattedCitation":"[6]"},"properties":{"noteIndex":0},"schema":"https://github.com/citation-style-language/schema/raw/master/csl-citation.json"}</w:instrText>
      </w:r>
      <w:r>
        <w:rPr>
          <w:rFonts w:ascii="Times New Roman" w:hAnsi="Times New Roman" w:cs="Times New Roman"/>
          <w:sz w:val="24"/>
          <w:szCs w:val="24"/>
        </w:rPr>
        <w:fldChar w:fldCharType="separate"/>
      </w:r>
      <w:r w:rsidR="00FE1557" w:rsidRPr="00FE1557">
        <w:rPr>
          <w:rFonts w:ascii="Times New Roman" w:hAnsi="Times New Roman" w:cs="Times New Roman"/>
          <w:noProof/>
          <w:sz w:val="24"/>
          <w:szCs w:val="24"/>
        </w:rPr>
        <w:t>[6]</w:t>
      </w:r>
      <w:r>
        <w:rPr>
          <w:rFonts w:ascii="Times New Roman" w:hAnsi="Times New Roman" w:cs="Times New Roman"/>
          <w:sz w:val="24"/>
          <w:szCs w:val="24"/>
        </w:rPr>
        <w:fldChar w:fldCharType="end"/>
      </w:r>
      <w:r w:rsidR="00FE1557">
        <w:rPr>
          <w:rFonts w:ascii="Times New Roman" w:hAnsi="Times New Roman" w:cs="Times New Roman"/>
          <w:sz w:val="24"/>
          <w:szCs w:val="24"/>
        </w:rPr>
        <w:t>.</w:t>
      </w:r>
      <w:r w:rsidRPr="003524CA">
        <w:rPr>
          <w:rFonts w:ascii="Times New Roman" w:hAnsi="Times New Roman" w:cs="Times New Roman"/>
          <w:sz w:val="24"/>
          <w:szCs w:val="24"/>
        </w:rPr>
        <w:t xml:space="preserve"> </w:t>
      </w:r>
    </w:p>
    <w:p w14:paraId="3B6511D6" w14:textId="7CEE7F7C" w:rsidR="00D77059" w:rsidRDefault="00007F79" w:rsidP="00B048FC">
      <w:pPr>
        <w:spacing w:after="0" w:line="480" w:lineRule="auto"/>
        <w:ind w:firstLine="180"/>
        <w:jc w:val="both"/>
        <w:rPr>
          <w:rFonts w:ascii="Times New Roman" w:hAnsi="Times New Roman" w:cs="Times New Roman"/>
          <w:sz w:val="24"/>
          <w:szCs w:val="24"/>
        </w:rPr>
      </w:pPr>
      <w:r w:rsidRPr="003524CA">
        <w:rPr>
          <w:rFonts w:ascii="Times New Roman" w:hAnsi="Times New Roman" w:cs="Times New Roman"/>
          <w:sz w:val="24"/>
          <w:szCs w:val="24"/>
        </w:rPr>
        <w:t xml:space="preserve">The number of trees to be planted varies by management objectives (e.g., desired products to be grown), site productivity, and thinning plan, which can vary from as low as </w:t>
      </w:r>
      <w:r>
        <w:rPr>
          <w:rFonts w:ascii="Times New Roman" w:hAnsi="Times New Roman" w:cs="Times New Roman"/>
          <w:sz w:val="24"/>
          <w:szCs w:val="24"/>
        </w:rPr>
        <w:t>741</w:t>
      </w:r>
      <w:r w:rsidRPr="003524CA">
        <w:rPr>
          <w:rFonts w:ascii="Times New Roman" w:hAnsi="Times New Roman" w:cs="Times New Roman"/>
          <w:sz w:val="24"/>
          <w:szCs w:val="24"/>
        </w:rPr>
        <w:t xml:space="preserve"> trees per </w:t>
      </w:r>
      <w:r>
        <w:rPr>
          <w:rFonts w:ascii="Times New Roman" w:hAnsi="Times New Roman" w:cs="Times New Roman"/>
          <w:sz w:val="24"/>
          <w:szCs w:val="24"/>
        </w:rPr>
        <w:t>ha</w:t>
      </w:r>
      <w:r w:rsidRPr="003524CA">
        <w:rPr>
          <w:rFonts w:ascii="Times New Roman" w:hAnsi="Times New Roman" w:cs="Times New Roman"/>
          <w:sz w:val="24"/>
          <w:szCs w:val="24"/>
        </w:rPr>
        <w:t xml:space="preserve"> to up to </w:t>
      </w:r>
      <w:r>
        <w:rPr>
          <w:rFonts w:ascii="Times New Roman" w:hAnsi="Times New Roman" w:cs="Times New Roman"/>
          <w:sz w:val="24"/>
          <w:szCs w:val="24"/>
        </w:rPr>
        <w:t>2,965</w:t>
      </w:r>
      <w:r w:rsidRPr="003524CA">
        <w:rPr>
          <w:rFonts w:ascii="Times New Roman" w:hAnsi="Times New Roman" w:cs="Times New Roman"/>
          <w:sz w:val="24"/>
          <w:szCs w:val="24"/>
        </w:rPr>
        <w:t xml:space="preserve"> trees per </w:t>
      </w:r>
      <w:r>
        <w:rPr>
          <w:rFonts w:ascii="Times New Roman" w:hAnsi="Times New Roman" w:cs="Times New Roman"/>
          <w:sz w:val="24"/>
          <w:szCs w:val="24"/>
        </w:rPr>
        <w:t>ha</w:t>
      </w:r>
      <w:r w:rsidR="001F0C54">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7936A9">
        <w:rPr>
          <w:rFonts w:ascii="Times New Roman" w:hAnsi="Times New Roman" w:cs="Times New Roman"/>
          <w:sz w:val="24"/>
          <w:szCs w:val="24"/>
        </w:rPr>
        <w:instrText>ADDIN CSL_CITATION {"citationItems":[{"id":"ITEM-1","itemData":{"author":[{"dropping-particle":"","family":"Nebeker","given":"T. E.","non-dropping-particle":"","parse-names":false,"suffix":""},{"dropping-particle":"","family":"Hodges","given":"J. D.","non-dropping-particle":"","parse-names":false,"suffix":""},{"dropping-particle":"","family":"Karr","given":"B. K.","non-dropping-particle":"","parse-names":false,"suffix":""},{"dropping-particle":"","family":"Moehring","given":"D. M.","non-dropping-particle":"","parse-names":false,"suffix":""}],"id":"ITEM-1","issued":{"date-parts":[["1985"]]},"title":"Thinning practices in southern pines-with pest management recommendations","type":"report"},"uris":["http://www.mendeley.com/documents/?uuid=5a87d5eb-ba2c-4d04-899e-fe9aa5c9942c"]}],"mendeley":{"formattedCitation":"[7]","plainTextFormattedCitation":"[7]","previouslyFormattedCitation":"[7]"},"properties":{"noteIndex":0},"schema":"https://github.com/citation-style-language/schema/raw/master/csl-citation.json"}</w:instrText>
      </w:r>
      <w:r>
        <w:rPr>
          <w:rFonts w:ascii="Times New Roman" w:hAnsi="Times New Roman" w:cs="Times New Roman"/>
          <w:sz w:val="24"/>
          <w:szCs w:val="24"/>
        </w:rPr>
        <w:fldChar w:fldCharType="separate"/>
      </w:r>
      <w:r w:rsidR="00FE1557" w:rsidRPr="00FE1557">
        <w:rPr>
          <w:rFonts w:ascii="Times New Roman" w:hAnsi="Times New Roman" w:cs="Times New Roman"/>
          <w:noProof/>
          <w:sz w:val="24"/>
          <w:szCs w:val="24"/>
        </w:rPr>
        <w:t>[7]</w:t>
      </w:r>
      <w:r>
        <w:rPr>
          <w:rFonts w:ascii="Times New Roman" w:hAnsi="Times New Roman" w:cs="Times New Roman"/>
          <w:sz w:val="24"/>
          <w:szCs w:val="24"/>
        </w:rPr>
        <w:fldChar w:fldCharType="end"/>
      </w:r>
      <w:r w:rsidR="001F0C54">
        <w:rPr>
          <w:rFonts w:ascii="Times New Roman" w:hAnsi="Times New Roman" w:cs="Times New Roman"/>
          <w:sz w:val="24"/>
          <w:szCs w:val="24"/>
        </w:rPr>
        <w:t>.</w:t>
      </w:r>
      <w:r w:rsidRPr="003524CA">
        <w:rPr>
          <w:rFonts w:ascii="Times New Roman" w:hAnsi="Times New Roman" w:cs="Times New Roman"/>
          <w:sz w:val="24"/>
          <w:szCs w:val="24"/>
        </w:rPr>
        <w:t xml:space="preserve"> Stand densities are shown to have a substantial effect on the diameter growth of individual trees and as a result, stands with lower planting densities are shown to produce more board foot volumes than stands with higher planting densities</w:t>
      </w:r>
      <w:r w:rsidR="001F0C54">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7936A9">
        <w:rPr>
          <w:rFonts w:ascii="Times New Roman" w:hAnsi="Times New Roman" w:cs="Times New Roman"/>
          <w:sz w:val="24"/>
          <w:szCs w:val="24"/>
        </w:rPr>
        <w:instrText>ADDIN CSL_CITATION {"citationItems":[{"id":"ITEM-1","itemData":{"author":[{"dropping-particle":"","family":"Dickens","given":"E.D.","non-dropping-particle":"","parse-names":false,"suffix":""},{"dropping-particle":"","family":"Moorhead","given":"D.J.","non-dropping-particle":"","parse-names":false,"suffix":""}],"container-title":"Gerorgia Forest Productivity Publication Series, Publication Number 0010","id":"ITEM-1","issued":{"date-parts":[["2015"]]},"publisher-place":"Athens, GA","title":"A guide to thinning pine plantations","type":"report"},"uris":["http://www.mendeley.com/documents/?uuid=dc4cd14a-bc6a-42d1-a940-190a4f566c14"]},{"id":"ITEM-2","itemData":{"author":[{"dropping-particle":"","family":"Nebeker","given":"T. E.","non-dropping-particle":"","parse-names":false,"suffix":""},{"dropping-particle":"","family":"Hodges","given":"J. D.","non-dropping-particle":"","parse-names":false,"suffix":""},{"dropping-particle":"","family":"Karr","given":"B. K.","non-dropping-particle":"","parse-names":false,"suffix":""},{"dropping-particle":"","family":"Moehring","given":"D. M.","non-dropping-particle":"","parse-names":false,"suffix":""}],"id":"ITEM-2","issued":{"date-parts":[["1985"]]},"title":"Thinning practices in southern pines-with pest management recommendations","type":"report"},"uris":["http://www.mendeley.com/documents/?uuid=5a87d5eb-ba2c-4d04-899e-fe9aa5c9942c"]}],"mendeley":{"formattedCitation":"[7,8]","plainTextFormattedCitation":"[7,8]","previouslyFormattedCitation":"[7,8]"},"properties":{"noteIndex":0},"schema":"https://github.com/citation-style-language/schema/raw/master/csl-citation.json"}</w:instrText>
      </w:r>
      <w:r>
        <w:rPr>
          <w:rFonts w:ascii="Times New Roman" w:hAnsi="Times New Roman" w:cs="Times New Roman"/>
          <w:sz w:val="24"/>
          <w:szCs w:val="24"/>
        </w:rPr>
        <w:fldChar w:fldCharType="separate"/>
      </w:r>
      <w:r w:rsidR="00FE1557" w:rsidRPr="00FE1557">
        <w:rPr>
          <w:rFonts w:ascii="Times New Roman" w:hAnsi="Times New Roman" w:cs="Times New Roman"/>
          <w:noProof/>
          <w:sz w:val="24"/>
          <w:szCs w:val="24"/>
        </w:rPr>
        <w:t>[7,8]</w:t>
      </w:r>
      <w:r>
        <w:rPr>
          <w:rFonts w:ascii="Times New Roman" w:hAnsi="Times New Roman" w:cs="Times New Roman"/>
          <w:sz w:val="24"/>
          <w:szCs w:val="24"/>
        </w:rPr>
        <w:fldChar w:fldCharType="end"/>
      </w:r>
      <w:r w:rsidR="001F0C54">
        <w:rPr>
          <w:rFonts w:ascii="Times New Roman" w:hAnsi="Times New Roman" w:cs="Times New Roman"/>
          <w:sz w:val="24"/>
          <w:szCs w:val="24"/>
        </w:rPr>
        <w:t>.</w:t>
      </w:r>
      <w:r w:rsidRPr="003524CA">
        <w:rPr>
          <w:rFonts w:ascii="Times New Roman" w:hAnsi="Times New Roman" w:cs="Times New Roman"/>
          <w:sz w:val="24"/>
          <w:szCs w:val="24"/>
        </w:rPr>
        <w:t xml:space="preserve"> A tree planting density of </w:t>
      </w:r>
      <w:r>
        <w:rPr>
          <w:rFonts w:ascii="Times New Roman" w:hAnsi="Times New Roman" w:cs="Times New Roman"/>
          <w:sz w:val="24"/>
          <w:szCs w:val="24"/>
        </w:rPr>
        <w:t>1</w:t>
      </w:r>
      <w:r w:rsidR="007B1757">
        <w:rPr>
          <w:rFonts w:ascii="Times New Roman" w:hAnsi="Times New Roman" w:cs="Times New Roman"/>
          <w:sz w:val="24"/>
          <w:szCs w:val="24"/>
        </w:rPr>
        <w:t>,</w:t>
      </w:r>
      <w:r>
        <w:rPr>
          <w:rFonts w:ascii="Times New Roman" w:hAnsi="Times New Roman" w:cs="Times New Roman"/>
          <w:sz w:val="24"/>
          <w:szCs w:val="24"/>
        </w:rPr>
        <w:t>480</w:t>
      </w:r>
      <w:r w:rsidRPr="003524CA">
        <w:rPr>
          <w:rFonts w:ascii="Times New Roman" w:hAnsi="Times New Roman" w:cs="Times New Roman"/>
          <w:sz w:val="24"/>
          <w:szCs w:val="24"/>
        </w:rPr>
        <w:t xml:space="preserve"> to </w:t>
      </w:r>
      <w:r>
        <w:rPr>
          <w:rFonts w:ascii="Times New Roman" w:hAnsi="Times New Roman" w:cs="Times New Roman"/>
          <w:sz w:val="24"/>
          <w:szCs w:val="24"/>
        </w:rPr>
        <w:t>1</w:t>
      </w:r>
      <w:r w:rsidR="007B1757">
        <w:rPr>
          <w:rFonts w:ascii="Times New Roman" w:hAnsi="Times New Roman" w:cs="Times New Roman"/>
          <w:sz w:val="24"/>
          <w:szCs w:val="24"/>
        </w:rPr>
        <w:t>,</w:t>
      </w:r>
      <w:r>
        <w:rPr>
          <w:rFonts w:ascii="Times New Roman" w:hAnsi="Times New Roman" w:cs="Times New Roman"/>
          <w:sz w:val="24"/>
          <w:szCs w:val="24"/>
        </w:rPr>
        <w:t>980</w:t>
      </w:r>
      <w:r w:rsidRPr="003524CA">
        <w:rPr>
          <w:rFonts w:ascii="Times New Roman" w:hAnsi="Times New Roman" w:cs="Times New Roman"/>
          <w:sz w:val="24"/>
          <w:szCs w:val="24"/>
        </w:rPr>
        <w:t xml:space="preserve"> trees per </w:t>
      </w:r>
      <w:r>
        <w:rPr>
          <w:rFonts w:ascii="Times New Roman" w:hAnsi="Times New Roman" w:cs="Times New Roman"/>
          <w:sz w:val="24"/>
          <w:szCs w:val="24"/>
        </w:rPr>
        <w:t>ha</w:t>
      </w:r>
      <w:r w:rsidRPr="003524CA">
        <w:rPr>
          <w:rFonts w:ascii="Times New Roman" w:hAnsi="Times New Roman" w:cs="Times New Roman"/>
          <w:sz w:val="24"/>
          <w:szCs w:val="24"/>
        </w:rPr>
        <w:t>, depending on site, coupled with thinning are commonly considered as the best compromise where multiple products are the objectives (e.g., pulpwood and sawtimber)</w:t>
      </w:r>
      <w:r w:rsidR="001F0C54">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7936A9">
        <w:rPr>
          <w:rFonts w:ascii="Times New Roman" w:hAnsi="Times New Roman" w:cs="Times New Roman"/>
          <w:sz w:val="24"/>
          <w:szCs w:val="24"/>
        </w:rPr>
        <w:instrText>ADDIN CSL_CITATION {"citationItems":[{"id":"ITEM-1","itemData":{"author":[{"dropping-particle":"","family":"Nebeker","given":"T. E.","non-dropping-particle":"","parse-names":false,"suffix":""},{"dropping-particle":"","family":"Hodges","given":"J. D.","non-dropping-particle":"","parse-names":false,"suffix":""},{"dropping-particle":"","family":"Karr","given":"B. K.","non-dropping-particle":"","parse-names":false,"suffix":""},{"dropping-particle":"","family":"Moehring","given":"D. M.","non-dropping-particle":"","parse-names":false,"suffix":""}],"id":"ITEM-1","issued":{"date-parts":[["1985"]]},"title":"Thinning practices in southern pines-with pest management recommendations","type":"report"},"uris":["http://www.mendeley.com/documents/?uuid=5a87d5eb-ba2c-4d04-899e-fe9aa5c9942c"]}],"mendeley":{"formattedCitation":"[7]","plainTextFormattedCitation":"[7]","previouslyFormattedCitation":"[7]"},"properties":{"noteIndex":0},"schema":"https://github.com/citation-style-language/schema/raw/master/csl-citation.json"}</w:instrText>
      </w:r>
      <w:r>
        <w:rPr>
          <w:rFonts w:ascii="Times New Roman" w:hAnsi="Times New Roman" w:cs="Times New Roman"/>
          <w:sz w:val="24"/>
          <w:szCs w:val="24"/>
        </w:rPr>
        <w:fldChar w:fldCharType="separate"/>
      </w:r>
      <w:r w:rsidR="00FE1557" w:rsidRPr="00FE1557">
        <w:rPr>
          <w:rFonts w:ascii="Times New Roman" w:hAnsi="Times New Roman" w:cs="Times New Roman"/>
          <w:noProof/>
          <w:sz w:val="24"/>
          <w:szCs w:val="24"/>
        </w:rPr>
        <w:t>[7]</w:t>
      </w:r>
      <w:r>
        <w:rPr>
          <w:rFonts w:ascii="Times New Roman" w:hAnsi="Times New Roman" w:cs="Times New Roman"/>
          <w:sz w:val="24"/>
          <w:szCs w:val="24"/>
        </w:rPr>
        <w:fldChar w:fldCharType="end"/>
      </w:r>
      <w:r w:rsidR="001F0C54">
        <w:rPr>
          <w:rFonts w:ascii="Times New Roman" w:hAnsi="Times New Roman" w:cs="Times New Roman"/>
          <w:sz w:val="24"/>
          <w:szCs w:val="24"/>
        </w:rPr>
        <w:t>.</w:t>
      </w:r>
      <w:r w:rsidRPr="003524CA">
        <w:rPr>
          <w:rFonts w:ascii="Times New Roman" w:hAnsi="Times New Roman" w:cs="Times New Roman"/>
          <w:sz w:val="24"/>
          <w:szCs w:val="24"/>
        </w:rPr>
        <w:t xml:space="preserve"> </w:t>
      </w:r>
      <w:r>
        <w:rPr>
          <w:rFonts w:ascii="Times New Roman" w:hAnsi="Times New Roman" w:cs="Times New Roman"/>
          <w:sz w:val="24"/>
          <w:szCs w:val="24"/>
        </w:rPr>
        <w:t>The</w:t>
      </w:r>
      <w:r w:rsidRPr="003524CA">
        <w:rPr>
          <w:rFonts w:ascii="Times New Roman" w:hAnsi="Times New Roman" w:cs="Times New Roman"/>
          <w:sz w:val="24"/>
          <w:szCs w:val="24"/>
        </w:rPr>
        <w:t xml:space="preserve"> selected </w:t>
      </w:r>
      <w:r w:rsidR="00BE01B0" w:rsidRPr="003524CA">
        <w:rPr>
          <w:rFonts w:ascii="Times New Roman" w:hAnsi="Times New Roman" w:cs="Times New Roman"/>
          <w:sz w:val="24"/>
          <w:szCs w:val="24"/>
        </w:rPr>
        <w:t>high</w:t>
      </w:r>
      <w:r w:rsidR="00BE01B0">
        <w:rPr>
          <w:rFonts w:ascii="Times New Roman" w:hAnsi="Times New Roman" w:cs="Times New Roman"/>
          <w:sz w:val="24"/>
          <w:szCs w:val="24"/>
        </w:rPr>
        <w:t>-</w:t>
      </w:r>
      <w:r w:rsidRPr="003524CA">
        <w:rPr>
          <w:rFonts w:ascii="Times New Roman" w:hAnsi="Times New Roman" w:cs="Times New Roman"/>
          <w:sz w:val="24"/>
          <w:szCs w:val="24"/>
        </w:rPr>
        <w:t>end planting density (</w:t>
      </w:r>
      <w:r>
        <w:rPr>
          <w:rFonts w:ascii="Times New Roman" w:hAnsi="Times New Roman" w:cs="Times New Roman"/>
          <w:sz w:val="24"/>
          <w:szCs w:val="24"/>
        </w:rPr>
        <w:t>2,152</w:t>
      </w:r>
      <w:r w:rsidRPr="003524CA">
        <w:rPr>
          <w:rFonts w:ascii="Times New Roman" w:hAnsi="Times New Roman" w:cs="Times New Roman"/>
          <w:sz w:val="24"/>
          <w:szCs w:val="24"/>
        </w:rPr>
        <w:t xml:space="preserve"> trees per </w:t>
      </w:r>
      <w:r>
        <w:rPr>
          <w:rFonts w:ascii="Times New Roman" w:hAnsi="Times New Roman" w:cs="Times New Roman"/>
          <w:sz w:val="24"/>
          <w:szCs w:val="24"/>
        </w:rPr>
        <w:t>ha</w:t>
      </w:r>
      <w:r w:rsidRPr="003524CA">
        <w:rPr>
          <w:rFonts w:ascii="Times New Roman" w:hAnsi="Times New Roman" w:cs="Times New Roman"/>
          <w:sz w:val="24"/>
          <w:szCs w:val="24"/>
        </w:rPr>
        <w:t xml:space="preserve">) </w:t>
      </w:r>
      <w:r w:rsidR="007B1757">
        <w:rPr>
          <w:rFonts w:ascii="Times New Roman" w:hAnsi="Times New Roman" w:cs="Times New Roman"/>
          <w:sz w:val="24"/>
          <w:szCs w:val="24"/>
        </w:rPr>
        <w:t xml:space="preserve">represents </w:t>
      </w:r>
      <w:r w:rsidRPr="003524CA">
        <w:rPr>
          <w:rFonts w:ascii="Times New Roman" w:hAnsi="Times New Roman" w:cs="Times New Roman"/>
          <w:sz w:val="24"/>
          <w:szCs w:val="24"/>
        </w:rPr>
        <w:t>forest management aimed at maximizing total biomass growth</w:t>
      </w:r>
      <w:r w:rsidR="001F0C54">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7936A9">
        <w:rPr>
          <w:rFonts w:ascii="Times New Roman" w:hAnsi="Times New Roman" w:cs="Times New Roman"/>
          <w:sz w:val="24"/>
          <w:szCs w:val="24"/>
        </w:rPr>
        <w:instrText>ADDIN CSL_CITATION {"citationItems":[{"id":"ITEM-1","itemData":{"DOI":"10.4236/ojf.2017.72011","ISSN":"2163-0429","abstract":"The objective of this study was to perform breakeven analysis of a stumpage biomass price that would induce landowners to modify their management regimes to incorporate an early thinning for biomass products. Following the biomass thinning, traditional harvest of pulpwood and timber products would be conducted. The feasibility analysis of incorporating biomass thinning as a potential product for a biomass market was examined for Piedmont and Coastal Plain site scenarios in Alabama. We compared our proposed biomass thinning regime with a traditional management regime. In the Piedmont site scenario, the minimum biomass breakeven prices were lower than current pulpwood prices ranging from $4.75 to $7.87/ton depending on the discount rates applied (5%, 7%, and 9%). However, the minimum breakeven prices were higher than pulpwood prices at all discount rates for the Coastal Plain site scenario. A benefit of early thinning improved sawtimber proportion in the final harvest of products based on PTEADA 4.0 simulations. Increases in sawtimber prices allow for lower biomass breakeven prices. Minimum biomass breakeven prices decreased by 13%, 30% and 70% when timber price increases were 20%, 50% and 100%, respectively, under a 7% discount rate for the Piedmont site scenario.","author":[{"dropping-particle":"V.","family":"Gallagher","given":"Tom","non-dropping-particle":"","parse-names":false,"suffix":""},{"dropping-particle":"","family":"Kantavichai","given":"Rapeepan","non-dropping-particle":"","parse-names":false,"suffix":""},{"dropping-particle":"","family":"Teeter","given":"Larry D.","non-dropping-particle":"","parse-names":false,"suffix":""}],"container-title":"Open Journal of Forestry","id":"ITEM-1","issue":"02","issued":{"date-parts":[["2017"]]},"page":"172-187","title":"An Economic Analysis of Incorporating Biomass Thinning into Loblolly Pine Plantations in Alabama","type":"article-journal","volume":"07"},"uris":["http://www.mendeley.com/documents/?uuid=a8671169-cb35-48a1-ac86-0b45b224851b"]}],"mendeley":{"formattedCitation":"[9]","plainTextFormattedCitation":"[9]","previouslyFormattedCitation":"[9]"},"properties":{"noteIndex":0},"schema":"https://github.com/citation-style-language/schema/raw/master/csl-citation.json"}</w:instrText>
      </w:r>
      <w:r>
        <w:rPr>
          <w:rFonts w:ascii="Times New Roman" w:hAnsi="Times New Roman" w:cs="Times New Roman"/>
          <w:sz w:val="24"/>
          <w:szCs w:val="24"/>
        </w:rPr>
        <w:fldChar w:fldCharType="separate"/>
      </w:r>
      <w:r w:rsidR="00FE1557" w:rsidRPr="00FE1557">
        <w:rPr>
          <w:rFonts w:ascii="Times New Roman" w:hAnsi="Times New Roman" w:cs="Times New Roman"/>
          <w:noProof/>
          <w:sz w:val="24"/>
          <w:szCs w:val="24"/>
        </w:rPr>
        <w:t>[9]</w:t>
      </w:r>
      <w:r>
        <w:rPr>
          <w:rFonts w:ascii="Times New Roman" w:hAnsi="Times New Roman" w:cs="Times New Roman"/>
          <w:sz w:val="24"/>
          <w:szCs w:val="24"/>
        </w:rPr>
        <w:fldChar w:fldCharType="end"/>
      </w:r>
      <w:r w:rsidR="001F0C54">
        <w:rPr>
          <w:rFonts w:ascii="Times New Roman" w:hAnsi="Times New Roman" w:cs="Times New Roman"/>
          <w:sz w:val="24"/>
          <w:szCs w:val="24"/>
        </w:rPr>
        <w:t>.</w:t>
      </w:r>
      <w:r w:rsidRPr="003524CA">
        <w:rPr>
          <w:rFonts w:ascii="Times New Roman" w:hAnsi="Times New Roman" w:cs="Times New Roman"/>
          <w:sz w:val="24"/>
          <w:szCs w:val="24"/>
        </w:rPr>
        <w:t xml:space="preserve"> </w:t>
      </w:r>
    </w:p>
    <w:p w14:paraId="2F6A1C07" w14:textId="77777777" w:rsidR="00D77059" w:rsidRDefault="00D77059" w:rsidP="00BA4FB9">
      <w:pPr>
        <w:spacing w:after="0" w:line="480" w:lineRule="auto"/>
        <w:rPr>
          <w:rFonts w:ascii="Times New Roman" w:hAnsi="Times New Roman" w:cs="Times New Roman"/>
          <w:sz w:val="24"/>
          <w:szCs w:val="24"/>
        </w:rPr>
      </w:pPr>
    </w:p>
    <w:p w14:paraId="0039D61A" w14:textId="29E60A17" w:rsidR="00105C48" w:rsidRDefault="009B1E68" w:rsidP="00B048FC">
      <w:pPr>
        <w:spacing w:after="0" w:line="480" w:lineRule="auto"/>
        <w:ind w:firstLine="180"/>
        <w:rPr>
          <w:rFonts w:ascii="Times New Roman" w:hAnsi="Times New Roman" w:cs="Times New Roman"/>
          <w:sz w:val="24"/>
          <w:szCs w:val="24"/>
        </w:rPr>
      </w:pPr>
      <w:r>
        <w:rPr>
          <w:rFonts w:ascii="Times New Roman" w:hAnsi="Times New Roman" w:cs="Times New Roman"/>
          <w:sz w:val="24"/>
          <w:szCs w:val="24"/>
        </w:rPr>
        <w:lastRenderedPageBreak/>
        <w:t>Table S</w:t>
      </w:r>
      <w:r w:rsidR="001F0C54">
        <w:rPr>
          <w:rFonts w:ascii="Times New Roman" w:hAnsi="Times New Roman" w:cs="Times New Roman"/>
          <w:sz w:val="24"/>
          <w:szCs w:val="24"/>
        </w:rPr>
        <w:t>1</w:t>
      </w:r>
      <w:r>
        <w:rPr>
          <w:rFonts w:ascii="Times New Roman" w:hAnsi="Times New Roman" w:cs="Times New Roman"/>
          <w:sz w:val="24"/>
          <w:szCs w:val="24"/>
        </w:rPr>
        <w:t xml:space="preserve"> records the accumulative aboveground biomass data and removed biomass amount from thinning in one rotation (</w:t>
      </w:r>
      <w:r w:rsidR="001F0C54">
        <w:rPr>
          <w:rFonts w:ascii="Times New Roman" w:hAnsi="Times New Roman" w:cs="Times New Roman"/>
          <w:sz w:val="24"/>
          <w:szCs w:val="24"/>
        </w:rPr>
        <w:t>30</w:t>
      </w:r>
      <w:r>
        <w:rPr>
          <w:rFonts w:ascii="Times New Roman" w:hAnsi="Times New Roman" w:cs="Times New Roman"/>
          <w:sz w:val="24"/>
          <w:szCs w:val="24"/>
        </w:rPr>
        <w:t xml:space="preserve"> years) for three scenarios. </w:t>
      </w:r>
    </w:p>
    <w:p w14:paraId="7519E1D4" w14:textId="77777777" w:rsidR="00DE34FD" w:rsidRDefault="00DE34FD" w:rsidP="00B048FC">
      <w:pPr>
        <w:spacing w:after="0" w:line="480" w:lineRule="auto"/>
        <w:ind w:firstLine="180"/>
        <w:rPr>
          <w:rFonts w:ascii="Times New Roman" w:hAnsi="Times New Roman" w:cs="Times New Roman"/>
          <w:sz w:val="24"/>
          <w:szCs w:val="24"/>
        </w:rPr>
      </w:pPr>
    </w:p>
    <w:p w14:paraId="7CF987D6" w14:textId="2EA9A24D" w:rsidR="009B1E68" w:rsidRPr="00B048FC" w:rsidRDefault="009B1E68" w:rsidP="007E1FAA">
      <w:pPr>
        <w:pStyle w:val="Legend"/>
        <w:rPr>
          <w:b/>
          <w:vertAlign w:val="superscript"/>
        </w:rPr>
      </w:pPr>
      <w:r w:rsidRPr="00B048FC">
        <w:rPr>
          <w:b/>
        </w:rPr>
        <w:t>Table S</w:t>
      </w:r>
      <w:r w:rsidR="008506A5" w:rsidRPr="00B048FC">
        <w:rPr>
          <w:b/>
        </w:rPr>
        <w:t>1</w:t>
      </w:r>
      <w:r w:rsidRPr="00B048FC">
        <w:rPr>
          <w:b/>
        </w:rPr>
        <w:t xml:space="preserve"> Accumulative aboveground biomass data for one rotation (metric ton/ha)</w:t>
      </w:r>
      <w:r w:rsidR="004B624A" w:rsidRPr="00B048FC">
        <w:rPr>
          <w:b/>
        </w:rPr>
        <w:t xml:space="preserve"> </w:t>
      </w:r>
      <w:r w:rsidRPr="00B048FC">
        <w:rPr>
          <w:b/>
          <w:vertAlign w:val="superscript"/>
        </w:rPr>
        <w:t>a</w:t>
      </w:r>
    </w:p>
    <w:tbl>
      <w:tblPr>
        <w:tblW w:w="0" w:type="auto"/>
        <w:tblLayout w:type="fixed"/>
        <w:tblCellMar>
          <w:left w:w="72" w:type="dxa"/>
          <w:right w:w="72" w:type="dxa"/>
        </w:tblCellMar>
        <w:tblLook w:val="01E0" w:firstRow="1" w:lastRow="1" w:firstColumn="1" w:lastColumn="1" w:noHBand="0" w:noVBand="0"/>
      </w:tblPr>
      <w:tblGrid>
        <w:gridCol w:w="1028"/>
        <w:gridCol w:w="1378"/>
        <w:gridCol w:w="1381"/>
        <w:gridCol w:w="1379"/>
        <w:gridCol w:w="1380"/>
        <w:gridCol w:w="1379"/>
        <w:gridCol w:w="1381"/>
      </w:tblGrid>
      <w:tr w:rsidR="007E1FAA" w:rsidRPr="00B20608" w14:paraId="4C8E3BD9" w14:textId="77777777" w:rsidTr="006275EF">
        <w:trPr>
          <w:trHeight w:val="54"/>
        </w:trPr>
        <w:tc>
          <w:tcPr>
            <w:tcW w:w="1028" w:type="dxa"/>
            <w:tcBorders>
              <w:top w:val="single" w:sz="4" w:space="0" w:color="auto"/>
              <w:bottom w:val="single" w:sz="4" w:space="0" w:color="auto"/>
            </w:tcBorders>
            <w:shd w:val="clear" w:color="auto" w:fill="auto"/>
            <w:vAlign w:val="center"/>
          </w:tcPr>
          <w:p w14:paraId="0BDD0678" w14:textId="77777777" w:rsidR="007E1FAA" w:rsidRPr="007E1FAA" w:rsidRDefault="007E1FAA" w:rsidP="007E1FAA">
            <w:pPr>
              <w:pStyle w:val="TableHead"/>
              <w:spacing w:line="240" w:lineRule="auto"/>
              <w:jc w:val="center"/>
              <w:rPr>
                <w:rFonts w:ascii="Times New Roman" w:hAnsi="Times New Roman"/>
                <w:sz w:val="18"/>
                <w:szCs w:val="18"/>
                <w:lang w:val="en-US"/>
              </w:rPr>
            </w:pPr>
          </w:p>
        </w:tc>
        <w:tc>
          <w:tcPr>
            <w:tcW w:w="2759" w:type="dxa"/>
            <w:gridSpan w:val="2"/>
            <w:tcBorders>
              <w:top w:val="single" w:sz="4" w:space="0" w:color="auto"/>
              <w:bottom w:val="single" w:sz="4" w:space="0" w:color="auto"/>
            </w:tcBorders>
            <w:shd w:val="clear" w:color="auto" w:fill="auto"/>
          </w:tcPr>
          <w:p w14:paraId="394DE876" w14:textId="77777777" w:rsidR="007E1FAA" w:rsidRPr="007E1FAA" w:rsidRDefault="00B37392" w:rsidP="007E1FAA">
            <w:pPr>
              <w:pStyle w:val="TableHead"/>
              <w:spacing w:line="240" w:lineRule="auto"/>
              <w:jc w:val="center"/>
              <w:rPr>
                <w:rFonts w:ascii="Times New Roman" w:hAnsi="Times New Roman"/>
                <w:sz w:val="18"/>
                <w:szCs w:val="18"/>
                <w:lang w:val="en-US"/>
              </w:rPr>
            </w:pPr>
            <w:r>
              <w:rPr>
                <w:rFonts w:ascii="Times New Roman" w:hAnsi="Times New Roman"/>
                <w:sz w:val="18"/>
                <w:szCs w:val="18"/>
                <w:lang w:val="en-US"/>
              </w:rPr>
              <w:t>Growth Case 1</w:t>
            </w:r>
          </w:p>
        </w:tc>
        <w:tc>
          <w:tcPr>
            <w:tcW w:w="2759" w:type="dxa"/>
            <w:gridSpan w:val="2"/>
            <w:tcBorders>
              <w:top w:val="single" w:sz="4" w:space="0" w:color="auto"/>
              <w:bottom w:val="single" w:sz="4" w:space="0" w:color="auto"/>
            </w:tcBorders>
          </w:tcPr>
          <w:p w14:paraId="7CDBB98D" w14:textId="77777777" w:rsidR="007E1FAA" w:rsidRPr="007E1FAA" w:rsidRDefault="00B37392" w:rsidP="007E1FAA">
            <w:pPr>
              <w:pStyle w:val="TableHead"/>
              <w:spacing w:line="240" w:lineRule="auto"/>
              <w:jc w:val="center"/>
              <w:rPr>
                <w:rFonts w:ascii="Times New Roman" w:hAnsi="Times New Roman"/>
                <w:sz w:val="18"/>
                <w:szCs w:val="18"/>
                <w:lang w:val="en-US"/>
              </w:rPr>
            </w:pPr>
            <w:r>
              <w:rPr>
                <w:rFonts w:ascii="Times New Roman" w:hAnsi="Times New Roman"/>
                <w:sz w:val="18"/>
                <w:szCs w:val="18"/>
                <w:lang w:val="en-US"/>
              </w:rPr>
              <w:t>Growth Case 2</w:t>
            </w:r>
          </w:p>
        </w:tc>
        <w:tc>
          <w:tcPr>
            <w:tcW w:w="2760" w:type="dxa"/>
            <w:gridSpan w:val="2"/>
            <w:tcBorders>
              <w:top w:val="single" w:sz="4" w:space="0" w:color="auto"/>
              <w:bottom w:val="single" w:sz="4" w:space="0" w:color="auto"/>
            </w:tcBorders>
            <w:shd w:val="clear" w:color="auto" w:fill="auto"/>
          </w:tcPr>
          <w:p w14:paraId="146A4964" w14:textId="77777777" w:rsidR="007E1FAA" w:rsidRPr="007E1FAA" w:rsidRDefault="00B37392" w:rsidP="007E1FAA">
            <w:pPr>
              <w:pStyle w:val="TableHead"/>
              <w:spacing w:line="240" w:lineRule="auto"/>
              <w:jc w:val="center"/>
              <w:rPr>
                <w:rFonts w:ascii="Times New Roman" w:hAnsi="Times New Roman"/>
                <w:sz w:val="18"/>
                <w:szCs w:val="18"/>
                <w:lang w:val="en-US"/>
              </w:rPr>
            </w:pPr>
            <w:r>
              <w:rPr>
                <w:rFonts w:ascii="Times New Roman" w:hAnsi="Times New Roman"/>
                <w:sz w:val="18"/>
                <w:szCs w:val="18"/>
                <w:lang w:val="en-US"/>
              </w:rPr>
              <w:t>Growth Case 3</w:t>
            </w:r>
          </w:p>
        </w:tc>
      </w:tr>
      <w:tr w:rsidR="006275EF" w:rsidRPr="00B20608" w14:paraId="4FC50AEB" w14:textId="77777777" w:rsidTr="006275EF">
        <w:trPr>
          <w:trHeight w:val="54"/>
        </w:trPr>
        <w:tc>
          <w:tcPr>
            <w:tcW w:w="1028" w:type="dxa"/>
            <w:tcBorders>
              <w:top w:val="single" w:sz="4" w:space="0" w:color="auto"/>
              <w:bottom w:val="single" w:sz="4" w:space="0" w:color="auto"/>
            </w:tcBorders>
            <w:shd w:val="clear" w:color="auto" w:fill="auto"/>
          </w:tcPr>
          <w:p w14:paraId="079AC85B" w14:textId="77777777" w:rsidR="007E1FAA" w:rsidRPr="007E1FAA" w:rsidRDefault="007E1FAA" w:rsidP="007E1FAA">
            <w:pPr>
              <w:pStyle w:val="TableBody"/>
              <w:spacing w:line="240" w:lineRule="auto"/>
              <w:jc w:val="center"/>
              <w:rPr>
                <w:rFonts w:ascii="Times New Roman" w:hAnsi="Times New Roman"/>
                <w:sz w:val="18"/>
                <w:szCs w:val="18"/>
                <w:lang w:val="en-US"/>
              </w:rPr>
            </w:pPr>
            <w:r w:rsidRPr="007E1FAA">
              <w:rPr>
                <w:rFonts w:ascii="Times New Roman" w:hAnsi="Times New Roman"/>
                <w:sz w:val="18"/>
                <w:szCs w:val="18"/>
                <w:lang w:val="en-US"/>
              </w:rPr>
              <w:t>Year</w:t>
            </w:r>
          </w:p>
        </w:tc>
        <w:tc>
          <w:tcPr>
            <w:tcW w:w="1378" w:type="dxa"/>
            <w:tcBorders>
              <w:top w:val="single" w:sz="4" w:space="0" w:color="auto"/>
              <w:bottom w:val="single" w:sz="4" w:space="0" w:color="auto"/>
            </w:tcBorders>
            <w:shd w:val="clear" w:color="auto" w:fill="auto"/>
          </w:tcPr>
          <w:p w14:paraId="5804FA56" w14:textId="77777777" w:rsidR="007E1FAA" w:rsidRPr="007E1FAA" w:rsidRDefault="007E1FAA" w:rsidP="007E1FAA">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Aboveground biomass</w:t>
            </w:r>
          </w:p>
        </w:tc>
        <w:tc>
          <w:tcPr>
            <w:tcW w:w="1381" w:type="dxa"/>
            <w:tcBorders>
              <w:top w:val="single" w:sz="4" w:space="0" w:color="auto"/>
              <w:bottom w:val="single" w:sz="4" w:space="0" w:color="auto"/>
            </w:tcBorders>
          </w:tcPr>
          <w:p w14:paraId="5204A6AF" w14:textId="77777777" w:rsidR="007E1FAA" w:rsidRPr="007E1FAA" w:rsidRDefault="007E1FAA" w:rsidP="007E1FAA">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Removed biomass</w:t>
            </w:r>
          </w:p>
        </w:tc>
        <w:tc>
          <w:tcPr>
            <w:tcW w:w="1379" w:type="dxa"/>
            <w:tcBorders>
              <w:top w:val="single" w:sz="4" w:space="0" w:color="auto"/>
              <w:bottom w:val="single" w:sz="4" w:space="0" w:color="auto"/>
            </w:tcBorders>
          </w:tcPr>
          <w:p w14:paraId="177B6191" w14:textId="77777777" w:rsidR="007E1FAA" w:rsidRPr="007E1FAA" w:rsidRDefault="007E1FAA" w:rsidP="007E1FAA">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Aboveground biomass</w:t>
            </w:r>
          </w:p>
        </w:tc>
        <w:tc>
          <w:tcPr>
            <w:tcW w:w="1380" w:type="dxa"/>
            <w:tcBorders>
              <w:top w:val="single" w:sz="4" w:space="0" w:color="auto"/>
              <w:bottom w:val="single" w:sz="4" w:space="0" w:color="auto"/>
            </w:tcBorders>
          </w:tcPr>
          <w:p w14:paraId="735AB0EB" w14:textId="77777777" w:rsidR="007E1FAA" w:rsidRPr="007E1FAA" w:rsidRDefault="007E1FAA" w:rsidP="007E1FAA">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Removed biomass</w:t>
            </w:r>
          </w:p>
        </w:tc>
        <w:tc>
          <w:tcPr>
            <w:tcW w:w="1379" w:type="dxa"/>
            <w:tcBorders>
              <w:top w:val="single" w:sz="4" w:space="0" w:color="auto"/>
              <w:bottom w:val="single" w:sz="4" w:space="0" w:color="auto"/>
            </w:tcBorders>
            <w:shd w:val="clear" w:color="auto" w:fill="auto"/>
          </w:tcPr>
          <w:p w14:paraId="79421EE1" w14:textId="77777777" w:rsidR="007E1FAA" w:rsidRPr="007E1FAA" w:rsidRDefault="007E1FAA" w:rsidP="007E1FAA">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Aboveground biomass</w:t>
            </w:r>
          </w:p>
        </w:tc>
        <w:tc>
          <w:tcPr>
            <w:tcW w:w="1381" w:type="dxa"/>
            <w:tcBorders>
              <w:top w:val="single" w:sz="4" w:space="0" w:color="auto"/>
              <w:bottom w:val="single" w:sz="4" w:space="0" w:color="auto"/>
            </w:tcBorders>
          </w:tcPr>
          <w:p w14:paraId="78A79326" w14:textId="77777777" w:rsidR="007E1FAA" w:rsidRPr="007E1FAA" w:rsidRDefault="007E1FAA" w:rsidP="007E1FAA">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Removed biomass</w:t>
            </w:r>
          </w:p>
        </w:tc>
      </w:tr>
      <w:tr w:rsidR="00C63C28" w:rsidRPr="00B20608" w14:paraId="3CA2199D" w14:textId="77777777" w:rsidTr="00871FD5">
        <w:trPr>
          <w:trHeight w:val="144"/>
        </w:trPr>
        <w:tc>
          <w:tcPr>
            <w:tcW w:w="1028" w:type="dxa"/>
            <w:tcBorders>
              <w:top w:val="single" w:sz="4" w:space="0" w:color="auto"/>
            </w:tcBorders>
            <w:shd w:val="clear" w:color="auto" w:fill="auto"/>
            <w:vAlign w:val="bottom"/>
          </w:tcPr>
          <w:p w14:paraId="5540CBC9"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w:t>
            </w:r>
          </w:p>
        </w:tc>
        <w:tc>
          <w:tcPr>
            <w:tcW w:w="1378" w:type="dxa"/>
            <w:tcBorders>
              <w:top w:val="single" w:sz="4" w:space="0" w:color="auto"/>
            </w:tcBorders>
            <w:shd w:val="clear" w:color="auto" w:fill="auto"/>
            <w:vAlign w:val="center"/>
          </w:tcPr>
          <w:p w14:paraId="31D6C5D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1" w:type="dxa"/>
            <w:tcBorders>
              <w:top w:val="single" w:sz="4" w:space="0" w:color="auto"/>
            </w:tcBorders>
            <w:vAlign w:val="center"/>
          </w:tcPr>
          <w:p w14:paraId="1771CC6A"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tcBorders>
              <w:top w:val="single" w:sz="4" w:space="0" w:color="auto"/>
            </w:tcBorders>
            <w:vAlign w:val="center"/>
          </w:tcPr>
          <w:p w14:paraId="03BBAE2B"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0" w:type="dxa"/>
            <w:tcBorders>
              <w:top w:val="single" w:sz="4" w:space="0" w:color="auto"/>
            </w:tcBorders>
            <w:vAlign w:val="center"/>
          </w:tcPr>
          <w:p w14:paraId="521548D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tcBorders>
              <w:top w:val="single" w:sz="4" w:space="0" w:color="auto"/>
            </w:tcBorders>
            <w:shd w:val="clear" w:color="auto" w:fill="auto"/>
            <w:vAlign w:val="center"/>
          </w:tcPr>
          <w:p w14:paraId="15973F5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1" w:type="dxa"/>
            <w:tcBorders>
              <w:top w:val="single" w:sz="4" w:space="0" w:color="auto"/>
            </w:tcBorders>
            <w:vAlign w:val="center"/>
          </w:tcPr>
          <w:p w14:paraId="66649B2E"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66D5C78C" w14:textId="77777777" w:rsidTr="00871FD5">
        <w:trPr>
          <w:trHeight w:val="144"/>
        </w:trPr>
        <w:tc>
          <w:tcPr>
            <w:tcW w:w="1028" w:type="dxa"/>
            <w:shd w:val="clear" w:color="auto" w:fill="auto"/>
            <w:vAlign w:val="bottom"/>
          </w:tcPr>
          <w:p w14:paraId="31BD7713"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2</w:t>
            </w:r>
          </w:p>
        </w:tc>
        <w:tc>
          <w:tcPr>
            <w:tcW w:w="1378" w:type="dxa"/>
            <w:shd w:val="clear" w:color="auto" w:fill="auto"/>
            <w:vAlign w:val="center"/>
          </w:tcPr>
          <w:p w14:paraId="4C8DE1FA"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1" w:type="dxa"/>
            <w:vAlign w:val="center"/>
          </w:tcPr>
          <w:p w14:paraId="7A2317F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2F5C8C3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0" w:type="dxa"/>
            <w:vAlign w:val="center"/>
          </w:tcPr>
          <w:p w14:paraId="0C7C207B"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10F6C3E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1" w:type="dxa"/>
            <w:vAlign w:val="center"/>
          </w:tcPr>
          <w:p w14:paraId="65C58D97"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176141D6" w14:textId="77777777" w:rsidTr="00871FD5">
        <w:trPr>
          <w:trHeight w:val="144"/>
        </w:trPr>
        <w:tc>
          <w:tcPr>
            <w:tcW w:w="1028" w:type="dxa"/>
            <w:shd w:val="clear" w:color="auto" w:fill="auto"/>
            <w:vAlign w:val="bottom"/>
          </w:tcPr>
          <w:p w14:paraId="32554311"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3</w:t>
            </w:r>
          </w:p>
        </w:tc>
        <w:tc>
          <w:tcPr>
            <w:tcW w:w="1378" w:type="dxa"/>
            <w:shd w:val="clear" w:color="auto" w:fill="auto"/>
            <w:vAlign w:val="center"/>
          </w:tcPr>
          <w:p w14:paraId="0BFAAAA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1" w:type="dxa"/>
            <w:vAlign w:val="center"/>
          </w:tcPr>
          <w:p w14:paraId="2A71D3D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6BD791C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0" w:type="dxa"/>
            <w:vAlign w:val="center"/>
          </w:tcPr>
          <w:p w14:paraId="48014B0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74A71DA2"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1" w:type="dxa"/>
            <w:vAlign w:val="center"/>
          </w:tcPr>
          <w:p w14:paraId="4A28B98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3FF89C03" w14:textId="77777777" w:rsidTr="00871FD5">
        <w:trPr>
          <w:trHeight w:val="144"/>
        </w:trPr>
        <w:tc>
          <w:tcPr>
            <w:tcW w:w="1028" w:type="dxa"/>
            <w:shd w:val="clear" w:color="auto" w:fill="auto"/>
            <w:vAlign w:val="bottom"/>
          </w:tcPr>
          <w:p w14:paraId="09277C85"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4</w:t>
            </w:r>
          </w:p>
        </w:tc>
        <w:tc>
          <w:tcPr>
            <w:tcW w:w="1378" w:type="dxa"/>
            <w:shd w:val="clear" w:color="auto" w:fill="auto"/>
            <w:vAlign w:val="center"/>
          </w:tcPr>
          <w:p w14:paraId="4AE0C29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1" w:type="dxa"/>
            <w:vAlign w:val="center"/>
          </w:tcPr>
          <w:p w14:paraId="2B973278"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6277DDD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0" w:type="dxa"/>
            <w:vAlign w:val="center"/>
          </w:tcPr>
          <w:p w14:paraId="2B8750F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0138BF0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81" w:type="dxa"/>
            <w:vAlign w:val="center"/>
          </w:tcPr>
          <w:p w14:paraId="790495E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65271600" w14:textId="77777777" w:rsidTr="00871FD5">
        <w:trPr>
          <w:trHeight w:val="144"/>
        </w:trPr>
        <w:tc>
          <w:tcPr>
            <w:tcW w:w="1028" w:type="dxa"/>
            <w:shd w:val="clear" w:color="auto" w:fill="auto"/>
            <w:vAlign w:val="bottom"/>
          </w:tcPr>
          <w:p w14:paraId="3F85E84C"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5</w:t>
            </w:r>
          </w:p>
        </w:tc>
        <w:tc>
          <w:tcPr>
            <w:tcW w:w="1378" w:type="dxa"/>
            <w:shd w:val="clear" w:color="auto" w:fill="auto"/>
            <w:vAlign w:val="center"/>
          </w:tcPr>
          <w:p w14:paraId="0F2D70D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0.9</w:t>
            </w:r>
          </w:p>
        </w:tc>
        <w:tc>
          <w:tcPr>
            <w:tcW w:w="1381" w:type="dxa"/>
            <w:vAlign w:val="center"/>
          </w:tcPr>
          <w:p w14:paraId="5D4EE20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36417B3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25.1</w:t>
            </w:r>
          </w:p>
        </w:tc>
        <w:tc>
          <w:tcPr>
            <w:tcW w:w="1380" w:type="dxa"/>
            <w:vAlign w:val="center"/>
          </w:tcPr>
          <w:p w14:paraId="09218717"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66482C1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25.1</w:t>
            </w:r>
          </w:p>
        </w:tc>
        <w:tc>
          <w:tcPr>
            <w:tcW w:w="1381" w:type="dxa"/>
            <w:vAlign w:val="center"/>
          </w:tcPr>
          <w:p w14:paraId="79D11532"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088DF3AA" w14:textId="77777777" w:rsidTr="00871FD5">
        <w:trPr>
          <w:trHeight w:val="144"/>
        </w:trPr>
        <w:tc>
          <w:tcPr>
            <w:tcW w:w="1028" w:type="dxa"/>
            <w:shd w:val="clear" w:color="auto" w:fill="auto"/>
            <w:vAlign w:val="bottom"/>
          </w:tcPr>
          <w:p w14:paraId="2783DB23"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6</w:t>
            </w:r>
          </w:p>
        </w:tc>
        <w:tc>
          <w:tcPr>
            <w:tcW w:w="1378" w:type="dxa"/>
            <w:shd w:val="clear" w:color="auto" w:fill="auto"/>
            <w:vAlign w:val="center"/>
          </w:tcPr>
          <w:p w14:paraId="087A9F17"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6.9</w:t>
            </w:r>
          </w:p>
        </w:tc>
        <w:tc>
          <w:tcPr>
            <w:tcW w:w="1381" w:type="dxa"/>
            <w:vAlign w:val="center"/>
          </w:tcPr>
          <w:p w14:paraId="6335F2D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27B333B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55.4</w:t>
            </w:r>
          </w:p>
        </w:tc>
        <w:tc>
          <w:tcPr>
            <w:tcW w:w="1380" w:type="dxa"/>
            <w:vAlign w:val="center"/>
          </w:tcPr>
          <w:p w14:paraId="20D40A77"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01A22AE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55.4</w:t>
            </w:r>
          </w:p>
        </w:tc>
        <w:tc>
          <w:tcPr>
            <w:tcW w:w="1381" w:type="dxa"/>
            <w:vAlign w:val="center"/>
          </w:tcPr>
          <w:p w14:paraId="4555D30A"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70EF84FF" w14:textId="77777777" w:rsidTr="00871FD5">
        <w:trPr>
          <w:trHeight w:val="144"/>
        </w:trPr>
        <w:tc>
          <w:tcPr>
            <w:tcW w:w="1028" w:type="dxa"/>
            <w:shd w:val="clear" w:color="auto" w:fill="auto"/>
            <w:vAlign w:val="bottom"/>
          </w:tcPr>
          <w:p w14:paraId="48C97535"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7</w:t>
            </w:r>
          </w:p>
        </w:tc>
        <w:tc>
          <w:tcPr>
            <w:tcW w:w="1378" w:type="dxa"/>
            <w:shd w:val="clear" w:color="auto" w:fill="auto"/>
            <w:vAlign w:val="center"/>
          </w:tcPr>
          <w:p w14:paraId="73A251C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18.8</w:t>
            </w:r>
          </w:p>
        </w:tc>
        <w:tc>
          <w:tcPr>
            <w:tcW w:w="1381" w:type="dxa"/>
            <w:vAlign w:val="center"/>
          </w:tcPr>
          <w:p w14:paraId="35287C9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6D3F738E"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89.9</w:t>
            </w:r>
          </w:p>
        </w:tc>
        <w:tc>
          <w:tcPr>
            <w:tcW w:w="1380" w:type="dxa"/>
            <w:vAlign w:val="center"/>
          </w:tcPr>
          <w:p w14:paraId="3641073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77BEDA4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89.9</w:t>
            </w:r>
          </w:p>
        </w:tc>
        <w:tc>
          <w:tcPr>
            <w:tcW w:w="1381" w:type="dxa"/>
            <w:vAlign w:val="center"/>
          </w:tcPr>
          <w:p w14:paraId="6FC84442"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71EFA447" w14:textId="77777777" w:rsidTr="00871FD5">
        <w:trPr>
          <w:trHeight w:val="144"/>
        </w:trPr>
        <w:tc>
          <w:tcPr>
            <w:tcW w:w="1028" w:type="dxa"/>
            <w:shd w:val="clear" w:color="auto" w:fill="auto"/>
            <w:vAlign w:val="bottom"/>
          </w:tcPr>
          <w:p w14:paraId="2FCE0F91"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8</w:t>
            </w:r>
          </w:p>
        </w:tc>
        <w:tc>
          <w:tcPr>
            <w:tcW w:w="1378" w:type="dxa"/>
            <w:shd w:val="clear" w:color="auto" w:fill="auto"/>
            <w:vAlign w:val="center"/>
          </w:tcPr>
          <w:p w14:paraId="0F37FAEE"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34.5</w:t>
            </w:r>
          </w:p>
        </w:tc>
        <w:tc>
          <w:tcPr>
            <w:tcW w:w="1381" w:type="dxa"/>
            <w:vAlign w:val="center"/>
          </w:tcPr>
          <w:p w14:paraId="71A23A5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77A569E1"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124.9</w:t>
            </w:r>
          </w:p>
        </w:tc>
        <w:tc>
          <w:tcPr>
            <w:tcW w:w="1380" w:type="dxa"/>
            <w:vAlign w:val="center"/>
          </w:tcPr>
          <w:p w14:paraId="1FDBDF31"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510E176B"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124.9</w:t>
            </w:r>
          </w:p>
        </w:tc>
        <w:tc>
          <w:tcPr>
            <w:tcW w:w="1381" w:type="dxa"/>
            <w:vAlign w:val="center"/>
          </w:tcPr>
          <w:p w14:paraId="24A53BB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560AC64B" w14:textId="77777777" w:rsidTr="00871FD5">
        <w:trPr>
          <w:trHeight w:val="144"/>
        </w:trPr>
        <w:tc>
          <w:tcPr>
            <w:tcW w:w="1028" w:type="dxa"/>
            <w:shd w:val="clear" w:color="auto" w:fill="auto"/>
            <w:vAlign w:val="bottom"/>
          </w:tcPr>
          <w:p w14:paraId="117E33BA"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9</w:t>
            </w:r>
          </w:p>
        </w:tc>
        <w:tc>
          <w:tcPr>
            <w:tcW w:w="1378" w:type="dxa"/>
            <w:shd w:val="clear" w:color="auto" w:fill="auto"/>
            <w:vAlign w:val="center"/>
          </w:tcPr>
          <w:p w14:paraId="31932AD5"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52.5</w:t>
            </w:r>
          </w:p>
        </w:tc>
        <w:tc>
          <w:tcPr>
            <w:tcW w:w="1381" w:type="dxa"/>
            <w:vAlign w:val="center"/>
          </w:tcPr>
          <w:p w14:paraId="75DEF30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051F83C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158.9</w:t>
            </w:r>
          </w:p>
        </w:tc>
        <w:tc>
          <w:tcPr>
            <w:tcW w:w="1380" w:type="dxa"/>
            <w:vAlign w:val="center"/>
          </w:tcPr>
          <w:p w14:paraId="25104B55"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7D26B904"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158.9</w:t>
            </w:r>
          </w:p>
        </w:tc>
        <w:tc>
          <w:tcPr>
            <w:tcW w:w="1381" w:type="dxa"/>
            <w:vAlign w:val="center"/>
          </w:tcPr>
          <w:p w14:paraId="5194D70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24E6048D" w14:textId="77777777" w:rsidTr="00871FD5">
        <w:trPr>
          <w:trHeight w:val="144"/>
        </w:trPr>
        <w:tc>
          <w:tcPr>
            <w:tcW w:w="1028" w:type="dxa"/>
            <w:shd w:val="clear" w:color="auto" w:fill="auto"/>
            <w:vAlign w:val="bottom"/>
          </w:tcPr>
          <w:p w14:paraId="76660A67"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10</w:t>
            </w:r>
          </w:p>
        </w:tc>
        <w:tc>
          <w:tcPr>
            <w:tcW w:w="1378" w:type="dxa"/>
            <w:shd w:val="clear" w:color="auto" w:fill="auto"/>
            <w:vAlign w:val="center"/>
          </w:tcPr>
          <w:p w14:paraId="43AA057B"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73.1</w:t>
            </w:r>
          </w:p>
        </w:tc>
        <w:tc>
          <w:tcPr>
            <w:tcW w:w="1381" w:type="dxa"/>
            <w:vAlign w:val="center"/>
          </w:tcPr>
          <w:p w14:paraId="6CA12775"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7D73A34B"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194.4</w:t>
            </w:r>
          </w:p>
        </w:tc>
        <w:tc>
          <w:tcPr>
            <w:tcW w:w="1380" w:type="dxa"/>
            <w:vAlign w:val="center"/>
          </w:tcPr>
          <w:p w14:paraId="584C74B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0827B10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190.8</w:t>
            </w:r>
          </w:p>
        </w:tc>
        <w:tc>
          <w:tcPr>
            <w:tcW w:w="1381" w:type="dxa"/>
            <w:vAlign w:val="center"/>
          </w:tcPr>
          <w:p w14:paraId="75BE699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45DAB610" w14:textId="77777777" w:rsidTr="00871FD5">
        <w:trPr>
          <w:trHeight w:val="144"/>
        </w:trPr>
        <w:tc>
          <w:tcPr>
            <w:tcW w:w="1028" w:type="dxa"/>
            <w:shd w:val="clear" w:color="auto" w:fill="auto"/>
            <w:vAlign w:val="bottom"/>
          </w:tcPr>
          <w:p w14:paraId="27495357"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11</w:t>
            </w:r>
          </w:p>
        </w:tc>
        <w:tc>
          <w:tcPr>
            <w:tcW w:w="1378" w:type="dxa"/>
            <w:shd w:val="clear" w:color="auto" w:fill="auto"/>
            <w:vAlign w:val="center"/>
          </w:tcPr>
          <w:p w14:paraId="430EFA56"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96.2</w:t>
            </w:r>
          </w:p>
        </w:tc>
        <w:tc>
          <w:tcPr>
            <w:tcW w:w="1381" w:type="dxa"/>
            <w:vAlign w:val="center"/>
          </w:tcPr>
          <w:p w14:paraId="30A684E4"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7F44FBE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231.1</w:t>
            </w:r>
          </w:p>
        </w:tc>
        <w:tc>
          <w:tcPr>
            <w:tcW w:w="1380" w:type="dxa"/>
            <w:vAlign w:val="center"/>
          </w:tcPr>
          <w:p w14:paraId="1480243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12FAD38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221.9</w:t>
            </w:r>
          </w:p>
        </w:tc>
        <w:tc>
          <w:tcPr>
            <w:tcW w:w="1381" w:type="dxa"/>
            <w:vAlign w:val="center"/>
          </w:tcPr>
          <w:p w14:paraId="3B910788"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r>
      <w:tr w:rsidR="00C63C28" w:rsidRPr="00B20608" w14:paraId="3AD1F89F" w14:textId="77777777" w:rsidTr="00871FD5">
        <w:trPr>
          <w:trHeight w:val="144"/>
        </w:trPr>
        <w:tc>
          <w:tcPr>
            <w:tcW w:w="1028" w:type="dxa"/>
            <w:shd w:val="clear" w:color="auto" w:fill="auto"/>
            <w:vAlign w:val="bottom"/>
          </w:tcPr>
          <w:p w14:paraId="72874C7D"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12</w:t>
            </w:r>
          </w:p>
        </w:tc>
        <w:tc>
          <w:tcPr>
            <w:tcW w:w="1378" w:type="dxa"/>
            <w:shd w:val="clear" w:color="auto" w:fill="auto"/>
            <w:vAlign w:val="center"/>
          </w:tcPr>
          <w:p w14:paraId="4B8E5EF4"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118.8</w:t>
            </w:r>
          </w:p>
        </w:tc>
        <w:tc>
          <w:tcPr>
            <w:tcW w:w="1381" w:type="dxa"/>
            <w:vAlign w:val="center"/>
          </w:tcPr>
          <w:p w14:paraId="2FDDA71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6560A94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265.4</w:t>
            </w:r>
          </w:p>
        </w:tc>
        <w:tc>
          <w:tcPr>
            <w:tcW w:w="1380" w:type="dxa"/>
            <w:vAlign w:val="center"/>
          </w:tcPr>
          <w:p w14:paraId="484BB76E"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1BC8C33E"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189.0</w:t>
            </w:r>
          </w:p>
        </w:tc>
        <w:tc>
          <w:tcPr>
            <w:tcW w:w="1381" w:type="dxa"/>
            <w:vAlign w:val="center"/>
          </w:tcPr>
          <w:p w14:paraId="7FF6D18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2D9D97CF" w14:textId="77777777" w:rsidTr="00871FD5">
        <w:trPr>
          <w:trHeight w:val="144"/>
        </w:trPr>
        <w:tc>
          <w:tcPr>
            <w:tcW w:w="1028" w:type="dxa"/>
            <w:shd w:val="clear" w:color="auto" w:fill="auto"/>
            <w:vAlign w:val="bottom"/>
          </w:tcPr>
          <w:p w14:paraId="243BC2E8"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13</w:t>
            </w:r>
          </w:p>
        </w:tc>
        <w:tc>
          <w:tcPr>
            <w:tcW w:w="1378" w:type="dxa"/>
            <w:shd w:val="clear" w:color="auto" w:fill="auto"/>
            <w:vAlign w:val="center"/>
          </w:tcPr>
          <w:p w14:paraId="23B0FB46"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141.9</w:t>
            </w:r>
          </w:p>
        </w:tc>
        <w:tc>
          <w:tcPr>
            <w:tcW w:w="1381" w:type="dxa"/>
            <w:vAlign w:val="center"/>
          </w:tcPr>
          <w:p w14:paraId="57A480B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5CEB204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296.8</w:t>
            </w:r>
          </w:p>
        </w:tc>
        <w:tc>
          <w:tcPr>
            <w:tcW w:w="1380" w:type="dxa"/>
            <w:vAlign w:val="center"/>
          </w:tcPr>
          <w:p w14:paraId="43434E24"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081993F2"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202.2</w:t>
            </w:r>
          </w:p>
        </w:tc>
        <w:tc>
          <w:tcPr>
            <w:tcW w:w="1381" w:type="dxa"/>
            <w:vAlign w:val="center"/>
          </w:tcPr>
          <w:p w14:paraId="584D6EB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6268EB24" w14:textId="77777777" w:rsidTr="00871FD5">
        <w:trPr>
          <w:trHeight w:val="144"/>
        </w:trPr>
        <w:tc>
          <w:tcPr>
            <w:tcW w:w="1028" w:type="dxa"/>
            <w:shd w:val="clear" w:color="auto" w:fill="auto"/>
            <w:vAlign w:val="bottom"/>
          </w:tcPr>
          <w:p w14:paraId="11D5A98F"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14</w:t>
            </w:r>
          </w:p>
        </w:tc>
        <w:tc>
          <w:tcPr>
            <w:tcW w:w="1378" w:type="dxa"/>
            <w:shd w:val="clear" w:color="auto" w:fill="auto"/>
            <w:vAlign w:val="center"/>
          </w:tcPr>
          <w:p w14:paraId="4CD67FC2"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163.6</w:t>
            </w:r>
          </w:p>
        </w:tc>
        <w:tc>
          <w:tcPr>
            <w:tcW w:w="1381" w:type="dxa"/>
            <w:vAlign w:val="center"/>
          </w:tcPr>
          <w:p w14:paraId="5BF000C7"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215AC13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328.0</w:t>
            </w:r>
          </w:p>
        </w:tc>
        <w:tc>
          <w:tcPr>
            <w:tcW w:w="1380" w:type="dxa"/>
            <w:vAlign w:val="center"/>
          </w:tcPr>
          <w:p w14:paraId="31B221A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19C308D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214.3</w:t>
            </w:r>
          </w:p>
        </w:tc>
        <w:tc>
          <w:tcPr>
            <w:tcW w:w="1381" w:type="dxa"/>
            <w:vAlign w:val="center"/>
          </w:tcPr>
          <w:p w14:paraId="6A37313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3B4CACE9" w14:textId="77777777" w:rsidTr="00871FD5">
        <w:trPr>
          <w:trHeight w:val="144"/>
        </w:trPr>
        <w:tc>
          <w:tcPr>
            <w:tcW w:w="1028" w:type="dxa"/>
            <w:shd w:val="clear" w:color="auto" w:fill="auto"/>
            <w:vAlign w:val="bottom"/>
          </w:tcPr>
          <w:p w14:paraId="6E11B930"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15</w:t>
            </w:r>
          </w:p>
        </w:tc>
        <w:tc>
          <w:tcPr>
            <w:tcW w:w="1378" w:type="dxa"/>
            <w:shd w:val="clear" w:color="auto" w:fill="auto"/>
            <w:vAlign w:val="center"/>
          </w:tcPr>
          <w:p w14:paraId="38FA62F8"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184.5</w:t>
            </w:r>
          </w:p>
        </w:tc>
        <w:tc>
          <w:tcPr>
            <w:tcW w:w="1381" w:type="dxa"/>
            <w:vAlign w:val="center"/>
          </w:tcPr>
          <w:p w14:paraId="78B399B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1D1DB2BE"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355.3</w:t>
            </w:r>
          </w:p>
        </w:tc>
        <w:tc>
          <w:tcPr>
            <w:tcW w:w="1380" w:type="dxa"/>
            <w:vAlign w:val="center"/>
          </w:tcPr>
          <w:p w14:paraId="175ED6C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2C633DA8"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268.8</w:t>
            </w:r>
          </w:p>
        </w:tc>
        <w:tc>
          <w:tcPr>
            <w:tcW w:w="1381" w:type="dxa"/>
            <w:vAlign w:val="center"/>
          </w:tcPr>
          <w:p w14:paraId="76411EE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03700304" w14:textId="77777777" w:rsidTr="00871FD5">
        <w:trPr>
          <w:trHeight w:val="144"/>
        </w:trPr>
        <w:tc>
          <w:tcPr>
            <w:tcW w:w="1028" w:type="dxa"/>
            <w:shd w:val="clear" w:color="auto" w:fill="auto"/>
            <w:vAlign w:val="bottom"/>
          </w:tcPr>
          <w:p w14:paraId="07924AAD"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16</w:t>
            </w:r>
          </w:p>
        </w:tc>
        <w:tc>
          <w:tcPr>
            <w:tcW w:w="1378" w:type="dxa"/>
            <w:shd w:val="clear" w:color="auto" w:fill="auto"/>
            <w:vAlign w:val="center"/>
          </w:tcPr>
          <w:p w14:paraId="12479522"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208.0</w:t>
            </w:r>
          </w:p>
        </w:tc>
        <w:tc>
          <w:tcPr>
            <w:tcW w:w="1381" w:type="dxa"/>
            <w:vAlign w:val="center"/>
          </w:tcPr>
          <w:p w14:paraId="5F30FB5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7527F998"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384.0</w:t>
            </w:r>
          </w:p>
        </w:tc>
        <w:tc>
          <w:tcPr>
            <w:tcW w:w="1380" w:type="dxa"/>
            <w:vAlign w:val="center"/>
          </w:tcPr>
          <w:p w14:paraId="199F421E"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0DB84328"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303.8</w:t>
            </w:r>
          </w:p>
        </w:tc>
        <w:tc>
          <w:tcPr>
            <w:tcW w:w="1381" w:type="dxa"/>
            <w:vAlign w:val="center"/>
          </w:tcPr>
          <w:p w14:paraId="70F5093B"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2055FD01" w14:textId="77777777" w:rsidTr="00871FD5">
        <w:trPr>
          <w:trHeight w:val="144"/>
        </w:trPr>
        <w:tc>
          <w:tcPr>
            <w:tcW w:w="1028" w:type="dxa"/>
            <w:shd w:val="clear" w:color="auto" w:fill="auto"/>
            <w:vAlign w:val="bottom"/>
          </w:tcPr>
          <w:p w14:paraId="7B305730"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17</w:t>
            </w:r>
          </w:p>
        </w:tc>
        <w:tc>
          <w:tcPr>
            <w:tcW w:w="1378" w:type="dxa"/>
            <w:shd w:val="clear" w:color="auto" w:fill="auto"/>
            <w:vAlign w:val="center"/>
          </w:tcPr>
          <w:p w14:paraId="088DC91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231.6</w:t>
            </w:r>
          </w:p>
        </w:tc>
        <w:tc>
          <w:tcPr>
            <w:tcW w:w="1381" w:type="dxa"/>
            <w:vAlign w:val="center"/>
          </w:tcPr>
          <w:p w14:paraId="42696754"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60ADDCC7"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414.7</w:t>
            </w:r>
          </w:p>
        </w:tc>
        <w:tc>
          <w:tcPr>
            <w:tcW w:w="1380" w:type="dxa"/>
            <w:vAlign w:val="center"/>
          </w:tcPr>
          <w:p w14:paraId="08FBA147"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3866D23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315.9</w:t>
            </w:r>
          </w:p>
        </w:tc>
        <w:tc>
          <w:tcPr>
            <w:tcW w:w="1381" w:type="dxa"/>
            <w:vAlign w:val="center"/>
          </w:tcPr>
          <w:p w14:paraId="5B9C903B"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5DEEC6A3" w14:textId="77777777" w:rsidTr="00871FD5">
        <w:trPr>
          <w:trHeight w:val="144"/>
        </w:trPr>
        <w:tc>
          <w:tcPr>
            <w:tcW w:w="1028" w:type="dxa"/>
            <w:shd w:val="clear" w:color="auto" w:fill="auto"/>
            <w:vAlign w:val="bottom"/>
          </w:tcPr>
          <w:p w14:paraId="1DD7D37A"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18</w:t>
            </w:r>
          </w:p>
        </w:tc>
        <w:tc>
          <w:tcPr>
            <w:tcW w:w="1378" w:type="dxa"/>
            <w:shd w:val="clear" w:color="auto" w:fill="auto"/>
            <w:vAlign w:val="center"/>
          </w:tcPr>
          <w:p w14:paraId="7BD8A71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254.4</w:t>
            </w:r>
          </w:p>
        </w:tc>
        <w:tc>
          <w:tcPr>
            <w:tcW w:w="1381" w:type="dxa"/>
            <w:vAlign w:val="center"/>
          </w:tcPr>
          <w:p w14:paraId="418E166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02FE8EE4"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442.1</w:t>
            </w:r>
          </w:p>
        </w:tc>
        <w:tc>
          <w:tcPr>
            <w:tcW w:w="1380" w:type="dxa"/>
            <w:vAlign w:val="center"/>
          </w:tcPr>
          <w:p w14:paraId="7ABC8502"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2D47A92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328.6</w:t>
            </w:r>
          </w:p>
        </w:tc>
        <w:tc>
          <w:tcPr>
            <w:tcW w:w="1381" w:type="dxa"/>
            <w:vAlign w:val="center"/>
          </w:tcPr>
          <w:p w14:paraId="3131C8B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382EC238" w14:textId="77777777" w:rsidTr="00871FD5">
        <w:trPr>
          <w:trHeight w:val="144"/>
        </w:trPr>
        <w:tc>
          <w:tcPr>
            <w:tcW w:w="1028" w:type="dxa"/>
            <w:shd w:val="clear" w:color="auto" w:fill="auto"/>
            <w:vAlign w:val="bottom"/>
          </w:tcPr>
          <w:p w14:paraId="2C473C19"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19</w:t>
            </w:r>
          </w:p>
        </w:tc>
        <w:tc>
          <w:tcPr>
            <w:tcW w:w="1378" w:type="dxa"/>
            <w:shd w:val="clear" w:color="auto" w:fill="auto"/>
            <w:vAlign w:val="center"/>
          </w:tcPr>
          <w:p w14:paraId="43D95F9A"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275.3</w:t>
            </w:r>
          </w:p>
        </w:tc>
        <w:tc>
          <w:tcPr>
            <w:tcW w:w="1381" w:type="dxa"/>
            <w:vAlign w:val="center"/>
          </w:tcPr>
          <w:p w14:paraId="05356C98"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6D93A7EE"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466.3</w:t>
            </w:r>
          </w:p>
        </w:tc>
        <w:tc>
          <w:tcPr>
            <w:tcW w:w="1380" w:type="dxa"/>
            <w:vAlign w:val="center"/>
          </w:tcPr>
          <w:p w14:paraId="549E55D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594EEC3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364.5</w:t>
            </w:r>
          </w:p>
        </w:tc>
        <w:tc>
          <w:tcPr>
            <w:tcW w:w="1381" w:type="dxa"/>
            <w:vAlign w:val="center"/>
          </w:tcPr>
          <w:p w14:paraId="43CA0501"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1187C8D7" w14:textId="77777777" w:rsidTr="00871FD5">
        <w:trPr>
          <w:trHeight w:val="144"/>
        </w:trPr>
        <w:tc>
          <w:tcPr>
            <w:tcW w:w="1028" w:type="dxa"/>
            <w:shd w:val="clear" w:color="auto" w:fill="auto"/>
            <w:vAlign w:val="bottom"/>
          </w:tcPr>
          <w:p w14:paraId="74DDA36D"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20</w:t>
            </w:r>
          </w:p>
        </w:tc>
        <w:tc>
          <w:tcPr>
            <w:tcW w:w="1378" w:type="dxa"/>
            <w:shd w:val="clear" w:color="auto" w:fill="auto"/>
            <w:vAlign w:val="center"/>
          </w:tcPr>
          <w:p w14:paraId="75D37891"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297.2</w:t>
            </w:r>
          </w:p>
        </w:tc>
        <w:tc>
          <w:tcPr>
            <w:tcW w:w="1381" w:type="dxa"/>
            <w:vAlign w:val="center"/>
          </w:tcPr>
          <w:p w14:paraId="4CC5492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4793A44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491.2</w:t>
            </w:r>
          </w:p>
        </w:tc>
        <w:tc>
          <w:tcPr>
            <w:tcW w:w="1380" w:type="dxa"/>
            <w:vAlign w:val="center"/>
          </w:tcPr>
          <w:p w14:paraId="0612D69F"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1BC05187"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381.8</w:t>
            </w:r>
          </w:p>
        </w:tc>
        <w:tc>
          <w:tcPr>
            <w:tcW w:w="1381" w:type="dxa"/>
            <w:vAlign w:val="center"/>
          </w:tcPr>
          <w:p w14:paraId="3C0471A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14587CBD" w14:textId="77777777" w:rsidTr="00871FD5">
        <w:trPr>
          <w:trHeight w:val="144"/>
        </w:trPr>
        <w:tc>
          <w:tcPr>
            <w:tcW w:w="1028" w:type="dxa"/>
            <w:shd w:val="clear" w:color="auto" w:fill="auto"/>
            <w:vAlign w:val="bottom"/>
          </w:tcPr>
          <w:p w14:paraId="21309F0C"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21</w:t>
            </w:r>
          </w:p>
        </w:tc>
        <w:tc>
          <w:tcPr>
            <w:tcW w:w="1378" w:type="dxa"/>
            <w:shd w:val="clear" w:color="auto" w:fill="auto"/>
            <w:vAlign w:val="center"/>
          </w:tcPr>
          <w:p w14:paraId="6152590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315.6</w:t>
            </w:r>
          </w:p>
        </w:tc>
        <w:tc>
          <w:tcPr>
            <w:tcW w:w="1381" w:type="dxa"/>
            <w:vAlign w:val="center"/>
          </w:tcPr>
          <w:p w14:paraId="2F2DB72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07D7748A"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511.1</w:t>
            </w:r>
          </w:p>
        </w:tc>
        <w:tc>
          <w:tcPr>
            <w:tcW w:w="1380" w:type="dxa"/>
            <w:vAlign w:val="center"/>
          </w:tcPr>
          <w:p w14:paraId="6F9E75C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2D19FEA2"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415.8</w:t>
            </w:r>
          </w:p>
        </w:tc>
        <w:tc>
          <w:tcPr>
            <w:tcW w:w="1381" w:type="dxa"/>
            <w:vAlign w:val="center"/>
          </w:tcPr>
          <w:p w14:paraId="594A5981"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24A9FD6E" w14:textId="77777777" w:rsidTr="00871FD5">
        <w:trPr>
          <w:trHeight w:val="144"/>
        </w:trPr>
        <w:tc>
          <w:tcPr>
            <w:tcW w:w="1028" w:type="dxa"/>
            <w:shd w:val="clear" w:color="auto" w:fill="auto"/>
            <w:vAlign w:val="bottom"/>
          </w:tcPr>
          <w:p w14:paraId="21B60E18"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22</w:t>
            </w:r>
          </w:p>
        </w:tc>
        <w:tc>
          <w:tcPr>
            <w:tcW w:w="1378" w:type="dxa"/>
            <w:shd w:val="clear" w:color="auto" w:fill="auto"/>
            <w:vAlign w:val="center"/>
          </w:tcPr>
          <w:p w14:paraId="6047615E"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332.2</w:t>
            </w:r>
          </w:p>
        </w:tc>
        <w:tc>
          <w:tcPr>
            <w:tcW w:w="1381" w:type="dxa"/>
            <w:vAlign w:val="center"/>
          </w:tcPr>
          <w:p w14:paraId="2D6F4B4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21A70356"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528.1</w:t>
            </w:r>
          </w:p>
        </w:tc>
        <w:tc>
          <w:tcPr>
            <w:tcW w:w="1380" w:type="dxa"/>
            <w:vAlign w:val="center"/>
          </w:tcPr>
          <w:p w14:paraId="1F37C45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39745676"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431.5</w:t>
            </w:r>
          </w:p>
        </w:tc>
        <w:tc>
          <w:tcPr>
            <w:tcW w:w="1381" w:type="dxa"/>
            <w:vAlign w:val="center"/>
          </w:tcPr>
          <w:p w14:paraId="3F25B55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3F2ACE86" w14:textId="77777777" w:rsidTr="00871FD5">
        <w:trPr>
          <w:trHeight w:val="144"/>
        </w:trPr>
        <w:tc>
          <w:tcPr>
            <w:tcW w:w="1028" w:type="dxa"/>
            <w:shd w:val="clear" w:color="auto" w:fill="auto"/>
            <w:vAlign w:val="bottom"/>
          </w:tcPr>
          <w:p w14:paraId="286C3B5B"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23</w:t>
            </w:r>
          </w:p>
        </w:tc>
        <w:tc>
          <w:tcPr>
            <w:tcW w:w="1378" w:type="dxa"/>
            <w:shd w:val="clear" w:color="auto" w:fill="auto"/>
            <w:vAlign w:val="center"/>
          </w:tcPr>
          <w:p w14:paraId="5B2DD618"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349.7</w:t>
            </w:r>
          </w:p>
        </w:tc>
        <w:tc>
          <w:tcPr>
            <w:tcW w:w="1381" w:type="dxa"/>
            <w:vAlign w:val="center"/>
          </w:tcPr>
          <w:p w14:paraId="087B2DD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789B3446"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546.8</w:t>
            </w:r>
          </w:p>
        </w:tc>
        <w:tc>
          <w:tcPr>
            <w:tcW w:w="1380" w:type="dxa"/>
            <w:vAlign w:val="center"/>
          </w:tcPr>
          <w:p w14:paraId="75315C16"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01A69F2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453.3</w:t>
            </w:r>
          </w:p>
        </w:tc>
        <w:tc>
          <w:tcPr>
            <w:tcW w:w="1381" w:type="dxa"/>
            <w:vAlign w:val="center"/>
          </w:tcPr>
          <w:p w14:paraId="7035131A"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C63C28" w:rsidRPr="00B20608" w14:paraId="0CD7FFEE" w14:textId="77777777" w:rsidTr="00871FD5">
        <w:trPr>
          <w:trHeight w:val="144"/>
        </w:trPr>
        <w:tc>
          <w:tcPr>
            <w:tcW w:w="1028" w:type="dxa"/>
            <w:shd w:val="clear" w:color="auto" w:fill="auto"/>
            <w:vAlign w:val="bottom"/>
          </w:tcPr>
          <w:p w14:paraId="6841B648" w14:textId="77777777" w:rsidR="00C63C28" w:rsidRPr="007E1FAA" w:rsidRDefault="00C63C28" w:rsidP="00C63C28">
            <w:pPr>
              <w:pStyle w:val="TableBody"/>
              <w:spacing w:line="240" w:lineRule="auto"/>
              <w:jc w:val="center"/>
              <w:rPr>
                <w:rFonts w:ascii="Times New Roman" w:hAnsi="Times New Roman"/>
                <w:sz w:val="18"/>
                <w:szCs w:val="18"/>
                <w:lang w:val="en-US"/>
              </w:rPr>
            </w:pPr>
            <w:r w:rsidRPr="007E1FAA">
              <w:rPr>
                <w:rFonts w:ascii="Times New Roman" w:hAnsi="Times New Roman"/>
                <w:color w:val="000000"/>
                <w:sz w:val="18"/>
                <w:szCs w:val="18"/>
              </w:rPr>
              <w:t>24</w:t>
            </w:r>
          </w:p>
        </w:tc>
        <w:tc>
          <w:tcPr>
            <w:tcW w:w="1378" w:type="dxa"/>
            <w:shd w:val="clear" w:color="auto" w:fill="auto"/>
            <w:vAlign w:val="center"/>
          </w:tcPr>
          <w:p w14:paraId="3BFACC90"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364.3</w:t>
            </w:r>
          </w:p>
        </w:tc>
        <w:tc>
          <w:tcPr>
            <w:tcW w:w="1381" w:type="dxa"/>
            <w:vAlign w:val="center"/>
          </w:tcPr>
          <w:p w14:paraId="1F867313"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vAlign w:val="center"/>
          </w:tcPr>
          <w:p w14:paraId="03F973AD"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560.6</w:t>
            </w:r>
          </w:p>
        </w:tc>
        <w:tc>
          <w:tcPr>
            <w:tcW w:w="1380" w:type="dxa"/>
            <w:vAlign w:val="center"/>
          </w:tcPr>
          <w:p w14:paraId="13D76A2C"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shd w:val="clear" w:color="auto" w:fill="auto"/>
            <w:vAlign w:val="center"/>
          </w:tcPr>
          <w:p w14:paraId="4A10E7E9"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466.7</w:t>
            </w:r>
          </w:p>
        </w:tc>
        <w:tc>
          <w:tcPr>
            <w:tcW w:w="1381" w:type="dxa"/>
            <w:vAlign w:val="center"/>
          </w:tcPr>
          <w:p w14:paraId="059DABE4" w14:textId="77777777" w:rsidR="00C63C28" w:rsidRPr="00C63C28" w:rsidRDefault="00C63C28" w:rsidP="00C63C28">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r w:rsidR="001F0C54" w:rsidRPr="00B20608" w14:paraId="09F290A5" w14:textId="77777777" w:rsidTr="00871FD5">
        <w:trPr>
          <w:trHeight w:val="144"/>
        </w:trPr>
        <w:tc>
          <w:tcPr>
            <w:tcW w:w="1028" w:type="dxa"/>
            <w:shd w:val="clear" w:color="auto" w:fill="auto"/>
            <w:vAlign w:val="bottom"/>
          </w:tcPr>
          <w:p w14:paraId="7237226F" w14:textId="58BDAE04" w:rsidR="001F0C54" w:rsidRPr="007E1FAA" w:rsidRDefault="001F0C54"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25</w:t>
            </w:r>
          </w:p>
        </w:tc>
        <w:tc>
          <w:tcPr>
            <w:tcW w:w="1378" w:type="dxa"/>
            <w:shd w:val="clear" w:color="auto" w:fill="auto"/>
            <w:vAlign w:val="center"/>
          </w:tcPr>
          <w:p w14:paraId="4830F2EF" w14:textId="3C021C29"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377.5</w:t>
            </w:r>
          </w:p>
        </w:tc>
        <w:tc>
          <w:tcPr>
            <w:tcW w:w="1381" w:type="dxa"/>
            <w:vAlign w:val="center"/>
          </w:tcPr>
          <w:p w14:paraId="18E4A959" w14:textId="57ADADEC"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vAlign w:val="center"/>
          </w:tcPr>
          <w:p w14:paraId="17416BBD" w14:textId="7040185F"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572.1</w:t>
            </w:r>
          </w:p>
        </w:tc>
        <w:tc>
          <w:tcPr>
            <w:tcW w:w="1380" w:type="dxa"/>
            <w:vAlign w:val="center"/>
          </w:tcPr>
          <w:p w14:paraId="43CEF22C" w14:textId="3B314FEE"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shd w:val="clear" w:color="auto" w:fill="auto"/>
            <w:vAlign w:val="center"/>
          </w:tcPr>
          <w:p w14:paraId="752D6AE2" w14:textId="77E0E1C0" w:rsidR="005C579D" w:rsidRPr="00C63C28" w:rsidRDefault="005C579D" w:rsidP="005C579D">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481.6</w:t>
            </w:r>
          </w:p>
        </w:tc>
        <w:tc>
          <w:tcPr>
            <w:tcW w:w="1381" w:type="dxa"/>
            <w:vAlign w:val="center"/>
          </w:tcPr>
          <w:p w14:paraId="6A6A4554" w14:textId="0D01F4A3"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75.5</w:t>
            </w:r>
          </w:p>
        </w:tc>
      </w:tr>
      <w:tr w:rsidR="001F0C54" w:rsidRPr="00B20608" w14:paraId="48BB78EA" w14:textId="77777777" w:rsidTr="00871FD5">
        <w:trPr>
          <w:trHeight w:val="144"/>
        </w:trPr>
        <w:tc>
          <w:tcPr>
            <w:tcW w:w="1028" w:type="dxa"/>
            <w:shd w:val="clear" w:color="auto" w:fill="auto"/>
            <w:vAlign w:val="bottom"/>
          </w:tcPr>
          <w:p w14:paraId="3669245B" w14:textId="7A672643" w:rsidR="001F0C54" w:rsidRPr="007E1FAA" w:rsidRDefault="001F0C54"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lastRenderedPageBreak/>
              <w:t>26</w:t>
            </w:r>
          </w:p>
        </w:tc>
        <w:tc>
          <w:tcPr>
            <w:tcW w:w="1378" w:type="dxa"/>
            <w:shd w:val="clear" w:color="auto" w:fill="auto"/>
            <w:vAlign w:val="center"/>
          </w:tcPr>
          <w:p w14:paraId="7AA48548" w14:textId="766C0709"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389.2</w:t>
            </w:r>
          </w:p>
        </w:tc>
        <w:tc>
          <w:tcPr>
            <w:tcW w:w="1381" w:type="dxa"/>
            <w:vAlign w:val="center"/>
          </w:tcPr>
          <w:p w14:paraId="149A0D46" w14:textId="3CF617EB"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vAlign w:val="center"/>
          </w:tcPr>
          <w:p w14:paraId="74FC027B" w14:textId="3E814127"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586.7</w:t>
            </w:r>
          </w:p>
        </w:tc>
        <w:tc>
          <w:tcPr>
            <w:tcW w:w="1380" w:type="dxa"/>
            <w:vAlign w:val="center"/>
          </w:tcPr>
          <w:p w14:paraId="02F8108A" w14:textId="6DD42F94"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shd w:val="clear" w:color="auto" w:fill="auto"/>
            <w:vAlign w:val="center"/>
          </w:tcPr>
          <w:p w14:paraId="019F2852" w14:textId="71AAE6E6" w:rsidR="001F0C54" w:rsidRPr="00C63C28" w:rsidRDefault="005C579D"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492.3</w:t>
            </w:r>
          </w:p>
        </w:tc>
        <w:tc>
          <w:tcPr>
            <w:tcW w:w="1381" w:type="dxa"/>
            <w:vAlign w:val="center"/>
          </w:tcPr>
          <w:p w14:paraId="51DA8F62" w14:textId="1F12B94E"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75.5</w:t>
            </w:r>
          </w:p>
        </w:tc>
      </w:tr>
      <w:tr w:rsidR="001F0C54" w:rsidRPr="00B20608" w14:paraId="308886FF" w14:textId="77777777" w:rsidTr="00871FD5">
        <w:trPr>
          <w:trHeight w:val="144"/>
        </w:trPr>
        <w:tc>
          <w:tcPr>
            <w:tcW w:w="1028" w:type="dxa"/>
            <w:shd w:val="clear" w:color="auto" w:fill="auto"/>
            <w:vAlign w:val="bottom"/>
          </w:tcPr>
          <w:p w14:paraId="32485EEF" w14:textId="7A6E9995" w:rsidR="001F0C54" w:rsidRPr="007E1FAA" w:rsidRDefault="001F0C54"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27</w:t>
            </w:r>
          </w:p>
        </w:tc>
        <w:tc>
          <w:tcPr>
            <w:tcW w:w="1378" w:type="dxa"/>
            <w:shd w:val="clear" w:color="auto" w:fill="auto"/>
            <w:vAlign w:val="center"/>
          </w:tcPr>
          <w:p w14:paraId="1D6ECFC4" w14:textId="295D9E4A"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403.3</w:t>
            </w:r>
          </w:p>
        </w:tc>
        <w:tc>
          <w:tcPr>
            <w:tcW w:w="1381" w:type="dxa"/>
            <w:vAlign w:val="center"/>
          </w:tcPr>
          <w:p w14:paraId="3F255CFB" w14:textId="480067DD"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vAlign w:val="center"/>
          </w:tcPr>
          <w:p w14:paraId="176CEDAA" w14:textId="71A0E95E"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596.3</w:t>
            </w:r>
          </w:p>
        </w:tc>
        <w:tc>
          <w:tcPr>
            <w:tcW w:w="1380" w:type="dxa"/>
            <w:vAlign w:val="center"/>
          </w:tcPr>
          <w:p w14:paraId="48E65C7D" w14:textId="003243F8"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shd w:val="clear" w:color="auto" w:fill="auto"/>
            <w:vAlign w:val="center"/>
          </w:tcPr>
          <w:p w14:paraId="4876F70F" w14:textId="27039125" w:rsidR="001F0C54" w:rsidRPr="00C63C28" w:rsidRDefault="005C579D"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502.4</w:t>
            </w:r>
          </w:p>
        </w:tc>
        <w:tc>
          <w:tcPr>
            <w:tcW w:w="1381" w:type="dxa"/>
            <w:vAlign w:val="center"/>
          </w:tcPr>
          <w:p w14:paraId="16F0D783" w14:textId="2C5B9FA2"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75.5</w:t>
            </w:r>
          </w:p>
        </w:tc>
      </w:tr>
      <w:tr w:rsidR="001F0C54" w:rsidRPr="00B20608" w14:paraId="7197EED0" w14:textId="77777777" w:rsidTr="00871FD5">
        <w:trPr>
          <w:trHeight w:val="144"/>
        </w:trPr>
        <w:tc>
          <w:tcPr>
            <w:tcW w:w="1028" w:type="dxa"/>
            <w:shd w:val="clear" w:color="auto" w:fill="auto"/>
            <w:vAlign w:val="bottom"/>
          </w:tcPr>
          <w:p w14:paraId="24FA3BF6" w14:textId="25EFBFA8" w:rsidR="001F0C54" w:rsidRPr="007E1FAA" w:rsidRDefault="001F0C54"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28</w:t>
            </w:r>
          </w:p>
        </w:tc>
        <w:tc>
          <w:tcPr>
            <w:tcW w:w="1378" w:type="dxa"/>
            <w:shd w:val="clear" w:color="auto" w:fill="auto"/>
            <w:vAlign w:val="center"/>
          </w:tcPr>
          <w:p w14:paraId="2EDB1473" w14:textId="15E60C21"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414.0</w:t>
            </w:r>
          </w:p>
        </w:tc>
        <w:tc>
          <w:tcPr>
            <w:tcW w:w="1381" w:type="dxa"/>
            <w:vAlign w:val="center"/>
          </w:tcPr>
          <w:p w14:paraId="25AC4F94" w14:textId="529D6CCA"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vAlign w:val="center"/>
          </w:tcPr>
          <w:p w14:paraId="5E75A566" w14:textId="476112FB"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607.7</w:t>
            </w:r>
          </w:p>
        </w:tc>
        <w:tc>
          <w:tcPr>
            <w:tcW w:w="1380" w:type="dxa"/>
            <w:vAlign w:val="center"/>
          </w:tcPr>
          <w:p w14:paraId="62572294" w14:textId="1F92F13C"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shd w:val="clear" w:color="auto" w:fill="auto"/>
            <w:vAlign w:val="center"/>
          </w:tcPr>
          <w:p w14:paraId="43D67084" w14:textId="58648CE0" w:rsidR="005C579D" w:rsidRPr="00C63C28" w:rsidRDefault="005C579D" w:rsidP="005C579D">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510.4</w:t>
            </w:r>
          </w:p>
        </w:tc>
        <w:tc>
          <w:tcPr>
            <w:tcW w:w="1381" w:type="dxa"/>
            <w:vAlign w:val="center"/>
          </w:tcPr>
          <w:p w14:paraId="14A74F3F" w14:textId="5207C977"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75.5</w:t>
            </w:r>
          </w:p>
        </w:tc>
      </w:tr>
      <w:tr w:rsidR="001F0C54" w:rsidRPr="00B20608" w14:paraId="4927F27D" w14:textId="77777777" w:rsidTr="00871FD5">
        <w:trPr>
          <w:trHeight w:val="144"/>
        </w:trPr>
        <w:tc>
          <w:tcPr>
            <w:tcW w:w="1028" w:type="dxa"/>
            <w:shd w:val="clear" w:color="auto" w:fill="auto"/>
            <w:vAlign w:val="bottom"/>
          </w:tcPr>
          <w:p w14:paraId="270E6474" w14:textId="656AA31B" w:rsidR="001F0C54" w:rsidRPr="007E1FAA" w:rsidRDefault="001F0C54"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29</w:t>
            </w:r>
          </w:p>
        </w:tc>
        <w:tc>
          <w:tcPr>
            <w:tcW w:w="1378" w:type="dxa"/>
            <w:shd w:val="clear" w:color="auto" w:fill="auto"/>
            <w:vAlign w:val="center"/>
          </w:tcPr>
          <w:p w14:paraId="6E307A53" w14:textId="7AD17F01"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423.9</w:t>
            </w:r>
          </w:p>
        </w:tc>
        <w:tc>
          <w:tcPr>
            <w:tcW w:w="1381" w:type="dxa"/>
            <w:vAlign w:val="center"/>
          </w:tcPr>
          <w:p w14:paraId="54D1A73B" w14:textId="7C63639C"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vAlign w:val="center"/>
          </w:tcPr>
          <w:p w14:paraId="0A095DA0" w14:textId="199E45B7" w:rsidR="001F0C54" w:rsidRPr="00C63C28" w:rsidRDefault="00C91521"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615.8</w:t>
            </w:r>
          </w:p>
        </w:tc>
        <w:tc>
          <w:tcPr>
            <w:tcW w:w="1380" w:type="dxa"/>
            <w:vAlign w:val="center"/>
          </w:tcPr>
          <w:p w14:paraId="245978C7" w14:textId="633D508E"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0</w:t>
            </w:r>
          </w:p>
        </w:tc>
        <w:tc>
          <w:tcPr>
            <w:tcW w:w="1379" w:type="dxa"/>
            <w:shd w:val="clear" w:color="auto" w:fill="auto"/>
            <w:vAlign w:val="center"/>
          </w:tcPr>
          <w:p w14:paraId="177B1FDF" w14:textId="084509C1" w:rsidR="001F0C54" w:rsidRPr="00C63C28" w:rsidRDefault="005C579D" w:rsidP="001F0C54">
            <w:pPr>
              <w:pStyle w:val="TableBody"/>
              <w:spacing w:line="240" w:lineRule="auto"/>
              <w:jc w:val="center"/>
              <w:rPr>
                <w:rFonts w:ascii="Times New Roman" w:hAnsi="Times New Roman"/>
                <w:color w:val="000000"/>
                <w:sz w:val="18"/>
                <w:szCs w:val="18"/>
              </w:rPr>
            </w:pPr>
            <w:r>
              <w:rPr>
                <w:rFonts w:ascii="Times New Roman" w:hAnsi="Times New Roman"/>
                <w:color w:val="000000"/>
                <w:sz w:val="18"/>
                <w:szCs w:val="18"/>
              </w:rPr>
              <w:t>518.8</w:t>
            </w:r>
          </w:p>
        </w:tc>
        <w:tc>
          <w:tcPr>
            <w:tcW w:w="1381" w:type="dxa"/>
            <w:vAlign w:val="center"/>
          </w:tcPr>
          <w:p w14:paraId="69825C9D" w14:textId="0FC8BC3D" w:rsidR="001F0C54" w:rsidRPr="00C63C28" w:rsidRDefault="001F0C54" w:rsidP="001F0C54">
            <w:pPr>
              <w:pStyle w:val="TableBody"/>
              <w:spacing w:line="240" w:lineRule="auto"/>
              <w:jc w:val="center"/>
              <w:rPr>
                <w:rFonts w:ascii="Times New Roman" w:hAnsi="Times New Roman"/>
                <w:color w:val="000000"/>
                <w:sz w:val="18"/>
                <w:szCs w:val="18"/>
              </w:rPr>
            </w:pPr>
            <w:r w:rsidRPr="00C63C28">
              <w:rPr>
                <w:rFonts w:ascii="Times New Roman" w:hAnsi="Times New Roman"/>
                <w:color w:val="000000"/>
                <w:sz w:val="18"/>
                <w:szCs w:val="18"/>
              </w:rPr>
              <w:t>75.5</w:t>
            </w:r>
          </w:p>
        </w:tc>
      </w:tr>
      <w:tr w:rsidR="001F0C54" w:rsidRPr="00B20608" w14:paraId="1D0D24C6" w14:textId="77777777" w:rsidTr="00871FD5">
        <w:trPr>
          <w:trHeight w:val="144"/>
        </w:trPr>
        <w:tc>
          <w:tcPr>
            <w:tcW w:w="1028" w:type="dxa"/>
            <w:tcBorders>
              <w:bottom w:val="single" w:sz="4" w:space="0" w:color="auto"/>
            </w:tcBorders>
            <w:shd w:val="clear" w:color="auto" w:fill="auto"/>
            <w:vAlign w:val="bottom"/>
          </w:tcPr>
          <w:p w14:paraId="5582067B" w14:textId="664F2D34" w:rsidR="001F0C54" w:rsidRPr="007E1FAA" w:rsidRDefault="001F0C54" w:rsidP="001F0C54">
            <w:pPr>
              <w:pStyle w:val="TableBody"/>
              <w:spacing w:line="240" w:lineRule="auto"/>
              <w:jc w:val="center"/>
              <w:rPr>
                <w:rFonts w:ascii="Times New Roman" w:hAnsi="Times New Roman"/>
                <w:sz w:val="18"/>
                <w:szCs w:val="18"/>
                <w:lang w:val="en-US"/>
              </w:rPr>
            </w:pPr>
            <w:r>
              <w:rPr>
                <w:rFonts w:ascii="Times New Roman" w:hAnsi="Times New Roman"/>
                <w:color w:val="000000"/>
                <w:sz w:val="18"/>
                <w:szCs w:val="18"/>
              </w:rPr>
              <w:t>30</w:t>
            </w:r>
          </w:p>
        </w:tc>
        <w:tc>
          <w:tcPr>
            <w:tcW w:w="1378" w:type="dxa"/>
            <w:tcBorders>
              <w:bottom w:val="single" w:sz="4" w:space="0" w:color="auto"/>
            </w:tcBorders>
            <w:shd w:val="clear" w:color="auto" w:fill="auto"/>
            <w:vAlign w:val="center"/>
          </w:tcPr>
          <w:p w14:paraId="783F7F49" w14:textId="0B5A124F" w:rsidR="001F0C54" w:rsidRPr="00C63C28" w:rsidRDefault="00C91521" w:rsidP="001F0C54">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436.0</w:t>
            </w:r>
          </w:p>
        </w:tc>
        <w:tc>
          <w:tcPr>
            <w:tcW w:w="1381" w:type="dxa"/>
            <w:tcBorders>
              <w:bottom w:val="single" w:sz="4" w:space="0" w:color="auto"/>
            </w:tcBorders>
            <w:vAlign w:val="center"/>
          </w:tcPr>
          <w:p w14:paraId="37031539" w14:textId="673B0D28" w:rsidR="001F0C54" w:rsidRPr="00C63C28" w:rsidRDefault="001F0C54" w:rsidP="001F0C54">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0</w:t>
            </w:r>
          </w:p>
        </w:tc>
        <w:tc>
          <w:tcPr>
            <w:tcW w:w="1379" w:type="dxa"/>
            <w:tcBorders>
              <w:bottom w:val="single" w:sz="4" w:space="0" w:color="auto"/>
            </w:tcBorders>
            <w:vAlign w:val="center"/>
          </w:tcPr>
          <w:p w14:paraId="0C51EF5F" w14:textId="7D2103D3" w:rsidR="001F0C54" w:rsidRPr="00C63C28" w:rsidRDefault="00C91521" w:rsidP="001F0C54">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621.8</w:t>
            </w:r>
          </w:p>
        </w:tc>
        <w:tc>
          <w:tcPr>
            <w:tcW w:w="1380" w:type="dxa"/>
            <w:tcBorders>
              <w:bottom w:val="single" w:sz="4" w:space="0" w:color="auto"/>
            </w:tcBorders>
            <w:vAlign w:val="center"/>
          </w:tcPr>
          <w:p w14:paraId="3E58C3D0" w14:textId="4248358C" w:rsidR="001F0C54" w:rsidRPr="00C63C28" w:rsidRDefault="001F0C54" w:rsidP="001F0C54">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0</w:t>
            </w:r>
          </w:p>
        </w:tc>
        <w:tc>
          <w:tcPr>
            <w:tcW w:w="1379" w:type="dxa"/>
            <w:tcBorders>
              <w:bottom w:val="single" w:sz="4" w:space="0" w:color="auto"/>
            </w:tcBorders>
            <w:shd w:val="clear" w:color="auto" w:fill="auto"/>
            <w:vAlign w:val="center"/>
          </w:tcPr>
          <w:p w14:paraId="6E5CD428" w14:textId="2A03DC17" w:rsidR="001F0C54" w:rsidRPr="00C63C28" w:rsidRDefault="005C579D" w:rsidP="001F0C54">
            <w:pPr>
              <w:pStyle w:val="TableBody"/>
              <w:spacing w:line="240" w:lineRule="auto"/>
              <w:jc w:val="center"/>
              <w:rPr>
                <w:rFonts w:ascii="Times New Roman" w:hAnsi="Times New Roman"/>
                <w:sz w:val="18"/>
                <w:szCs w:val="18"/>
                <w:lang w:val="en-US"/>
              </w:rPr>
            </w:pPr>
            <w:r>
              <w:rPr>
                <w:rFonts w:ascii="Times New Roman" w:hAnsi="Times New Roman"/>
                <w:sz w:val="18"/>
                <w:szCs w:val="18"/>
                <w:lang w:val="en-US"/>
              </w:rPr>
              <w:t>525.3</w:t>
            </w:r>
          </w:p>
        </w:tc>
        <w:tc>
          <w:tcPr>
            <w:tcW w:w="1381" w:type="dxa"/>
            <w:tcBorders>
              <w:bottom w:val="single" w:sz="4" w:space="0" w:color="auto"/>
            </w:tcBorders>
            <w:vAlign w:val="center"/>
          </w:tcPr>
          <w:p w14:paraId="7A43FB50" w14:textId="22EA3A1E" w:rsidR="001F0C54" w:rsidRPr="00C63C28" w:rsidRDefault="001F0C54" w:rsidP="001F0C54">
            <w:pPr>
              <w:pStyle w:val="TableBody"/>
              <w:spacing w:line="240" w:lineRule="auto"/>
              <w:jc w:val="center"/>
              <w:rPr>
                <w:rFonts w:ascii="Times New Roman" w:hAnsi="Times New Roman"/>
                <w:sz w:val="18"/>
                <w:szCs w:val="18"/>
                <w:lang w:val="en-US"/>
              </w:rPr>
            </w:pPr>
            <w:r w:rsidRPr="00C63C28">
              <w:rPr>
                <w:rFonts w:ascii="Times New Roman" w:hAnsi="Times New Roman"/>
                <w:color w:val="000000"/>
                <w:sz w:val="18"/>
                <w:szCs w:val="18"/>
              </w:rPr>
              <w:t>75.5</w:t>
            </w:r>
          </w:p>
        </w:tc>
      </w:tr>
    </w:tbl>
    <w:p w14:paraId="1C488B63" w14:textId="77777777" w:rsidR="009B1E68" w:rsidRPr="00BA4FB9" w:rsidRDefault="009B1E68" w:rsidP="007E1FAA">
      <w:pPr>
        <w:spacing w:after="0" w:line="240" w:lineRule="auto"/>
        <w:rPr>
          <w:rFonts w:ascii="Times New Roman" w:hAnsi="Times New Roman" w:cs="Times New Roman"/>
          <w:sz w:val="18"/>
          <w:szCs w:val="18"/>
        </w:rPr>
      </w:pPr>
      <w:r w:rsidRPr="00BA4FB9">
        <w:rPr>
          <w:rFonts w:ascii="Times New Roman" w:hAnsi="Times New Roman" w:cs="Times New Roman"/>
          <w:sz w:val="18"/>
          <w:szCs w:val="18"/>
          <w:vertAlign w:val="superscript"/>
        </w:rPr>
        <w:t xml:space="preserve">a </w:t>
      </w:r>
      <w:r w:rsidRPr="00BA4FB9">
        <w:rPr>
          <w:rFonts w:ascii="Times New Roman" w:hAnsi="Times New Roman" w:cs="Times New Roman"/>
          <w:sz w:val="18"/>
          <w:szCs w:val="18"/>
        </w:rPr>
        <w:t>1 ha = 10,000 m</w:t>
      </w:r>
      <w:r w:rsidRPr="00BA4FB9">
        <w:rPr>
          <w:rFonts w:ascii="Times New Roman" w:hAnsi="Times New Roman" w:cs="Times New Roman"/>
          <w:sz w:val="18"/>
          <w:szCs w:val="18"/>
          <w:vertAlign w:val="superscript"/>
        </w:rPr>
        <w:t>2</w:t>
      </w:r>
    </w:p>
    <w:p w14:paraId="26180512" w14:textId="77777777" w:rsidR="009B1E68" w:rsidRDefault="009B1E68" w:rsidP="00C641EB">
      <w:pPr>
        <w:spacing w:line="480" w:lineRule="auto"/>
        <w:rPr>
          <w:rFonts w:ascii="Times New Roman" w:hAnsi="Times New Roman" w:cs="Times New Roman"/>
          <w:sz w:val="24"/>
          <w:szCs w:val="24"/>
        </w:rPr>
      </w:pPr>
    </w:p>
    <w:p w14:paraId="783C5A45" w14:textId="38C1094D" w:rsidR="00D95F9F" w:rsidRPr="000E1EDC" w:rsidRDefault="00D95F9F" w:rsidP="00D81BB8">
      <w:pPr>
        <w:spacing w:after="0" w:line="480" w:lineRule="auto"/>
        <w:ind w:firstLine="180"/>
        <w:jc w:val="both"/>
        <w:rPr>
          <w:rFonts w:ascii="Times New Roman" w:eastAsia="DengXian Light" w:hAnsi="Times New Roman" w:cs="Times New Roman"/>
          <w:sz w:val="24"/>
          <w:szCs w:val="24"/>
        </w:rPr>
      </w:pPr>
      <w:r w:rsidRPr="000E1EDC">
        <w:rPr>
          <w:rFonts w:ascii="Times New Roman" w:hAnsi="Times New Roman"/>
          <w:sz w:val="24"/>
          <w:szCs w:val="24"/>
        </w:rPr>
        <w:t xml:space="preserve">The </w:t>
      </w:r>
      <w:r w:rsidRPr="000E1EDC">
        <w:rPr>
          <w:rFonts w:ascii="Times New Roman" w:eastAsia="DengXian Light" w:hAnsi="Times New Roman" w:cs="Times New Roman"/>
          <w:sz w:val="24"/>
          <w:szCs w:val="24"/>
        </w:rPr>
        <w:t xml:space="preserve">total residues available in each growth case are given by Equation 1 as shown below. All the biomass outputs from precommercial thinning are regarded as residues due to their non-merchantable size at the early stage of the rotation, while </w:t>
      </w:r>
      <w:r w:rsidRPr="000E1EDC">
        <w:rPr>
          <w:rFonts w:ascii="Times New Roman" w:hAnsi="Times New Roman" w:cs="Times New Roman"/>
          <w:sz w:val="24"/>
          <w:szCs w:val="24"/>
        </w:rPr>
        <w:t xml:space="preserve">19–25% of the </w:t>
      </w:r>
      <w:r w:rsidR="002C0ED9" w:rsidRPr="000E1EDC">
        <w:rPr>
          <w:rFonts w:ascii="Times New Roman" w:hAnsi="Times New Roman" w:cs="Times New Roman"/>
          <w:sz w:val="24"/>
          <w:szCs w:val="24"/>
        </w:rPr>
        <w:t xml:space="preserve">biomass output from logging will be residues (the rest will be logs with bark). For example, in GC3 as shown in Table S1, the residues from precommercial are 75.5 metric tons; the residues from logging are around 525.3 × 22% = 115.6 metric tons. Hence, in GC3, the total residues averagely will be around 190 metric tons. </w:t>
      </w:r>
    </w:p>
    <w:p w14:paraId="0ECE11FE" w14:textId="695D379C" w:rsidR="007F7825" w:rsidRPr="00D95F9F" w:rsidRDefault="00D95F9F" w:rsidP="00D95F9F">
      <w:pPr>
        <w:spacing w:after="0" w:line="480" w:lineRule="auto"/>
        <w:rPr>
          <w:rFonts w:ascii="Times New Roman" w:eastAsia="DengXian Light" w:hAnsi="Times New Roman" w:cs="Times New Roman"/>
          <w:b/>
          <w:bCs/>
          <w:sz w:val="24"/>
          <w:szCs w:val="24"/>
        </w:rPr>
      </w:pPr>
      <w:r w:rsidRPr="000E1EDC">
        <w:rPr>
          <w:rFonts w:ascii="Times New Roman" w:eastAsia="DengXian Light" w:hAnsi="Times New Roman" w:cs="Times New Roman"/>
          <w:sz w:val="24"/>
          <w:szCs w:val="24"/>
        </w:rPr>
        <w:t xml:space="preserve"> </w:t>
      </w:r>
      <m:oMath>
        <m:r>
          <w:rPr>
            <w:rFonts w:ascii="Cambria Math" w:hAnsi="Cambria Math" w:cs="Times New Roman"/>
            <w:sz w:val="24"/>
            <w:szCs w:val="24"/>
          </w:rPr>
          <m:t>Total residues=residues from precommercial thinning+residues from logging</m:t>
        </m:r>
      </m:oMath>
      <w:r w:rsidRPr="000E1EDC">
        <w:rPr>
          <w:rFonts w:ascii="Times New Roman" w:eastAsia="DengXian Light" w:hAnsi="Times New Roman" w:cs="Times New Roman"/>
          <w:sz w:val="24"/>
          <w:szCs w:val="24"/>
        </w:rPr>
        <w:t xml:space="preserve"> (1)</w:t>
      </w:r>
      <w:r w:rsidR="007F7825" w:rsidRPr="00D95F9F">
        <w:rPr>
          <w:rFonts w:ascii="Times New Roman" w:eastAsia="DengXian Light" w:hAnsi="Times New Roman" w:cs="Times New Roman"/>
          <w:b/>
          <w:bCs/>
          <w:sz w:val="24"/>
          <w:szCs w:val="24"/>
        </w:rPr>
        <w:br w:type="page"/>
      </w:r>
    </w:p>
    <w:p w14:paraId="02874E8C" w14:textId="07CA1506" w:rsidR="008F4363" w:rsidRPr="00DE34FD" w:rsidRDefault="00B7544E" w:rsidP="00B048FC">
      <w:pPr>
        <w:pStyle w:val="Heading2"/>
        <w:spacing w:line="480" w:lineRule="auto"/>
        <w:rPr>
          <w:rFonts w:ascii="Times New Roman" w:hAnsi="Times New Roman"/>
          <w:b/>
          <w:bCs/>
          <w:color w:val="auto"/>
          <w:sz w:val="24"/>
          <w:szCs w:val="24"/>
        </w:rPr>
      </w:pPr>
      <w:bookmarkStart w:id="8" w:name="_Toc18954409"/>
      <w:bookmarkStart w:id="9" w:name="_Toc62294834"/>
      <w:r w:rsidRPr="00DE34FD">
        <w:rPr>
          <w:rFonts w:ascii="Times New Roman" w:hAnsi="Times New Roman"/>
          <w:b/>
          <w:bCs/>
          <w:color w:val="auto"/>
          <w:sz w:val="24"/>
          <w:szCs w:val="24"/>
        </w:rPr>
        <w:lastRenderedPageBreak/>
        <w:t>1.3</w:t>
      </w:r>
      <w:r w:rsidR="008F4363" w:rsidRPr="00DE34FD">
        <w:rPr>
          <w:rFonts w:ascii="Times New Roman" w:hAnsi="Times New Roman"/>
          <w:b/>
          <w:bCs/>
          <w:color w:val="auto"/>
          <w:sz w:val="24"/>
          <w:szCs w:val="24"/>
        </w:rPr>
        <w:t xml:space="preserve"> </w:t>
      </w:r>
      <w:bookmarkEnd w:id="8"/>
      <w:r w:rsidR="005620F3">
        <w:rPr>
          <w:rFonts w:ascii="Times New Roman" w:hAnsi="Times New Roman"/>
          <w:b/>
          <w:bCs/>
          <w:color w:val="auto"/>
          <w:sz w:val="24"/>
          <w:szCs w:val="24"/>
        </w:rPr>
        <w:t xml:space="preserve"> Probability distribution of key parameters</w:t>
      </w:r>
      <w:bookmarkEnd w:id="9"/>
    </w:p>
    <w:p w14:paraId="07F694B0" w14:textId="72AD1CB8" w:rsidR="00E8519E" w:rsidRDefault="001C7C7B" w:rsidP="00B7544E">
      <w:pPr>
        <w:spacing w:line="480" w:lineRule="auto"/>
        <w:jc w:val="both"/>
        <w:rPr>
          <w:rFonts w:ascii="Times New Roman" w:hAnsi="Times New Roman" w:cs="Times New Roman"/>
          <w:sz w:val="24"/>
          <w:szCs w:val="24"/>
        </w:rPr>
      </w:pPr>
      <w:r>
        <w:rPr>
          <w:rFonts w:ascii="Times New Roman" w:hAnsi="Times New Roman" w:cs="Times New Roman"/>
          <w:sz w:val="24"/>
          <w:szCs w:val="24"/>
        </w:rPr>
        <w:t>As shown in Table 1</w:t>
      </w:r>
      <w:r w:rsidR="00D21843">
        <w:rPr>
          <w:rFonts w:ascii="Times New Roman" w:hAnsi="Times New Roman" w:cs="Times New Roman"/>
          <w:sz w:val="24"/>
          <w:szCs w:val="24"/>
        </w:rPr>
        <w:t xml:space="preserve"> in the main context Section 5.2.1</w:t>
      </w:r>
      <w:r>
        <w:rPr>
          <w:rFonts w:ascii="Times New Roman" w:hAnsi="Times New Roman" w:cs="Times New Roman"/>
          <w:sz w:val="24"/>
          <w:szCs w:val="24"/>
        </w:rPr>
        <w:t xml:space="preserve">, there are </w:t>
      </w:r>
      <w:r w:rsidR="00D21843">
        <w:rPr>
          <w:rFonts w:ascii="Times New Roman" w:hAnsi="Times New Roman" w:cs="Times New Roman"/>
          <w:sz w:val="24"/>
          <w:szCs w:val="24"/>
        </w:rPr>
        <w:t xml:space="preserve">5 </w:t>
      </w:r>
      <w:r>
        <w:rPr>
          <w:rFonts w:ascii="Times New Roman" w:hAnsi="Times New Roman" w:cs="Times New Roman"/>
          <w:sz w:val="24"/>
          <w:szCs w:val="24"/>
        </w:rPr>
        <w:t xml:space="preserve">parameters </w:t>
      </w:r>
      <w:r w:rsidR="00D21843">
        <w:rPr>
          <w:rFonts w:ascii="Times New Roman" w:hAnsi="Times New Roman" w:cs="Times New Roman"/>
          <w:sz w:val="24"/>
          <w:szCs w:val="24"/>
        </w:rPr>
        <w:t xml:space="preserve">and their distributions </w:t>
      </w:r>
      <w:r w:rsidR="00397EB9">
        <w:rPr>
          <w:rFonts w:ascii="Times New Roman" w:hAnsi="Times New Roman" w:cs="Times New Roman"/>
          <w:sz w:val="24"/>
          <w:szCs w:val="24"/>
        </w:rPr>
        <w:t>that were</w:t>
      </w:r>
      <w:r>
        <w:rPr>
          <w:rFonts w:ascii="Times New Roman" w:hAnsi="Times New Roman" w:cs="Times New Roman"/>
          <w:sz w:val="24"/>
          <w:szCs w:val="24"/>
        </w:rPr>
        <w:t xml:space="preserve"> studied</w:t>
      </w:r>
      <w:r w:rsidR="00D21843">
        <w:rPr>
          <w:rFonts w:ascii="Times New Roman" w:hAnsi="Times New Roman" w:cs="Times New Roman"/>
          <w:sz w:val="24"/>
          <w:szCs w:val="24"/>
        </w:rPr>
        <w:t>.</w:t>
      </w:r>
      <w:r w:rsidR="008801E9">
        <w:rPr>
          <w:rFonts w:ascii="Times New Roman" w:hAnsi="Times New Roman" w:cs="Times New Roman"/>
          <w:sz w:val="24"/>
          <w:szCs w:val="24"/>
        </w:rPr>
        <w:t xml:space="preserve"> </w:t>
      </w:r>
      <w:r w:rsidR="00397EB9">
        <w:rPr>
          <w:rFonts w:ascii="Times New Roman" w:hAnsi="Times New Roman" w:cs="Times New Roman"/>
          <w:sz w:val="24"/>
          <w:szCs w:val="24"/>
        </w:rPr>
        <w:t>The chi-</w:t>
      </w:r>
      <w:r w:rsidR="00893D5D">
        <w:rPr>
          <w:rFonts w:ascii="Times New Roman" w:hAnsi="Times New Roman" w:cs="Times New Roman"/>
          <w:sz w:val="24"/>
          <w:szCs w:val="24"/>
        </w:rPr>
        <w:t>square goodness-of-fit tests were conducted in Matlab at 5% signifi</w:t>
      </w:r>
      <w:r w:rsidR="00B63DC0">
        <w:rPr>
          <w:rFonts w:ascii="Times New Roman" w:hAnsi="Times New Roman" w:cs="Times New Roman"/>
          <w:sz w:val="24"/>
          <w:szCs w:val="24"/>
        </w:rPr>
        <w:t>cance level</w:t>
      </w:r>
      <w:r w:rsidR="004A6FB5">
        <w:rPr>
          <w:rFonts w:ascii="Times New Roman" w:hAnsi="Times New Roman" w:cs="Times New Roman"/>
          <w:sz w:val="24"/>
          <w:szCs w:val="24"/>
        </w:rPr>
        <w:t xml:space="preserve"> </w:t>
      </w:r>
      <w:r w:rsidR="00397EB9">
        <w:rPr>
          <w:rFonts w:ascii="Times New Roman" w:hAnsi="Times New Roman" w:cs="Times New Roman"/>
          <w:sz w:val="24"/>
          <w:szCs w:val="24"/>
        </w:rPr>
        <w:t>to identify the probability distribution of data samples</w:t>
      </w:r>
      <w:r w:rsidR="001F0C54">
        <w:rPr>
          <w:rFonts w:ascii="Times New Roman" w:hAnsi="Times New Roman" w:cs="Times New Roman"/>
          <w:sz w:val="24"/>
          <w:szCs w:val="24"/>
        </w:rPr>
        <w:t xml:space="preserve"> </w:t>
      </w:r>
      <w:r w:rsidR="00275613">
        <w:rPr>
          <w:rFonts w:ascii="Times New Roman" w:hAnsi="Times New Roman" w:cs="Times New Roman"/>
          <w:sz w:val="24"/>
          <w:szCs w:val="24"/>
        </w:rPr>
        <w:fldChar w:fldCharType="begin" w:fldLock="1"/>
      </w:r>
      <w:r w:rsidR="007936A9">
        <w:rPr>
          <w:rFonts w:ascii="Times New Roman" w:hAnsi="Times New Roman" w:cs="Times New Roman"/>
          <w:sz w:val="24"/>
          <w:szCs w:val="24"/>
        </w:rPr>
        <w:instrText>ADDIN CSL_CITATION {"citationItems":[{"id":"ITEM-1","itemData":{"author":[{"dropping-particle":"","family":"Hosmer D.W. and Lemeshow","given":"S.","non-dropping-particle":"","parse-names":false,"suffix":""}],"container-title":"Communications in Statistics- Theory and Methods.","id":"ITEM-1","issue":"10","issued":{"date-parts":[["1980"]]},"page":"1043-1069.","title":"Goodness of fit tests for the multiple logistic regression model: Communications in Statistics","type":"article-journal","volume":"9"},"uris":["http://www.mendeley.com/documents/?uuid=14cf586b-303b-46ed-9cbf-8bef8e174c24"]}],"mendeley":{"formattedCitation":"[10]","plainTextFormattedCitation":"[10]","previouslyFormattedCitation":"[10]"},"properties":{"noteIndex":0},"schema":"https://github.com/citation-style-language/schema/raw/master/csl-citation.json"}</w:instrText>
      </w:r>
      <w:r w:rsidR="00275613">
        <w:rPr>
          <w:rFonts w:ascii="Times New Roman" w:hAnsi="Times New Roman" w:cs="Times New Roman"/>
          <w:sz w:val="24"/>
          <w:szCs w:val="24"/>
        </w:rPr>
        <w:fldChar w:fldCharType="separate"/>
      </w:r>
      <w:r w:rsidR="00FE1557" w:rsidRPr="00FE1557">
        <w:rPr>
          <w:rFonts w:ascii="Times New Roman" w:hAnsi="Times New Roman" w:cs="Times New Roman"/>
          <w:noProof/>
          <w:sz w:val="24"/>
          <w:szCs w:val="24"/>
        </w:rPr>
        <w:t>[10]</w:t>
      </w:r>
      <w:r w:rsidR="00275613">
        <w:rPr>
          <w:rFonts w:ascii="Times New Roman" w:hAnsi="Times New Roman" w:cs="Times New Roman"/>
          <w:sz w:val="24"/>
          <w:szCs w:val="24"/>
        </w:rPr>
        <w:fldChar w:fldCharType="end"/>
      </w:r>
      <w:r w:rsidR="001F0C54">
        <w:rPr>
          <w:rFonts w:ascii="Times New Roman" w:hAnsi="Times New Roman" w:cs="Times New Roman"/>
          <w:sz w:val="24"/>
          <w:szCs w:val="24"/>
        </w:rPr>
        <w:t>.</w:t>
      </w:r>
      <w:r w:rsidR="00B63DC0">
        <w:rPr>
          <w:rFonts w:ascii="Times New Roman" w:hAnsi="Times New Roman" w:cs="Times New Roman"/>
          <w:sz w:val="24"/>
          <w:szCs w:val="24"/>
        </w:rPr>
        <w:t xml:space="preserve"> </w:t>
      </w:r>
      <w:r w:rsidR="00E8519E">
        <w:rPr>
          <w:rFonts w:ascii="Times New Roman" w:hAnsi="Times New Roman" w:cs="Times New Roman"/>
          <w:sz w:val="24"/>
          <w:szCs w:val="24"/>
        </w:rPr>
        <w:t xml:space="preserve">Equation </w:t>
      </w:r>
      <w:r w:rsidR="00D95F9F">
        <w:rPr>
          <w:rFonts w:ascii="Times New Roman" w:hAnsi="Times New Roman" w:cs="Times New Roman"/>
          <w:sz w:val="24"/>
          <w:szCs w:val="24"/>
        </w:rPr>
        <w:t>2</w:t>
      </w:r>
      <w:r w:rsidR="00E8519E">
        <w:rPr>
          <w:rFonts w:ascii="Times New Roman" w:hAnsi="Times New Roman" w:cs="Times New Roman"/>
          <w:sz w:val="24"/>
          <w:szCs w:val="24"/>
        </w:rPr>
        <w:t xml:space="preserve"> described the probability density function for normal distribution </w:t>
      </w:r>
      <w:r w:rsidR="00275613">
        <w:rPr>
          <w:rFonts w:ascii="Times New Roman" w:hAnsi="Times New Roman" w:cs="Times New Roman"/>
          <w:sz w:val="24"/>
          <w:szCs w:val="24"/>
        </w:rPr>
        <w:fldChar w:fldCharType="begin" w:fldLock="1"/>
      </w:r>
      <w:r w:rsidR="007936A9">
        <w:rPr>
          <w:rFonts w:ascii="Times New Roman" w:hAnsi="Times New Roman" w:cs="Times New Roman"/>
          <w:sz w:val="24"/>
          <w:szCs w:val="24"/>
        </w:rPr>
        <w:instrText>ADDIN CSL_CITATION {"citationItems":[{"id":"ITEM-1","itemData":{"author":[{"dropping-particle":"","family":"Stacy","given":"Edney W.","non-dropping-particle":"","parse-names":false,"suffix":""}],"container-title":"The Annals of mathematical statistics","id":"ITEM-1","issue":"3","issued":{"date-parts":[["1962"]]},"page":"1187-1192","title":"A generalization of the gamma distribution","type":"article-journal","volume":"33"},"uris":["http://www.mendeley.com/documents/?uuid=2f91ffd3-754e-4718-ae12-ea2c33862b96"]},{"id":"ITEM-2","itemData":{"author":[{"dropping-particle":"","family":"Rosenkrantz","given":"W. A.","non-dropping-particle":"","parse-names":false,"suffix":""}],"id":"ITEM-2","issued":{"date-parts":[["1997"]]},"publisher":"McGraw-Hill","publisher-place":"New York","title":"Introduction to probability and statistics for scientists and engineers","type":"book"},"uris":["http://www.mendeley.com/documents/?uuid=d308407d-b5bc-44c5-8249-67a0ba1f52c1"]}],"mendeley":{"formattedCitation":"[11,12]","plainTextFormattedCitation":"[11,12]","previouslyFormattedCitation":"[11,12]"},"properties":{"noteIndex":0},"schema":"https://github.com/citation-style-language/schema/raw/master/csl-citation.json"}</w:instrText>
      </w:r>
      <w:r w:rsidR="00275613">
        <w:rPr>
          <w:rFonts w:ascii="Times New Roman" w:hAnsi="Times New Roman" w:cs="Times New Roman"/>
          <w:sz w:val="24"/>
          <w:szCs w:val="24"/>
        </w:rPr>
        <w:fldChar w:fldCharType="separate"/>
      </w:r>
      <w:r w:rsidR="00FE1557" w:rsidRPr="00FE1557">
        <w:rPr>
          <w:rFonts w:ascii="Times New Roman" w:hAnsi="Times New Roman" w:cs="Times New Roman"/>
          <w:noProof/>
          <w:sz w:val="24"/>
          <w:szCs w:val="24"/>
        </w:rPr>
        <w:t>[11,12]</w:t>
      </w:r>
      <w:r w:rsidR="00275613">
        <w:rPr>
          <w:rFonts w:ascii="Times New Roman" w:hAnsi="Times New Roman" w:cs="Times New Roman"/>
          <w:sz w:val="24"/>
          <w:szCs w:val="24"/>
        </w:rPr>
        <w:fldChar w:fldCharType="end"/>
      </w:r>
      <w:r w:rsidR="001F0C54">
        <w:rPr>
          <w:rFonts w:ascii="Times New Roman" w:hAnsi="Times New Roman" w:cs="Times New Roman"/>
          <w:sz w:val="24"/>
          <w:szCs w:val="24"/>
        </w:rPr>
        <w:t>.</w:t>
      </w:r>
      <w:r w:rsidR="00E8519E">
        <w:rPr>
          <w:rFonts w:ascii="Times New Roman" w:hAnsi="Times New Roman" w:cs="Times New Roman"/>
          <w:sz w:val="24"/>
          <w:szCs w:val="24"/>
        </w:rPr>
        <w:t xml:space="preserve"> </w:t>
      </w:r>
      <w:r w:rsidR="00B63DC0">
        <w:rPr>
          <w:rFonts w:ascii="Times New Roman" w:hAnsi="Times New Roman" w:cs="Times New Roman"/>
          <w:sz w:val="24"/>
          <w:szCs w:val="24"/>
        </w:rPr>
        <w:t xml:space="preserve">If the parameter value data points were too few or did not follow the two distributions, then uniform distribution was </w:t>
      </w:r>
      <w:r w:rsidR="00397EB9">
        <w:rPr>
          <w:rFonts w:ascii="Times New Roman" w:hAnsi="Times New Roman" w:cs="Times New Roman"/>
          <w:sz w:val="24"/>
          <w:szCs w:val="24"/>
        </w:rPr>
        <w:t xml:space="preserve">assumed in </w:t>
      </w:r>
      <w:r w:rsidR="00E8519E">
        <w:rPr>
          <w:rFonts w:ascii="Times New Roman" w:hAnsi="Times New Roman" w:cs="Times New Roman"/>
          <w:sz w:val="24"/>
          <w:szCs w:val="24"/>
        </w:rPr>
        <w:t>Table S</w:t>
      </w:r>
      <w:r w:rsidR="001F0C54">
        <w:rPr>
          <w:rFonts w:ascii="Times New Roman" w:hAnsi="Times New Roman" w:cs="Times New Roman"/>
          <w:sz w:val="24"/>
          <w:szCs w:val="24"/>
        </w:rPr>
        <w:t>2</w:t>
      </w:r>
      <w:r w:rsidR="00B63DC0">
        <w:rPr>
          <w:rFonts w:ascii="Times New Roman" w:hAnsi="Times New Roman" w:cs="Times New Roman"/>
          <w:sz w:val="24"/>
          <w:szCs w:val="24"/>
        </w:rPr>
        <w:t>.</w:t>
      </w:r>
      <w:r w:rsidR="009A027B">
        <w:rPr>
          <w:rFonts w:ascii="Times New Roman" w:hAnsi="Times New Roman" w:cs="Times New Roman"/>
          <w:sz w:val="24"/>
          <w:szCs w:val="24"/>
        </w:rPr>
        <w:t xml:space="preserve"> These assumed distribution</w:t>
      </w:r>
      <w:r w:rsidR="006F5481">
        <w:rPr>
          <w:rFonts w:ascii="Times New Roman" w:hAnsi="Times New Roman" w:cs="Times New Roman"/>
          <w:sz w:val="24"/>
          <w:szCs w:val="24"/>
        </w:rPr>
        <w:t>s</w:t>
      </w:r>
      <w:r w:rsidR="009A027B">
        <w:rPr>
          <w:rFonts w:ascii="Times New Roman" w:hAnsi="Times New Roman" w:cs="Times New Roman"/>
          <w:sz w:val="24"/>
          <w:szCs w:val="24"/>
        </w:rPr>
        <w:t xml:space="preserve"> can be modified by </w:t>
      </w:r>
      <w:r w:rsidR="00BE01B0">
        <w:rPr>
          <w:rFonts w:ascii="Times New Roman" w:hAnsi="Times New Roman" w:cs="Times New Roman"/>
          <w:sz w:val="24"/>
          <w:szCs w:val="24"/>
        </w:rPr>
        <w:t xml:space="preserve">researchers </w:t>
      </w:r>
      <w:r w:rsidR="00D21843">
        <w:rPr>
          <w:rFonts w:ascii="Times New Roman" w:hAnsi="Times New Roman" w:cs="Times New Roman"/>
          <w:sz w:val="24"/>
          <w:szCs w:val="24"/>
        </w:rPr>
        <w:t>when more</w:t>
      </w:r>
      <w:r w:rsidR="009A027B">
        <w:rPr>
          <w:rFonts w:ascii="Times New Roman" w:hAnsi="Times New Roman" w:cs="Times New Roman"/>
          <w:sz w:val="24"/>
          <w:szCs w:val="24"/>
        </w:rPr>
        <w:t xml:space="preserve"> data</w:t>
      </w:r>
      <w:r w:rsidR="008801E9">
        <w:rPr>
          <w:rFonts w:ascii="Times New Roman" w:hAnsi="Times New Roman" w:cs="Times New Roman"/>
          <w:sz w:val="24"/>
          <w:szCs w:val="24"/>
        </w:rPr>
        <w:t xml:space="preserve"> </w:t>
      </w:r>
      <w:r w:rsidR="00397EB9">
        <w:rPr>
          <w:rFonts w:ascii="Times New Roman" w:hAnsi="Times New Roman" w:cs="Times New Roman"/>
          <w:sz w:val="24"/>
          <w:szCs w:val="24"/>
        </w:rPr>
        <w:t>are available</w:t>
      </w:r>
      <w:r w:rsidR="00BE01B0">
        <w:rPr>
          <w:rFonts w:ascii="Times New Roman" w:hAnsi="Times New Roman" w:cs="Times New Roman"/>
          <w:sz w:val="24"/>
          <w:szCs w:val="24"/>
        </w:rPr>
        <w:t xml:space="preserve"> in the future</w:t>
      </w:r>
      <w:r w:rsidR="009A027B">
        <w:rPr>
          <w:rFonts w:ascii="Times New Roman" w:hAnsi="Times New Roman" w:cs="Times New Roman"/>
          <w:sz w:val="24"/>
          <w:szCs w:val="24"/>
        </w:rPr>
        <w:t xml:space="preserve">. </w:t>
      </w:r>
    </w:p>
    <w:p w14:paraId="19B2E55A" w14:textId="392C8D01" w:rsidR="008F4363" w:rsidRDefault="00D97653" w:rsidP="00B7544E">
      <w:pPr>
        <w:spacing w:line="48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normal</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2π</m:t>
                </m:r>
              </m:e>
            </m:rad>
            <m:r>
              <w:rPr>
                <w:rFonts w:ascii="Cambria Math" w:hAnsi="Cambria Math" w:cs="Times New Roman"/>
                <w:sz w:val="24"/>
                <w:szCs w:val="24"/>
              </w:rPr>
              <m:t>σ</m:t>
            </m:r>
          </m:den>
        </m:f>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p>
              <m:sSupPr>
                <m:ctrlPr>
                  <w:rPr>
                    <w:rFonts w:ascii="Cambria Math" w:hAnsi="Cambria Math" w:cs="Times New Roman"/>
                    <w:i/>
                    <w:sz w:val="24"/>
                    <w:szCs w:val="24"/>
                  </w:rPr>
                </m:ctrlPr>
              </m:sSup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x-μ</m:t>
                    </m:r>
                  </m:num>
                  <m:den>
                    <m:r>
                      <w:rPr>
                        <w:rFonts w:ascii="Cambria Math" w:hAnsi="Cambria Math" w:cs="Times New Roman"/>
                        <w:sz w:val="24"/>
                        <w:szCs w:val="24"/>
                      </w:rPr>
                      <m:t>σ</m:t>
                    </m:r>
                  </m:den>
                </m:f>
                <m:r>
                  <w:rPr>
                    <w:rFonts w:ascii="Cambria Math" w:hAnsi="Cambria Math" w:cs="Times New Roman"/>
                    <w:sz w:val="24"/>
                    <w:szCs w:val="24"/>
                  </w:rPr>
                  <m:t>)</m:t>
                </m:r>
              </m:e>
              <m:sup>
                <m:r>
                  <w:rPr>
                    <w:rFonts w:ascii="Cambria Math" w:hAnsi="Cambria Math" w:cs="Times New Roman"/>
                    <w:sz w:val="24"/>
                    <w:szCs w:val="24"/>
                  </w:rPr>
                  <m:t>2</m:t>
                </m:r>
              </m:sup>
            </m:sSup>
          </m:sup>
        </m:sSup>
      </m:oMath>
      <w:r w:rsidR="00B63DC0">
        <w:rPr>
          <w:rFonts w:ascii="Times New Roman" w:hAnsi="Times New Roman" w:cs="Times New Roman"/>
          <w:sz w:val="24"/>
          <w:szCs w:val="24"/>
        </w:rPr>
        <w:t xml:space="preserve"> </w:t>
      </w:r>
      <w:r w:rsidR="00893D5D">
        <w:rPr>
          <w:rFonts w:ascii="Times New Roman" w:hAnsi="Times New Roman" w:cs="Times New Roman"/>
          <w:sz w:val="24"/>
          <w:szCs w:val="24"/>
        </w:rPr>
        <w:t xml:space="preserve">  </w:t>
      </w:r>
      <w:r w:rsidR="00E8519E">
        <w:rPr>
          <w:rFonts w:ascii="Times New Roman" w:hAnsi="Times New Roman" w:cs="Times New Roman"/>
          <w:sz w:val="24"/>
          <w:szCs w:val="24"/>
        </w:rPr>
        <w:t xml:space="preserve">                                                                                            </w:t>
      </w:r>
      <w:r w:rsidR="00755F3A">
        <w:rPr>
          <w:rFonts w:ascii="Times New Roman" w:hAnsi="Times New Roman" w:cs="Times New Roman"/>
          <w:sz w:val="24"/>
          <w:szCs w:val="24"/>
        </w:rPr>
        <w:t xml:space="preserve">                  </w:t>
      </w:r>
      <w:r w:rsidR="00E8519E">
        <w:rPr>
          <w:rFonts w:ascii="Times New Roman" w:hAnsi="Times New Roman" w:cs="Times New Roman"/>
          <w:sz w:val="24"/>
          <w:szCs w:val="24"/>
        </w:rPr>
        <w:t>(</w:t>
      </w:r>
      <w:r w:rsidR="00D95F9F">
        <w:rPr>
          <w:rFonts w:ascii="Times New Roman" w:hAnsi="Times New Roman" w:cs="Times New Roman"/>
          <w:sz w:val="24"/>
          <w:szCs w:val="24"/>
        </w:rPr>
        <w:t>2</w:t>
      </w:r>
      <w:r w:rsidR="00E8519E">
        <w:rPr>
          <w:rFonts w:ascii="Times New Roman" w:hAnsi="Times New Roman" w:cs="Times New Roman"/>
          <w:sz w:val="24"/>
          <w:szCs w:val="24"/>
        </w:rPr>
        <w:t>)</w:t>
      </w:r>
    </w:p>
    <w:p w14:paraId="7587E0C3" w14:textId="77777777" w:rsidR="00583EE1" w:rsidRDefault="00583EE1" w:rsidP="004A6FB5">
      <w:pPr>
        <w:spacing w:after="0" w:line="240" w:lineRule="auto"/>
        <w:rPr>
          <w:rFonts w:ascii="Times New Roman" w:hAnsi="Times New Roman" w:cs="Times New Roman"/>
          <w:sz w:val="24"/>
          <w:szCs w:val="24"/>
        </w:rPr>
      </w:pPr>
    </w:p>
    <w:p w14:paraId="78C68675" w14:textId="192A0199" w:rsidR="004A6FB5" w:rsidRPr="00B048FC" w:rsidRDefault="004A6FB5" w:rsidP="004A6FB5">
      <w:pPr>
        <w:spacing w:after="0" w:line="240" w:lineRule="auto"/>
        <w:rPr>
          <w:rFonts w:ascii="Times New Roman" w:hAnsi="Times New Roman" w:cs="Times New Roman"/>
          <w:b/>
          <w:bCs/>
          <w:sz w:val="24"/>
          <w:szCs w:val="24"/>
        </w:rPr>
      </w:pPr>
      <w:r w:rsidRPr="00B048FC">
        <w:rPr>
          <w:rFonts w:ascii="Times New Roman" w:hAnsi="Times New Roman" w:cs="Times New Roman"/>
          <w:b/>
          <w:bCs/>
          <w:sz w:val="24"/>
          <w:szCs w:val="24"/>
        </w:rPr>
        <w:t>Table S</w:t>
      </w:r>
      <w:r w:rsidR="001F0C54" w:rsidRPr="00B048FC">
        <w:rPr>
          <w:rFonts w:ascii="Times New Roman" w:hAnsi="Times New Roman" w:cs="Times New Roman"/>
          <w:b/>
          <w:bCs/>
          <w:sz w:val="24"/>
          <w:szCs w:val="24"/>
        </w:rPr>
        <w:t>2</w:t>
      </w:r>
      <w:r w:rsidRPr="00B048FC">
        <w:rPr>
          <w:rFonts w:ascii="Times New Roman" w:hAnsi="Times New Roman" w:cs="Times New Roman"/>
          <w:b/>
          <w:bCs/>
          <w:sz w:val="24"/>
          <w:szCs w:val="24"/>
        </w:rPr>
        <w:t xml:space="preserve"> Key parameter values and distributions based on literature data</w:t>
      </w:r>
    </w:p>
    <w:tbl>
      <w:tblPr>
        <w:tblW w:w="7539" w:type="dxa"/>
        <w:tblBorders>
          <w:top w:val="single" w:sz="4" w:space="0" w:color="auto"/>
          <w:bottom w:val="single" w:sz="4" w:space="0" w:color="auto"/>
          <w:insideH w:val="single" w:sz="4" w:space="0" w:color="auto"/>
        </w:tblBorders>
        <w:tblLayout w:type="fixed"/>
        <w:tblCellMar>
          <w:top w:w="58" w:type="dxa"/>
          <w:left w:w="43" w:type="dxa"/>
          <w:bottom w:w="58" w:type="dxa"/>
          <w:right w:w="43" w:type="dxa"/>
        </w:tblCellMar>
        <w:tblLook w:val="04A0" w:firstRow="1" w:lastRow="0" w:firstColumn="1" w:lastColumn="0" w:noHBand="0" w:noVBand="1"/>
      </w:tblPr>
      <w:tblGrid>
        <w:gridCol w:w="3185"/>
        <w:gridCol w:w="1405"/>
        <w:gridCol w:w="1350"/>
        <w:gridCol w:w="1599"/>
      </w:tblGrid>
      <w:tr w:rsidR="006A215B" w:rsidRPr="00354DBD" w14:paraId="66E175CE" w14:textId="77777777" w:rsidTr="006A215B">
        <w:trPr>
          <w:trHeight w:val="384"/>
        </w:trPr>
        <w:tc>
          <w:tcPr>
            <w:tcW w:w="3185" w:type="dxa"/>
            <w:shd w:val="clear" w:color="auto" w:fill="auto"/>
            <w:vAlign w:val="center"/>
          </w:tcPr>
          <w:p w14:paraId="73212CD0" w14:textId="77777777" w:rsidR="006A215B" w:rsidRPr="00354DBD" w:rsidRDefault="006A215B" w:rsidP="00B20608">
            <w:pPr>
              <w:spacing w:after="0" w:line="240" w:lineRule="auto"/>
              <w:rPr>
                <w:rFonts w:ascii="Times New Roman" w:hAnsi="Times New Roman" w:cs="Times New Roman"/>
                <w:sz w:val="18"/>
                <w:szCs w:val="18"/>
              </w:rPr>
            </w:pPr>
          </w:p>
        </w:tc>
        <w:tc>
          <w:tcPr>
            <w:tcW w:w="1405" w:type="dxa"/>
            <w:shd w:val="clear" w:color="auto" w:fill="auto"/>
            <w:vAlign w:val="center"/>
          </w:tcPr>
          <w:p w14:paraId="5AC12092"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Unit</w:t>
            </w:r>
          </w:p>
        </w:tc>
        <w:tc>
          <w:tcPr>
            <w:tcW w:w="1350" w:type="dxa"/>
            <w:shd w:val="clear" w:color="auto" w:fill="auto"/>
            <w:vAlign w:val="center"/>
          </w:tcPr>
          <w:p w14:paraId="56AFA421"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Test Results</w:t>
            </w:r>
          </w:p>
        </w:tc>
        <w:tc>
          <w:tcPr>
            <w:tcW w:w="1599" w:type="dxa"/>
            <w:shd w:val="clear" w:color="auto" w:fill="auto"/>
            <w:vAlign w:val="center"/>
          </w:tcPr>
          <w:p w14:paraId="2B3878DB" w14:textId="3269D2DF" w:rsidR="006A215B" w:rsidRPr="00354DBD" w:rsidRDefault="006A215B" w:rsidP="00397EB9">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Assigned Distribution</w:t>
            </w:r>
          </w:p>
        </w:tc>
      </w:tr>
      <w:tr w:rsidR="006A215B" w:rsidRPr="00354DBD" w14:paraId="6F3A742D" w14:textId="77777777" w:rsidTr="006A215B">
        <w:trPr>
          <w:trHeight w:val="384"/>
        </w:trPr>
        <w:tc>
          <w:tcPr>
            <w:tcW w:w="3185" w:type="dxa"/>
            <w:tcBorders>
              <w:bottom w:val="nil"/>
            </w:tcBorders>
            <w:shd w:val="clear" w:color="auto" w:fill="auto"/>
            <w:vAlign w:val="center"/>
          </w:tcPr>
          <w:p w14:paraId="72715E76" w14:textId="71DBC770" w:rsidR="006A215B" w:rsidRPr="00354DBD" w:rsidRDefault="006A215B" w:rsidP="00B20608">
            <w:pPr>
              <w:spacing w:after="0" w:line="240" w:lineRule="auto"/>
              <w:rPr>
                <w:rFonts w:ascii="Times New Roman" w:hAnsi="Times New Roman" w:cs="Times New Roman"/>
                <w:sz w:val="18"/>
                <w:szCs w:val="18"/>
              </w:rPr>
            </w:pPr>
            <w:r w:rsidRPr="00354DBD">
              <w:rPr>
                <w:rFonts w:ascii="Times New Roman" w:hAnsi="Times New Roman" w:cs="Times New Roman"/>
                <w:sz w:val="18"/>
                <w:szCs w:val="18"/>
              </w:rPr>
              <w:t>Diesel consumption in site preparation</w:t>
            </w:r>
            <w:r w:rsidRPr="00354DBD">
              <w:rPr>
                <w:rFonts w:ascii="Times New Roman" w:hAnsi="Times New Roman" w:cs="Times New Roman"/>
                <w:sz w:val="18"/>
                <w:szCs w:val="18"/>
              </w:rPr>
              <w:fldChar w:fldCharType="begin" w:fldLock="1"/>
            </w:r>
            <w:r w:rsidR="00B952D9">
              <w:rPr>
                <w:rFonts w:ascii="Times New Roman" w:hAnsi="Times New Roman" w:cs="Times New Roman"/>
                <w:sz w:val="18"/>
                <w:szCs w:val="18"/>
              </w:rPr>
              <w:instrText xml:space="preserve">ADDIN CSL_CITATION {"citationItems":[{"id":"ITEM-1","itemData":{"DOI":"10.1139/X09-023","ISBN":"1556-1623","ISSN":"0045-5067","PMID":"508439586","abstract":"In this study natural-in-action metacognitive activity during the student laboratory in university physics is explored, with an aim towards quantifying the amount of metacognition used by the students. The study investigates whether quantifying natural- in-action metacognition is possible and valuable for examining teaching and learning in these contexts. Video recordings of student groups working during three types of introductory physics laboratories were transcribed and then coded using a coding scheme developed from related research on mathematical problem solving. This scheme identifies a group’s general behaviour and metacognitive activity. The study recognizes that reliably identifying metacognition is challenging, and steps are taken to improve reliability. Results suggest that a greater amount of metacognition does not appear to improve students’ success in the laboratory—what appears to matter is whether the metacognition causes students to change behaviour. This study indicates that it is important to consider the outcome of metacognition, not just the amount.","author":[{"dropping-particle":"","family":"Dwivedi","given":"Puneet","non-dropping-particle":"","parse-names":false,"suffix":""},{"dropping-particle":"","family":"Alavalapati","given":"Janaki R.R. R","non-dropping-particle":"","parse-names":false,"suffix":""},{"dropping-particle":"","family":"Susaeta","given":"Andres","non-dropping-particle":"","parse-names":false,"suffix":""},{"dropping-particle":"","family":"Stainback","given":"Andrew","non-dropping-particle":"","parse-names":false,"suffix":""}],"container-title":"Canadian Journal of Forest Research","id":"ITEM-1","issue":"5","issued":{"date-parts":[["2009"]]},"page":"990-1000","title":"Impact of carbon value on the profitability of slash pine plantations in the southern United States: an integrated life cycle and Faustmann analysis","type":"article-journal","volume":"39"},"uris":["http://www.mendeley.com/documents/?uuid=d13aac18-0978-4696-a5ed-9483669d0a18"]},{"id":"ITEM-2","itemData":{"author":[{"dropping-particle":"","family":"Oneil","given":"E.E.","non-dropping-particle":"","parse-names":false,"suffix":""},{"dropping-particle":"","family":"Johnson","given":"L.R.","non-dropping-particle":"","parse-names":false,"suffix":""},{"dropping-particle":"","family":"Lippke","given":"B.R.","non-dropping-particle":"","parse-names":false,"suffix":""},{"dropping-particle":"","family":"McCarter","given":"J.B.","non-dropping-particle":"","parse-names":false,"suffix":""},{"dropping-particle":"","family":"McDill","given":"M.E.","non-dropping-particle":"","parse-names":false,"suffix":""},{"dropping-particle":"","family":"Roth","given":"P.A.","non-dropping-particle":"","parse-names":false,"suffix":""},{"dropping-particle":"","family":"Finley","given":"J.C.","non-dropping-particle":"","parse-names":false,"suffix":""}],"container-title":"Wood and Fiber Science","id":"ITEM-2","issued":{"date-parts":[["2010"]]},"page":"29-51","title":"Life-Cycle Impacts of Inland Northwest and Northeast / North Central Forest Resources","type":"article-journal","volume":"42"},"uris":["http://www.mendeley.com/documents/?uuid=6f6a9016-e7ae-4024-aa85-af3874bee6ba"]},{"id":"ITEM-3","itemData":{"DOI":"10.1111/j.1757-1707.2011.01101.x","ISBN":"17571693","ISSN":"17571707","abstract":"Abstract The study describes an integrated impact assessment tool for the net carbon dioxide (CO2) exchange in forest production. The components of the net carbon exchange include the uptake of carbon into biomass, the decomposition of litter and humus, emissions from forest management operations and carbon released from the combustion of biomass and degradation of wood-based products. The tool enables the allocation of the total carbon emissions to the timber and energy biomass and to the energy produced on the basis of biomass. In example computations, ecosystem model simulations were utilized as an input to the tool. We present results for traditional timber production (pulpwood and saw logs) and integrated timber and bioenergy production (logging residues, stumps and roots) for Norway spruce, in boreal conditions in Finland, with two climate scenarios over one rotation period. The results showed that the magnitude of management related emissions on net carbon exchange was smaller when compared with the total ecosystem fluxes; decomposition being the largest emission contributor. In addition, the effects of management and climate were higher on the decomposition of new humus compared with old humus. The results also showed that probable increased biomass growth, obtained under the changing climate (CC), could not compensate for decomposition and biomass combustion related carbon loss in southern Finland. In our examples, the emissions allocated for the energy from biomass in southern Finland were 172 and 188 kg CO2 MW h−1 in the current climate and in a CC, respectively, and 199 and 157 kg CO2 MW h−1 in northern Finland. This study concludes that the tool is suitable for estimating the net carbon exchange of forest production. The tool also enables the allocation of direct and indirect carbon emissions, related to forest production over its life cycle, in different environmental conditions and for alternative time periods and land uses. Simulations of forest management regimes together with the CC give new insights into ecologically sustainable forest bioenergy and timber production, as well as climate change mitigation options in boreal forests.","author":[{"dropping-particle":"","family":"Kilpeläinen","given":"Antti","non-dropping-particle":"","parse-names":false,"suffix":""},{"dropping-particle":"","family":"Alam","given":"Ashraful","non-dropping-particle":"","parse-names":false,"suffix":""},{"dropping-particle":"","family":"Strandman","given":"Harri","non-dropping-particle":"","parse-names":false,"suffix":""},{"dropping-particle":"","family":"Kellomäki","given":"Seppo","non-dropping-particle":"","parse-names":false,"suffix":""}],"container-title":"GCB Bioenergy","id":"ITEM-3","issue":"6","issued":{"date-parts":[["2011"]]},"page":"461-471","title":"Life cycle assessment tool for estimating net CO2exchange of forest production","type":"article-journal","volume":"3"},"uris":["http://www.mendeley.com/documents/?uuid=5d2b808e-0426-415a-a238-86d03eb31a3b"]},{"id":"ITEM-4","itemData":{"DOI":"10.1016/j.foreco.2006.08.343","ISSN":"03781127","abstract":"Increasing concentrations of CO2 in the atmosphere have increased the value of sequestration and storage of C in forests. To maximize the value of this forest function, land managers require accounting systems to track the C stored in forests and in wood and fiber products. Accounting frameworks and data for quantifying C in forests and in wood and fiber products are generally available. In contrast, C emitted from fossil fuels utilized for silvicultural activities such as site preparation or fertilization, which are designed to increase C sequestration, have not been accounted for. The fossil fuel C emissions associated with silvicultural activities must be systematically evaluated to ensure that a net positive C balance results from activities ranging from planting to harvesting. The necessary data for evaluation are compiled from existing information. Utilizing the data, total C emissions from silvicultural activities for an intensive fiber farming operation of southern pine on a 25-year rotation is estimated to be &lt;3 Mg C ha-1. Increased C sequestration in soil or wood and fiber products in response to silvicultural treatments is simulated for 100 years to compare to the fossil fuel C emissions from silvicultural activities. The comparison demonstrates that the expected gains in C accumulation in soils of 16 Mg ha-1 over 100 years or gains due to increased harvest for paper products, also </w:instrText>
            </w:r>
            <w:r w:rsidR="00B952D9">
              <w:rPr>
                <w:rFonts w:ascii="Cambria Math" w:hAnsi="Cambria Math" w:cs="Cambria Math"/>
                <w:sz w:val="18"/>
                <w:szCs w:val="18"/>
              </w:rPr>
              <w:instrText>∼</w:instrText>
            </w:r>
            <w:r w:rsidR="00B952D9">
              <w:rPr>
                <w:rFonts w:ascii="Times New Roman" w:hAnsi="Times New Roman" w:cs="Times New Roman"/>
                <w:sz w:val="18"/>
                <w:szCs w:val="18"/>
              </w:rPr>
              <w:instrText>16 Mg ha-1, could each individually be largely balanced by silvicultural C emissions. On the other hand, C storage in wood products due to accelerated growth of trees to a saw log category might exceed the incurred C emissions by 3-fold (i.e., 35 Mg ha-1). If the combined C sequestration benefits from soil C accumulation, increased C storage in paper products, and storage in saw timber products could be captured these would outweigh the fossil fuel C emissions due to increased silvicultural activities. © 2006 Elsevier B.V. All rights reserved.","author":[{"dropping-particle":"","family":"Markewitz","given":"Daniel","non-dropping-particle":"","parse-names":false,"suffix":""}],"container-title":"Forest Ecology and Management","id":"ITEM-4","issue":"2-3","issued":{"date-parts":[["2006"]]},"page":"153-161","title":"Fossil fuel carbon emissions from silviculture : Impacts on net carbon sequestration in forests","type":"article-journal","volume":"236"},"uris":["http://www.mendeley.com/documents/?uuid=c534da0b-7bcf-47d3-8dbb-315e291956af"]}],"mendeley":{"formattedCitation":"[13–16]","plainTextFormattedCitation":"[13–16]","previouslyFormattedCitation":"[13–16]"},"properties":{"noteIndex":0},"schema":"https://github.com/citation-style-language/schema/raw/master/csl-citation.json"}</w:instrText>
            </w:r>
            <w:r w:rsidRPr="00354DBD">
              <w:rPr>
                <w:rFonts w:ascii="Times New Roman" w:hAnsi="Times New Roman" w:cs="Times New Roman"/>
                <w:sz w:val="18"/>
                <w:szCs w:val="18"/>
              </w:rPr>
              <w:fldChar w:fldCharType="separate"/>
            </w:r>
            <w:r w:rsidRPr="00354DBD">
              <w:rPr>
                <w:rFonts w:ascii="Times New Roman" w:hAnsi="Times New Roman" w:cs="Times New Roman"/>
                <w:noProof/>
                <w:sz w:val="18"/>
                <w:szCs w:val="18"/>
              </w:rPr>
              <w:t>[13–16]</w:t>
            </w:r>
            <w:r w:rsidRPr="00354DBD">
              <w:rPr>
                <w:rFonts w:ascii="Times New Roman" w:hAnsi="Times New Roman" w:cs="Times New Roman"/>
                <w:sz w:val="18"/>
                <w:szCs w:val="18"/>
              </w:rPr>
              <w:fldChar w:fldCharType="end"/>
            </w:r>
          </w:p>
        </w:tc>
        <w:tc>
          <w:tcPr>
            <w:tcW w:w="1405" w:type="dxa"/>
            <w:tcBorders>
              <w:bottom w:val="nil"/>
            </w:tcBorders>
            <w:shd w:val="clear" w:color="auto" w:fill="auto"/>
            <w:vAlign w:val="center"/>
          </w:tcPr>
          <w:p w14:paraId="0241D406" w14:textId="70C09020" w:rsidR="006A215B" w:rsidRPr="00354DBD" w:rsidRDefault="006A215B" w:rsidP="00B20608">
            <w:pPr>
              <w:spacing w:after="0" w:line="240" w:lineRule="auto"/>
              <w:jc w:val="center"/>
              <w:rPr>
                <w:rFonts w:ascii="Times New Roman" w:hAnsi="Times New Roman" w:cs="Times New Roman"/>
                <w:sz w:val="18"/>
                <w:szCs w:val="18"/>
                <w:vertAlign w:val="superscript"/>
              </w:rPr>
            </w:pPr>
            <w:r w:rsidRPr="00354DBD">
              <w:rPr>
                <w:rFonts w:ascii="Times New Roman" w:hAnsi="Times New Roman" w:cs="Times New Roman"/>
                <w:sz w:val="18"/>
                <w:szCs w:val="18"/>
              </w:rPr>
              <w:t>kg ha</w:t>
            </w:r>
            <w:r w:rsidRPr="00354DBD">
              <w:rPr>
                <w:rFonts w:ascii="Times New Roman" w:hAnsi="Times New Roman" w:cs="Times New Roman"/>
                <w:sz w:val="18"/>
                <w:szCs w:val="18"/>
                <w:vertAlign w:val="superscript"/>
              </w:rPr>
              <w:t>-1 a</w:t>
            </w:r>
          </w:p>
        </w:tc>
        <w:tc>
          <w:tcPr>
            <w:tcW w:w="1350" w:type="dxa"/>
            <w:tcBorders>
              <w:bottom w:val="nil"/>
            </w:tcBorders>
            <w:shd w:val="clear" w:color="auto" w:fill="auto"/>
            <w:vAlign w:val="center"/>
          </w:tcPr>
          <w:p w14:paraId="006A376A"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N/A</w:t>
            </w:r>
          </w:p>
        </w:tc>
        <w:tc>
          <w:tcPr>
            <w:tcW w:w="1599" w:type="dxa"/>
            <w:tcBorders>
              <w:bottom w:val="nil"/>
            </w:tcBorders>
            <w:shd w:val="clear" w:color="auto" w:fill="auto"/>
            <w:vAlign w:val="center"/>
          </w:tcPr>
          <w:p w14:paraId="05DC9303"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Uniform</w:t>
            </w:r>
          </w:p>
          <w:p w14:paraId="7A0081BA" w14:textId="6B193171"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[43.65, 94.59]</w:t>
            </w:r>
          </w:p>
        </w:tc>
      </w:tr>
      <w:tr w:rsidR="006A215B" w:rsidRPr="00354DBD" w14:paraId="58CDED01" w14:textId="77777777" w:rsidTr="006A215B">
        <w:trPr>
          <w:trHeight w:val="384"/>
        </w:trPr>
        <w:tc>
          <w:tcPr>
            <w:tcW w:w="3185" w:type="dxa"/>
            <w:tcBorders>
              <w:top w:val="nil"/>
              <w:bottom w:val="nil"/>
            </w:tcBorders>
            <w:shd w:val="clear" w:color="auto" w:fill="auto"/>
            <w:vAlign w:val="center"/>
          </w:tcPr>
          <w:p w14:paraId="3087C4F5" w14:textId="6DF5D0A8" w:rsidR="006A215B" w:rsidRPr="00354DBD" w:rsidRDefault="006A215B" w:rsidP="00B20608">
            <w:pPr>
              <w:spacing w:after="0" w:line="240" w:lineRule="auto"/>
              <w:rPr>
                <w:rFonts w:ascii="Times New Roman" w:hAnsi="Times New Roman" w:cs="Times New Roman"/>
                <w:sz w:val="18"/>
                <w:szCs w:val="18"/>
              </w:rPr>
            </w:pPr>
            <w:r w:rsidRPr="00354DBD">
              <w:rPr>
                <w:rFonts w:ascii="Times New Roman" w:hAnsi="Times New Roman" w:cs="Times New Roman"/>
                <w:sz w:val="18"/>
                <w:szCs w:val="18"/>
              </w:rPr>
              <w:t xml:space="preserve">Diesel consumption in thinning (with collecting) </w:t>
            </w:r>
            <w:r w:rsidRPr="00354DBD">
              <w:rPr>
                <w:rFonts w:ascii="Times New Roman" w:hAnsi="Times New Roman" w:cs="Times New Roman"/>
                <w:sz w:val="18"/>
                <w:szCs w:val="18"/>
              </w:rPr>
              <w:fldChar w:fldCharType="begin" w:fldLock="1"/>
            </w:r>
            <w:r w:rsidR="00B128F6">
              <w:rPr>
                <w:rFonts w:ascii="Times New Roman" w:hAnsi="Times New Roman" w:cs="Times New Roman"/>
                <w:sz w:val="18"/>
                <w:szCs w:val="18"/>
              </w:rPr>
              <w:instrText xml:space="preserve">ADDIN CSL_CITATION {"citationItems":[{"id":"ITEM-1","itemData":{"DOI":"10.1139/X09-023","ISBN":"1556-1623","ISSN":"0045-5067","PMID":"508439586","abstract":"In this study natural-in-action metacognitive activity during the student laboratory in university physics is explored, with an aim towards quantifying the amount of metacognition used by the students. The study investigates whether quantifying natural- in-action metacognition is possible and valuable for examining teaching and learning in these contexts. Video recordings of student groups working during three types of introductory physics laboratories were transcribed and then coded using a coding scheme developed from related research on mathematical problem solving. This scheme identifies a group’s general behaviour and metacognitive activity. The study recognizes that reliably identifying metacognition is challenging, and steps are taken to improve reliability. Results suggest that a greater amount of metacognition does not appear to improve students’ success in the laboratory—what appears to matter is whether the metacognition causes students to change behaviour. This study indicates that it is important to consider the outcome of metacognition, not just the amount.","author":[{"dropping-particle":"","family":"Dwivedi","given":"Puneet","non-dropping-particle":"","parse-names":false,"suffix":""},{"dropping-particle":"","family":"Alavalapati","given":"Janaki R.R. R","non-dropping-particle":"","parse-names":false,"suffix":""},{"dropping-particle":"","family":"Susaeta","given":"Andres","non-dropping-particle":"","parse-names":false,"suffix":""},{"dropping-particle":"","family":"Stainback","given":"Andrew","non-dropping-particle":"","parse-names":false,"suffix":""}],"container-title":"Canadian Journal of Forest Research","id":"ITEM-1","issue":"5","issued":{"date-parts":[["2009"]]},"page":"990-1000","title":"Impact of carbon value on the profitability of slash pine plantations in the southern United States: an integrated life cycle and Faustmann analysis","type":"article-journal","volume":"39"},"uris":["http://www.mendeley.com/documents/?uuid=d13aac18-0978-4696-a5ed-9483669d0a18"]},{"id":"ITEM-2","itemData":{"DOI":"10.13073/FPJ-D-12-00019.1","ISBN":"0015-7473","ISSN":"00157473","abstract":"A deterministic spreadsheet model developed in an earlier Consortium for Research on Renewable Industrial Materials (CORRIM) project that calculates cost, fuel, and chemical outputs of forest management and harvesting activities was modified to include logic for systems used to recover forest residue. Two illustrative biomass recovery systems with variations were modeled. A system to recover residues after whole-tree harvesting operations was applied to a representative forest stand in the Inland West. Whole-tree chipping in an early thinning was applied to a representative forest stand in the Southeast United States. Emission factors and life-cycle outputs were developed for the systems through the SimaPro v7.3 model using one if its environmental impact methodologies called TRACI2. Most environmental outputs, including global warming potential, had a direct relationship to fuel consumption of the recovery systems. These outputs were subsequently used as inputs to life-cycle analysis in biofuel conversion facilities. Fuel consumption for recovery of residues from the log landing was 8.10, 12.0, and 16.0 liters per bone dry metric ton (BDmT) at haul distances of 48, 97, and 145 km, respectively. Corresponding fuel consumption for whole-tree chipping and hauling at these distances was 10.5, 16.0, and 21.5 liters/ BDmT. Shuttling ground residue from the landing for reload and a subsequent long haul of 145 km increased fuel consumption 32 percent over the residue recovery base case. Shuttling loose residue for centralized processing with a long haul distance of 145 km increases fuel consumption by 86 percent over recovery directly from the landing. [ABSTRACT FROM AUTHOR]","author":[{"dropping-particle":"","family":"Johnson","given":"Leonard","non-dropping-particle":"","parse-names":false,"suffix":""},{"dropping-particle":"","family":"Lippke","given":"Bruce","non-dropping-particle":"","parse-names":false,"suffix":""},{"dropping-particle":"","family":"Oneil","given":"Elaine","non-dropping-particle":"","parse-names":false,"suffix":""}],"container-title":"Forest Product Journal","id":"ITEM-2","issue":"4","issued":{"date-parts":[["2012"]]},"page":"258–272","title":"Modeling Biomass Collection and Woods Processing Life-Cycle Analysis","type":"article-journal","volume":"62"},"uris":["http://www.mendeley.com/documents/?uuid=5ba9bb20-8d7f-4050-aaf7-e876dddd3366"]},{"id":"ITEM-3","itemData":{"DOI":"10.1111/j.1757-1707.2011.01101.x","ISBN":"17571693","ISSN":"17571707","abstract":"Abstract The study describes an integrated impact assessment tool for the net carbon dioxide (CO2) exchange in forest production. The components of the net carbon exchange include the uptake of carbon into biomass, the decomposition of litter and humus, emissions from forest management operations and carbon released from the combustion of biomass and degradation of wood-based products. The tool enables the allocation of the total carbon emissions to the timber and energy biomass and to the energy produced on the basis of biomass. In example computations, ecosystem model simulations were utilized as an input to the tool. We present results for traditional timber production (pulpwood and saw logs) and integrated timber and bioenergy production (logging residues, stumps and roots) for Norway spruce, in boreal conditions in Finland, with two climate scenarios over one rotation period. The results showed that the magnitude of management related emissions on net carbon exchange was smaller when compared with the total ecosystem fluxes; decomposition being the largest emission contributor. In addition, the effects of management and climate were higher on the decomposition of new humus compared with old humus. The results also showed that probable increased biomass growth, obtained under the changing climate (CC), could not compensate for decomposition and biomass combustion related carbon loss in southern Finland. In our examples, the emissions allocated for the energy from biomass in southern Finland were 172 and 188 kg CO2 MW h−1 in the current climate and in a CC, respectively, and 199 and 157 kg CO2 MW h−1 in northern Finland. This study concludes that the tool is suitable for estimating the net carbon exchange of forest production. The tool also enables the allocation of direct and indirect carbon emissions, related to forest production over its life cycle, in different environmental conditions and for alternative time periods and land uses. Simulations of forest management regimes together with the CC give new insights into ecologically sustainable forest bioenergy and timber production, as well as climate change mitigation options in boreal forests.","author":[{"dropping-particle":"","family":"Kilpeläinen","given":"Antti","non-dropping-particle":"","parse-names":false,"suffix":""},{"dropping-particle":"","family":"Alam","given":"Ashraful","non-dropping-particle":"","parse-names":false,"suffix":""},{"dropping-particle":"","family":"Strandman","given":"Harri","non-dropping-particle":"","parse-names":false,"suffix":""},{"dropping-particle":"","family":"Kellomäki","given":"Seppo","non-dropping-particle":"","parse-names":false,"suffix":""}],"container-title":"GCB Bioenergy","id":"ITEM-3","issue":"6","issued":{"date-parts":[["2011"]]},"page":"461-471","title":"Life cycle assessment tool for estimating net CO2exchange of forest production","type":"article-journal","volume":"3"},"uris":["http://www.mendeley.com/documents/?uuid=5d2b808e-0426-415a-a238-86d03eb31a3b"]},{"id":"ITEM-4","itemData":{"DOI":"10.1093/forestry/69.3.215","ISSN":"0015-752X","abstract":"In Finland in 1993 the greenhouse gas emissions caused by machinery used in silvicultural and forest improvement work, wood harvesting, and timber transportation were 424.2 Gg carbon dioxide (CO2 (Gg = gigagram = 109 g), 10.6 Mg nitrous oxide (Mg = megagram = 106 g), 3.5 Gg carbon monoxide, 31.5 Mg methane, 5.6 Gg nitrogen oxide, and 0.7 Gg non-methane volatile organic compounds. When emissions were converted into equal units as global warming potential in terms of CO2, the warming effects on a 20-year time frame equalled 1310 Gg as CO2 and on a 100-year time frame 669 Gg as CO2. The proportion of silvicultural and forest improvement work of the total emission was 8 per cent, cutting of timber 13 per cent, haulage 18 per cent, long-distance transportation 57 per cent, and transportation of machinery 4 per cent. The emissions caused by the use of primary energy in forestry seem to be small compared with the amount of carbon in harvested timber, which was 30 300 Gg in terms of CO2.","author":[{"dropping-particle":"","family":"Karjalainen","given":"T","non-dropping-particle":"","parse-names":false,"suffix":""}],"container-title":"Forestry","id":"ITEM-4","issue":"3","issued":{"date-parts":[["1996"]]},"page":"215-228","title":"Greenhouse gas emissions from the use of primary energy in forest operations and long-distance transportation of timber in Finland","type":"article-journal","volume":"69"},"uris":["http://www.mendeley.com/documents/?uuid=69f2fdcf-7f35-4863-8e44-e029f6a7f370"]},{"id":"ITEM-5","itemData":{"ISBN":"9789157674531","author":[{"dropping-particle":"","family":"Lindholm","given":"Eva-lotta","non-dropping-particle":"","parse-names":false,"suffix":""}],"container-title":"Energy","id":"ITEM-5","issued":{"date-parts":[["2010"]]},"title":"Energy Use and Environmental Impact of Roundwood and Forest Fuel Production in Sweden","type":"book"},"uris":["http://www.mendeley.com/documents/?uuid=e5dbe136-b862-4ccf-854c-65406c8b167f"]},{"id":"ITEM-6","itemData":{"DOI":"10.1016/j.foreco.2006.08.343","ISSN":"03781127","abstract":"Increasing concentrations of CO2 in the atmosphere have increased the value of sequestration and storage of C in forests. To maximize the value of this forest function, land managers require accounting systems to track the C stored in forests and in wood and fiber products. Accounting frameworks and data for quantifying C in forests and in wood and fiber products are generally available. In contrast, C emitted from fossil fuels utilized for silvicultural activities such as site preparation or fertilization, which are designed to increase C sequestration, have not been accounted for. The fossil fuel C emissions associated with silvicultural activities must be systematically evaluated to ensure that a net positive C balance results from activities ranging from planting to harvesting. The necessary data for evaluation are compiled from existing information. Utilizing the data, total C emissions from silvicultural activities for an intensive fiber farming operation of southern pine on a 25-year rotation is estimated to be &lt;3 Mg C ha-1. Increased C sequestration in soil or wood and fiber products in response to silvicultural treatments is simulated for 100 years to compare to the fossil fuel C emissions from silvicultural activities. The comparison demonstrates that the expected gains in C accumulation in soils of 16 Mg ha-1 over 100 years or gains due to increased harvest for paper products, also </w:instrText>
            </w:r>
            <w:r w:rsidR="00B128F6">
              <w:rPr>
                <w:rFonts w:ascii="Cambria Math" w:hAnsi="Cambria Math" w:cs="Cambria Math"/>
                <w:sz w:val="18"/>
                <w:szCs w:val="18"/>
              </w:rPr>
              <w:instrText>∼</w:instrText>
            </w:r>
            <w:r w:rsidR="00B128F6">
              <w:rPr>
                <w:rFonts w:ascii="Times New Roman" w:hAnsi="Times New Roman" w:cs="Times New Roman"/>
                <w:sz w:val="18"/>
                <w:szCs w:val="18"/>
              </w:rPr>
              <w:instrText>16 Mg ha-1, could each individually be largely balanced by silvicultural C emissions. On the other hand, C storage in wood products due to accelerated growth of trees to a saw log category might exceed the incurred C emissions by 3-fold (i.e., 35 Mg ha-1). If the combined C sequestration benefits from soil C accumulation, increased C storage in paper products, and storage in saw timber products could be captured these would outweigh the fossil fuel C emissions due to increased silvicultural activities. © 2006 Elsevier B.V. All rights reserved.","author":[{"dropping-particle":"","family":"Markewitz","given":"Daniel","non-dropping-particle":"","parse-names":false,"suffix":""}],"container-title":"Forest Ecology and Management","id":"ITEM-6","issue":"2-3","issued":{"date-parts":[["2006"]]},"page":"153-161","title":"Fossil fuel carbon emissions from silviculture : Impacts on net carbon sequestration in forests","type":"article-journal","volume":"236"},"uris":["http://www.mendeley.com/documents/?uuid=c534da0b-7bcf-47d3-8dbb-315e291956af"]},{"id":"ITEM-7","itemData":{"DOI":"10.1007/s10342-011-0539-8","ISSN":"16124669","abstract":"An ecosystem model (Sima) was utilised to investigate the impact of\\nforest management (by changing both the initial stand density and basal\\narea thinning thresholds from current recommendations) on energy wood\\nproduction (at energy wood thinning and final felling) and\\nmanagement-related carbon dioxide (CO2) emissions for the energy wood\\nproduction in Finnish boreal conditions (62A degrees 39' N, 29A degrees\\n37' E). The simultaneous effects of energy wood, timber and C stocks in\\nthe forest ecosystem (live and dead biomass) were also assessed. The\\nanalyses were carried out at stand level during a rotation period of 80\\nyears for Scots pine (Pinus sylvestris L.) and Norway spruce (Picea\\nabies L. Karst.) growing in different fertility sites. Generally, the\\nresults showed that decreased basal area thinning thresholds, compared\\nwith current thinning, reduced energy wood (logging residues) and timber\\nproduction, as well as carbon stocks in the forest ecosystem.\\nConversely, increased thinning thresholds increased energy wood\\nproduction (ca. 1-27%) at both energy wood thinning and final felling\\nand reduced CO2 emissions (ca. 2-6%) related to the production chain\\n(e.g. management operations), depending on the thinning threshold\\nlevels, initial stand density, species and site. Increased thinning\\nthresholds also enhanced timber production and carbon stocks in the\\nforest ecosystem. Additionally, increased initial stand density enhanced\\nenergy wood production for energy wood thinning for both species, but\\nthis reduced energy wood production at final felling for Scots pine and\\nNorway spruce. This study concluded that increases in both initial stand\\ndensity and thinning thresholds, compared with the current level, could\\nbe useful in energy wood, timber and carbon stocks enhancement, as well\\nas reducing management-related CO2 emissions for energy wood production.\\nOnly 2.4-3.3% of input of the produced energy (energy wood) was\\nrequired during the whole production chain, depending on the management\\nregime, species and sites. However, a comprehensive substitution\\nanalysis of wood-based energy, in respect to environmental benefits,\\nwould also require the inclusion of CO2 emissions related to ecosystem\\nprocesses (e.g. decomposition).","author":[{"dropping-particle":"","family":"Alam","given":"Ashraful","non-dropping-particle":"","parse-names":false,"suffix":""},{"dropping-particle":"","family":"Kilpeläinen","given":"Antti","non-dropping-particle":"","parse-names":false,"suffix":""},{"dropping-particle":"","family":"Kellomäki","given":"Seppo","non-dropping-particle":"","parse-names":false,"suffix":""}],"container-title":"European Journal of Forest Research","id":"ITEM-7","issue":"3","issued":{"date-parts":[["2012"]]},"page":"655-667","title":"Impacts of initial stand density and thinning regimes on energy wood production and management-related CO2 emissions in boreal ecosystems","type":"article-journal","volume":"131"},"uris":["http://www.mendeley.com/documents/?uuid=3bf836de-4820-4ea0-9d4c-867c5f4499f5"]},{"id":"ITEM-8","itemData":{"DOI":"10.1016/j.biombioe.2011.07.001","ISSN":"09619534","abstract":"Life cycle analysis is used to assess the energy requirements and greenhouse gas (GHG) emissions associated with extracting UK forest harvesting residues for use as a biomass resource. Three forest harvesting residues were examined (whole tree thinnings, roundwood and brash bales), and each have their own energy and emission profile. The whole forest rotation was examined, including original site establishment, forest road construction, biomass harvesting during thinning and final clear-fell events, chipping and transportation. Generally, higher yielding sites give lower GHG emissions per 'oven dried tonne' (ODT) forest residues, but GHG emissions 'per hectare' are higher as more biomass is extracted. Greater quantities of biomass, however, ultimately mean greater displacement of conventional fuels and therefore greater potential for GHG emission mitigation. Although forest road construction and site establishment are \" one off\" events they are highly energy-intensive operations associated with high diesel fuel consumption, when placed in context with the full forest rotation, however, their relative contributions to the overall energy requirements and GHG emissions are small. The lower bulk density of wood chips means that transportation energy requirements and GHG emissions are higher compared with roundwood logs and brash bales, suggesting that chipping should occur near the end-user of application. © 2011 Elsevier Ltd.","author":[{"dropping-particle":"","family":"Whittaker","given":"Carly","non-dropping-particle":"","parse-names":false,"suffix":""},{"dropping-particle":"","family":"Mortimer","given":"Nigel","non-dropping-particle":"","parse-names":false,"suffix":""},{"dropping-particle":"","family":"Murphy","given":"Richard","non-dropping-particle":"","parse-names":false,"suffix":""},{"dropping-particle":"","family":"Matthews","given":"Robert","non-dropping-particle":"","parse-names":false,"suffix":""}],"container-title":"Biomass and Bioenergy","id":"ITEM-8","issue":"11","issued":{"date-parts":[["2011"]]},"page":"4581-4594","publisher":"Elsevier Ltd","title":"Energy and greenhouse gas balance of the use of forest residues for bioenergy production in the UK","type":"article-journal","volume":"35"},"uris":["http://www.mendeley.com/documents/?uuid=b2df4301-3485-4e7b-a081-8143c49d3f5c"]},{"id":"ITEM-9","itemData":{"DOI":"10.1007/s11367-009-0089-1","ISBN":"1136700900","ISSN":"09483349","abstract":"Background, aim and scope: Forest operations use large amounts of energy, which must be considered when life cycle assessment (LCA) methodology is applied to forest products. Forest management practices differ considerably between countries and may also differ within a country. This paper aims to identify and compare the environmental burdens from forest operations in Sweden and Spain focused on pulpwood production and supply to pulp mills. Materials and methods: To perform the analysis, the main forest plantations were investigated as well as the most important tree species used in pulp mills in both countries: eucalyptus and, Norway spruce and Scots pine, were taken into account for the Spanish and Swedish case studies, respectively. Energy requirements for pulpwood production and supply to Spanish and Swedish pulp mills are evaluated in this paper. All forest operations from site preparation to extraction of felled wood to the delivery point at the roadside are included within the system boundaries as well as wood transport from forest landing to the pulp mill gate. Seedling and machinery production are excluded from the system boundaries due to lack of field data. The impact assessment phase was carried out according to the Swedish Environmental Management Council and, in particular, the impact categories assessed in forest and agricultural LCAs (global warming, acidification, eutrophication and photochemical oxidant formation) were analysed. SimaPro 7.10 software was used to perform the impact assessment stage. Results: Different types of wood are produced in both case studies: softwood in Sweden and hardwood in Spain, with higher production of round wood and biomass per hectare in Sweden. Total energy use for pulpwood production and supply are in a similar order of magnitude, up to 395 MJ and 370 MJ/m3 solid under bark in Spain and Sweden, respectively. Field operations, such as silviculture and logging, are more energy-intensive in the Spanish case study. However, secondary hauling of pulpwood to pulp mill requires more energy in the Swedish case study. These important differences are related to different forest management practices as well as to pulpwood supply to the pulp mill. The eventual imports of pulpwood, application of pesticides, thinning step or final felling considerably affects energy requirements, which are reflected on the environmental results. Discussion: Although differences between both case studies were observed, several stage…","author":[{"dropping-particle":"","family":"González-García","given":"Sara","non-dropping-particle":"","parse-names":false,"suffix":""},{"dropping-particle":"","family":"Berg","given":"Staffan","non-dropping-particle":"","parse-names":false,"suffix":""},{"dropping-particle":"","family":"Feijoo","given":"Gumersindo","non-dropping-particle":"","parse-names":false,"suffix":""},{"dropping-particle":"","family":"Moreira","given":"Ma Teresa","non-dropping-particle":"","parse-names":false,"suffix":""}],"container-title":"International Journal of Life Cycle Assessment","id":"ITEM-9","issue":"4","issued":{"date-parts":[["2009"]]},"page":"340-353","title":"Environmental impacts of forest production and supply of pulpwood: Spanish and Swedish case studies","type":"article-journal","volume":"14"},"uris":["http://www.mendeley.com/documents/?uuid=d8b58128-0028-48b7-8b06-0b007483bed6"]}],"mendeley":{"formattedCitation":"[13,14,16–22]","plainTextFormattedCitation":"[13,14,16–22]","previouslyFormattedCitation":"[13,14,16–22]"},"properties":{"noteIndex":0},"schema":"https://github.com/citation-style-language/schema/raw/master/csl-citation.json"}</w:instrText>
            </w:r>
            <w:r w:rsidRPr="00354DBD">
              <w:rPr>
                <w:rFonts w:ascii="Times New Roman" w:hAnsi="Times New Roman" w:cs="Times New Roman"/>
                <w:sz w:val="18"/>
                <w:szCs w:val="18"/>
              </w:rPr>
              <w:fldChar w:fldCharType="separate"/>
            </w:r>
            <w:r w:rsidR="00B952D9" w:rsidRPr="00B952D9">
              <w:rPr>
                <w:rFonts w:ascii="Times New Roman" w:hAnsi="Times New Roman" w:cs="Times New Roman"/>
                <w:noProof/>
                <w:sz w:val="18"/>
                <w:szCs w:val="18"/>
              </w:rPr>
              <w:t>[13,14,16–22]</w:t>
            </w:r>
            <w:r w:rsidRPr="00354DBD">
              <w:rPr>
                <w:rFonts w:ascii="Times New Roman" w:hAnsi="Times New Roman" w:cs="Times New Roman"/>
                <w:sz w:val="18"/>
                <w:szCs w:val="18"/>
              </w:rPr>
              <w:fldChar w:fldCharType="end"/>
            </w:r>
          </w:p>
        </w:tc>
        <w:tc>
          <w:tcPr>
            <w:tcW w:w="1405" w:type="dxa"/>
            <w:tcBorders>
              <w:top w:val="nil"/>
              <w:bottom w:val="nil"/>
            </w:tcBorders>
            <w:shd w:val="clear" w:color="auto" w:fill="auto"/>
            <w:vAlign w:val="center"/>
          </w:tcPr>
          <w:p w14:paraId="639BAB84" w14:textId="3E19F60F"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kg m</w:t>
            </w:r>
            <w:r w:rsidRPr="00354DBD">
              <w:rPr>
                <w:rFonts w:ascii="Times New Roman" w:hAnsi="Times New Roman" w:cs="Times New Roman"/>
                <w:sz w:val="18"/>
                <w:szCs w:val="18"/>
                <w:vertAlign w:val="superscript"/>
              </w:rPr>
              <w:t>-3</w:t>
            </w:r>
            <w:r w:rsidRPr="00354DBD">
              <w:rPr>
                <w:rFonts w:ascii="Times New Roman" w:hAnsi="Times New Roman" w:cs="Times New Roman"/>
                <w:sz w:val="18"/>
                <w:szCs w:val="18"/>
              </w:rPr>
              <w:t xml:space="preserve"> residue</w:t>
            </w:r>
          </w:p>
        </w:tc>
        <w:tc>
          <w:tcPr>
            <w:tcW w:w="1350" w:type="dxa"/>
            <w:tcBorders>
              <w:top w:val="nil"/>
              <w:bottom w:val="nil"/>
            </w:tcBorders>
            <w:shd w:val="clear" w:color="auto" w:fill="auto"/>
            <w:vAlign w:val="center"/>
          </w:tcPr>
          <w:p w14:paraId="07A5C36D"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Fail</w:t>
            </w:r>
          </w:p>
        </w:tc>
        <w:tc>
          <w:tcPr>
            <w:tcW w:w="1599" w:type="dxa"/>
            <w:tcBorders>
              <w:top w:val="nil"/>
              <w:bottom w:val="nil"/>
            </w:tcBorders>
            <w:shd w:val="clear" w:color="auto" w:fill="auto"/>
            <w:vAlign w:val="center"/>
          </w:tcPr>
          <w:p w14:paraId="7D46EF48"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Uniform</w:t>
            </w:r>
          </w:p>
          <w:p w14:paraId="25569053" w14:textId="78E28F72"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[0.62, 1.46]</w:t>
            </w:r>
          </w:p>
        </w:tc>
      </w:tr>
      <w:tr w:rsidR="006A215B" w:rsidRPr="00354DBD" w14:paraId="2D8AD429" w14:textId="77777777" w:rsidTr="006A215B">
        <w:trPr>
          <w:trHeight w:val="384"/>
        </w:trPr>
        <w:tc>
          <w:tcPr>
            <w:tcW w:w="3185" w:type="dxa"/>
            <w:tcBorders>
              <w:top w:val="nil"/>
              <w:bottom w:val="nil"/>
            </w:tcBorders>
            <w:shd w:val="clear" w:color="auto" w:fill="auto"/>
            <w:vAlign w:val="center"/>
          </w:tcPr>
          <w:p w14:paraId="6F0A1501" w14:textId="1B11A3F1" w:rsidR="006A215B" w:rsidRPr="00354DBD" w:rsidRDefault="006A215B" w:rsidP="00B20608">
            <w:pPr>
              <w:spacing w:after="0" w:line="240" w:lineRule="auto"/>
              <w:rPr>
                <w:rFonts w:ascii="Times New Roman" w:hAnsi="Times New Roman" w:cs="Times New Roman"/>
                <w:sz w:val="18"/>
                <w:szCs w:val="18"/>
              </w:rPr>
            </w:pPr>
            <w:r w:rsidRPr="00354DBD">
              <w:rPr>
                <w:rFonts w:ascii="Times New Roman" w:hAnsi="Times New Roman" w:cs="Times New Roman"/>
                <w:sz w:val="18"/>
                <w:szCs w:val="18"/>
              </w:rPr>
              <w:t>Diesel consumption in logging</w:t>
            </w:r>
            <w:r w:rsidRPr="00354DBD">
              <w:rPr>
                <w:rFonts w:ascii="Times New Roman" w:hAnsi="Times New Roman" w:cs="Times New Roman"/>
                <w:sz w:val="18"/>
                <w:szCs w:val="18"/>
              </w:rPr>
              <w:fldChar w:fldCharType="begin" w:fldLock="1"/>
            </w:r>
            <w:r w:rsidR="00B128F6">
              <w:rPr>
                <w:rFonts w:ascii="Times New Roman" w:hAnsi="Times New Roman" w:cs="Times New Roman"/>
                <w:sz w:val="18"/>
                <w:szCs w:val="18"/>
              </w:rPr>
              <w:instrText xml:space="preserve">ADDIN CSL_CITATION {"citationItems":[{"id":"ITEM-1","itemData":{"DOI":"10.1139/X09-023","ISBN":"1556-1623","ISSN":"0045-5067","PMID":"508439586","abstract":"In this study natural-in-action metacognitive activity during the student laboratory in university physics is explored, with an aim towards quantifying the amount of metacognition used by the students. The study investigates whether quantifying natural- in-action metacognition is possible and valuable for examining teaching and learning in these contexts. Video recordings of student groups working during three types of introductory physics laboratories were transcribed and then coded using a coding scheme developed from related research on mathematical problem solving. This scheme identifies a group’s general behaviour and metacognitive activity. The study recognizes that reliably identifying metacognition is challenging, and steps are taken to improve reliability. Results suggest that a greater amount of metacognition does not appear to improve students’ success in the laboratory—what appears to matter is whether the metacognition causes students to change behaviour. This study indicates that it is important to consider the outcome of metacognition, not just the amount.","author":[{"dropping-particle":"","family":"Dwivedi","given":"Puneet","non-dropping-particle":"","parse-names":false,"suffix":""},{"dropping-particle":"","family":"Alavalapati","given":"Janaki R.R. R","non-dropping-particle":"","parse-names":false,"suffix":""},{"dropping-particle":"","family":"Susaeta","given":"Andres","non-dropping-particle":"","parse-names":false,"suffix":""},{"dropping-particle":"","family":"Stainback","given":"Andrew","non-dropping-particle":"","parse-names":false,"suffix":""}],"container-title":"Canadian Journal of Forest Research","id":"ITEM-1","issue":"5","issued":{"date-parts":[["2009"]]},"page":"990-1000","title":"Impact of carbon value on the profitability of slash pine plantations in the southern United States: an integrated life cycle and Faustmann analysis","type":"article-journal","volume":"39"},"uris":["http://www.mendeley.com/documents/?uuid=d13aac18-0978-4696-a5ed-9483669d0a18"]},{"id":"ITEM-2","itemData":{"DOI":"10.1016/j.enconman.2016.01.006","ISBN":"0196-8904","ISSN":"01968904","abstract":"Bioenergy is increasingly being used to meet EU objectives for renewable energy generation and reducing greenhouse gas (GHG) emissions. Problems with using biomass however include high moisture contents, lower calorific value and poor grindability when compared to fossil fuels. Torrefaction is a pre-treatment process that aims to address these issues. In this paper four torrefaction treatments of pine were performed and a mass-energy balance calculated. Using experimental data, a pellet production supply chain incorporating torrefaction was modelled and compared to an existing wood pellet system to determine life-cycle GHG emissions. Two utility fuels, wood chips and natural gas, were considered to provide process heat in addition to volatile gases released during torrefaction (torgas). Experimental results show that torrefaction reduces the moisture content and increases the calorific value of the fuels. Increasing torrefaction temperature and residence time results in lower mass and energy yields. GHG emissions reduce with increasing torrefaction severity. Emissions from drying &amp; torrefaction and shipping are the highest GHG contributors to the supply chain. All 4 torrefaction conditions assessed outperformed traditional wood pellet supply chain emissions but more land is required which increases with temperature and residence time. Sensitivity analysis results show that emissions increase significantly where natural gas is used for utility fuel and no torgas is utilised.","author":[{"dropping-particle":"","family":"Mcnamee","given":"P.","non-dropping-particle":"","parse-names":false,"suffix":""},{"dropping-particle":"","family":"Adams","given":"P. W.R.","non-dropping-particle":"","parse-names":false,"suffix":""},{"dropping-particle":"","family":"McManus","given":"M. C.","non-dropping-particle":"","parse-names":false,"suffix":""},{"dropping-particle":"","family":"Dooley","given":"B.","non-dropping-particle":"","parse-names":false,"suffix":""},{"dropping-particle":"","family":"Darvell","given":"L. I.","non-dropping-particle":"","parse-names":false,"suffix":""},{"dropping-particle":"","family":"Williams","given":"A.","non-dropping-particle":"","parse-names":false,"suffix":""},{"dropping-particle":"","family":"Jones","given":"J. M.","non-dropping-particle":"","parse-names":false,"suffix":""}],"container-title":"Energy Conversion and Management","id":"ITEM-2","issued":{"date-parts":[["2016"]]},"page":"177-188","publisher":"Elsevier Ltd","title":"An assessment of the torrefaction of North American pine and life cycle greenhouse gas emissions","type":"article-journal","volume":"113"},"uris":["http://www.mendeley.com/documents/?uuid=04f60be6-2880-467c-923e-373cdc6433c2"]},{"id":"ITEM-3","itemData":{"DOI":"10.13073/FPJ-D-12-00019.1","ISBN":"0015-7473","ISSN":"00157473","abstract":"A deterministic spreadsheet model developed in an earlier Consortium for Research on Renewable Industrial Materials (CORRIM) project that calculates cost, fuel, and chemical outputs of forest management and harvesting activities was modified to include logic for systems used to recover forest residue. Two illustrative biomass recovery systems with variations were modeled. A system to recover residues after whole-tree harvesting operations was applied to a representative forest stand in the Inland West. Whole-tree chipping in an early thinning was applied to a representative forest stand in the Southeast United States. Emission factors and life-cycle outputs were developed for the systems through the SimaPro v7.3 model using one if its environmental impact methodologies called TRACI2. Most environmental outputs, including global warming potential, had a direct relationship to fuel consumption of the recovery systems. These outputs were subsequently used as inputs to life-cycle analysis in biofuel conversion facilities. Fuel consumption for recovery of residues from the log landing was 8.10, 12.0, and 16.0 liters per bone dry metric ton (BDmT) at haul distances of 48, 97, and 145 km, respectively. Corresponding fuel consumption for whole-tree chipping and hauling at these distances was 10.5, 16.0, and 21.5 liters/ BDmT. Shuttling ground residue from the landing for reload and a subsequent long haul of 145 km increased fuel consumption 32 percent over the residue recovery base case. Shuttling loose residue for centralized processing with a long haul distance of 145 km increases fuel consumption by 86 percent over recovery directly from the landing. [ABSTRACT FROM AUTHOR]","author":[{"dropping-particle":"","family":"Johnson","given":"Leonard","non-dropping-particle":"","parse-names":false,"suffix":""},{"dropping-particle":"","family":"Lippke","given":"Bruce","non-dropping-particle":"","parse-names":false,"suffix":""},{"dropping-particle":"","family":"Oneil","given":"Elaine","non-dropping-particle":"","parse-names":false,"suffix":""}],"container-title":"Forest Product Journal","id":"ITEM-3","issue":"4","issued":{"date-parts":[["2012"]]},"page":"258–272","title":"Modeling Biomass Collection and Woods Processing Life-Cycle Analysis","type":"article-journal","volume":"62"},"uris":["http://www.mendeley.com/documents/?uuid=5ba9bb20-8d7f-4050-aaf7-e876dddd3366"]},{"id":"ITEM-4","itemData":{"author":[{"dropping-particle":"","family":"Oneil","given":"E.E.","non-dropping-particle":"","parse-names":false,"suffix":""},{"dropping-particle":"","family":"Johnson","given":"L.R.","non-dropping-particle":"","parse-names":false,"suffix":""},{"dropping-particle":"","family":"Lippke","given":"B.R.","non-dropping-particle":"","parse-names":false,"suffix":""},{"dropping-particle":"","family":"McCarter","given":"J.B.","non-dropping-particle":"","parse-names":false,"suffix":""},{"dropping-particle":"","family":"McDill","given":"M.E.","non-dropping-particle":"","parse-names":false,"suffix":""},{"dropping-particle":"","family":"Roth","given":"P.A.","non-dropping-particle":"","parse-names":false,"suffix":""},{"dropping-particle":"","family":"Finley","given":"J.C.","non-dropping-particle":"","parse-names":false,"suffix":""}],"container-title":"Wood and Fiber Science","id":"ITEM-4","issued":{"date-parts":[["2010"]]},"page":"29-51","title":"Life-Cycle Impacts of Inland Northwest and Northeast / North Central Forest Resources","type":"article-journal","volume":"42"},"uris":["http://www.mendeley.com/documents/?uuid=6f6a9016-e7ae-4024-aa85-af3874bee6ba"]},{"id":"ITEM-5","itemData":{"DOI":"10.14214/sf.a9163","abstract":"The amount of carbon (C) stored in wood products manufactured in Finland was calculated with the help of a model using wood harvesting statistics, product flows and lifespans in order to study how much C could be set aside from the atmospheric C cycle outside the forest ecosystem. The calculations showed that on the average 9.9 Tg C/a was in harvested timber in 1986–1991 in Finland. C emissions of timber harvest and transport were 0.1 Tg C/a. In production processes about one third of the C bound in timber was released into the atmosphere, but two thirds was still bound in products. After 50 and 100 years, more than 40% and 33% of the C initially in products was either in products still in use or disposed to landfills. The wood product C storage was most sensitive to landfill decay rate and to the burning of abandoned products for energy, but not to the same extent to the length of the lifespan of products.","author":[{"dropping-particle":"","family":"Karjalainen","given":"Timo","non-dropping-particle":"","parse-names":false,"suffix":""},{"dropping-particle":"","family":"Kellomäki","given":"Seppo","non-dropping-particle":"","parse-names":false,"suffix":""},{"dropping-particle":"","family":"Pussinen","given":"Ari","non-dropping-particle":"","parse-names":false,"suffix":""}],"container-title":"Silva Fennica","id":"ITEM-5","issue":"2","issued":{"date-parts":[["1994"]]},"title":"Role of wood-based products in absorbing atmospheric carbon.","type":"article-journal","volume":"28"},"uris":["http://www.mendeley.com/documents/?uuid=e3149db8-9eac-473b-be89-f721340665c2"]},{"id":"ITEM-6","itemData":{"DOI":"10.1093/forestry/69.3.215","ISSN":"0015-752X","abstract":"In Finland in 1993 the greenhouse gas emissions caused by machinery used in silvicultural and forest improvement work, wood harvesting, and timber transportation were 424.2 Gg carbon dioxide (CO2 (Gg = gigagram = 109 g), 10.6 Mg nitrous oxide (Mg = megagram = 106 g), 3.5 Gg carbon monoxide, 31.5 Mg methane, 5.6 Gg nitrogen oxide, and 0.7 Gg non-methane volatile organic compounds. When emissions were converted into equal units as global warming potential in terms of CO2, the warming effects on a 20-year time frame equalled 1310 Gg as CO2 and on a 100-year time frame 669 Gg as CO2. The proportion of silvicultural and forest improvement work of the total emission was 8 per cent, cutting of timber 13 per cent, haulage 18 per cent, long-distance transportation 57 per cent, and transportation of machinery 4 per cent. The emissions caused by the use of primary energy in forestry seem to be small compared with the amount of carbon in harvested timber, which was 30 300 Gg in terms of CO2.","author":[{"dropping-particle":"","family":"Karjalainen","given":"T","non-dropping-particle":"","parse-names":false,"suffix":""}],"container-title":"Forestry","id":"ITEM-6","issue":"3","issued":{"date-parts":[["1996"]]},"page":"215-228","title":"Greenhouse gas emissions from the use of primary energy in forest operations and long-distance transportation of timber in Finland","type":"article-journal","volume":"69"},"uris":["http://www.mendeley.com/documents/?uuid=69f2fdcf-7f35-4863-8e44-e029f6a7f370"]},{"id":"ITEM-7","itemData":{"ISBN":"9789157674531","author":[{"dropping-particle":"","family":"Lindholm","given":"Eva-lotta","non-dropping-particle":"","parse-names":false,"suffix":""}],"container-title":"Energy","id":"ITEM-7","issued":{"date-parts":[["2010"]]},"title":"Energy Use and Environmental Impact of Roundwood and Forest Fuel Production in Sweden","type":"book"},"uris":["http://www.mendeley.com/documents/?uuid=e5dbe136-b862-4ccf-854c-65406c8b167f"]},{"id":"ITEM-8","itemData":{"DOI":"10.1016/j.foreco.2006.08.343","ISSN":"03781127","abstract":"Increasing concentrations of CO2 in the atmosphere have increased the value of sequestration and storage of C in forests. To maximize the value of this forest function, land managers require accounting systems to track the C stored in forests and in wood and fiber products. Accounting frameworks and data for quantifying C in forests and in wood and fiber products are generally available. In contrast, C emitted from fossil fuels utilized for silvicultural activities such as site preparation or fertilization, which are designed to increase C sequestration, have not been accounted for. The fossil fuel C emissions associated with silvicultural activities must be systematically evaluated to ensure that a net positive C balance results from activities ranging from planting to harvesting. The necessary data for evaluation are compiled from existing information. Utilizing the data, total C emissions from silvicultural activities for an intensive fiber farming operation of southern pine on a 25-year rotation is estimated to be &lt;3 Mg C ha-1. Increased C sequestration in soil or wood and fiber products in response to silvicultural treatments is simulated for 100 years to compare to the fossil fuel C emissions from silvicultural activities. The comparison demonstrates that the expected gains in C accumulation in soils of 16 Mg ha-1 over 100 years or gains due to increased harvest for paper products, also </w:instrText>
            </w:r>
            <w:r w:rsidR="00B128F6">
              <w:rPr>
                <w:rFonts w:ascii="Cambria Math" w:hAnsi="Cambria Math" w:cs="Cambria Math"/>
                <w:sz w:val="18"/>
                <w:szCs w:val="18"/>
              </w:rPr>
              <w:instrText>∼</w:instrText>
            </w:r>
            <w:r w:rsidR="00B128F6">
              <w:rPr>
                <w:rFonts w:ascii="Times New Roman" w:hAnsi="Times New Roman" w:cs="Times New Roman"/>
                <w:sz w:val="18"/>
                <w:szCs w:val="18"/>
              </w:rPr>
              <w:instrText>16 Mg ha-1, could each individually be largely balanced by silvicultural C emissions. On the other hand, C storage in wood products due to accelerated growth of trees to a saw log category might exceed the incurred C emissions by 3-fold (i.e., 35 Mg ha-1). If the combined C sequestration benefits from soil C accumulation, increased C storage in paper products, and storage in saw timber products could be captured these would outweigh the fossil fuel C emissions due to increased silvicultural activities. © 2006 Elsevier B.V. All rights reserved.","author":[{"dropping-particle":"","family":"Markewitz","given":"Daniel","non-dropping-particle":"","parse-names":false,"suffix":""}],"container-title":"Forest Ecology and Management","id":"ITEM-8","issue":"2-3","issued":{"date-parts":[["2006"]]},"page":"153-161","title":"Fossil fuel carbon emissions from silviculture : Impacts on net carbon sequestration in forests","type":"article-journal","volume":"236"},"uris":["http://www.mendeley.com/documents/?uuid=c534da0b-7bcf-47d3-8dbb-315e291956af"]},{"id":"ITEM-9","itemData":{"DOI":"10.1007/s10310-009-0143-7","ISSN":"13416979","abstract":"A study was done using eight different logging machines (harvesters and forwarders) in clear-felling operations to quantify the associated fuel consumption, and to define the inherent relationship between engine output power and fuel consumption. Exhaust emissions were also calculated on the basis of mean fuel consumption values, obtained by measurements, and from the developed regression and correlation model for diesel and rapeseed methyl ester (RME) fuels. The calculation considered exhaust emissions associated with the manufacture, distribution, and combustion of the respective fuels. It was found that carbon dioxide emissions amounted to 9.63 kg/m 3 of delivered timber for diesel fuel, and to 10.64 kg/m 3 for RME. It was also found that when using RME only 2.82 kg/m 3 of carbon dioxide emissions originated from fossil resources, therefore, it is only this amount that can be deemed an environmental load, confirming RME as a lesser environmental pollutant. © The Japanese Forest Society and Springer 2009.","author":[{"dropping-particle":"","family":"Klvac","given":"Radomir","non-dropping-particle":"","parse-names":false,"suffix":""},{"dropping-particle":"","family":"Skoupy","given":"Alois","non-dropping-particle":"","parse-names":false,"suffix":""}],"container-title":"Journal of Forest Research","id":"ITEM-9","issue":"6","issued":{"date-parts":[["2009"]]},"page":"328-334","title":"Characteristic fuel consumption and exhaust emissions in fully mechanized logging operations","type":"article-journal","volume":"14"},"uris":["http://www.mendeley.com/documents/?uuid=dcff8059-3ef0-44ef-ae69-23dedf383acb"]},{"id":"ITEM-10","itemData":{"DOI":"10.1080/08435243.1999.10702725","ISSN":"2327-8897","abstract":"When subjecting forest products to certification the total environmental load of wood harvesting machinery should also be assessed. In this study fuel, hydraulic oil and lubricant consumption in harvesting operations in Sweden has been examined by using machine data acquired through a questionnaire. The objectives of the study were to assess the contractor and forest company owned harvesters' and forwarders' average oil consumption in practical harvesting operations in Sweden, ascertain if the ownership and size of the machines give different consumption figures and estimate the use of environmentally acceptable hydraulic oils as well as the amount of oil spilled outdoors. Diesel consumption was found to be 935 l/1000 m3ub for forwarders and 1 167 l/1000 m3ub for single-grip harvesters. Hydraulic, transmission and chainsaw oil consumption was significantly higher in forest company owned harvesters while no significant differences were observed among forwarders. Hydraulic oil spillage was estimated for both harvesters and forwarders at 20 l/1000 m3ub. For felling and crosscutting trees a further 35 l/1000 m3ub of chainsaw oil is spilled. Ninety percent of the utilized hydraulic oil was environmentally compatible.","author":[{"dropping-particle":"","family":"Athanassiadis","given":"D.","non-dropping-particle":"","parse-names":false,"suffix":""},{"dropping-particle":"","family":"Lidestav","given":"G.","non-dropping-particle":"","parse-names":false,"suffix":""},{"dropping-particle":"","family":"Wästerlund","given":"I.","non-dropping-particle":"","parse-names":false,"suffix":""}],"container-title":"Journal of Forest Engineering","id":"ITEM-10","issue":"1","issued":{"date-parts":[["1999"]]},"page":"59-66","title":"Fuel, Hydraulic Oil and Lubricant Consumption in Swedish Mechanized Harvesting Operations, 1996","type":"article-journal","volume":"10"},"uris":["http://www.mendeley.com/documents/?uuid=12944249-96de-4566-a7d2-e99deecd3b99"]},{"id":"ITEM-11","itemData":{"ISSN":"0735-6161","abstract":"A life cycle inventory framework of \"cradle to gate\" combined with Monte Carlo stochastic simulation was used to analyze the forest carbon balance and emissions from mechanized and manual harvesting operations from 2000 to 2009 in West Virginia. Mechanized and manual harvesting operations were compared on the slope of the sites ranging from 10 to 35% where average diameter at breast height of harvested trees was 40.64 cm. The results showed that the annual carbon balance of the forests per hectare was not significantly affected by carbon loss from the removal of sawlog volume (or timber), fire, and limited dead trees, until tree mortality and/or harvesting intensity reached a high level. Additionally, it was found that average carbon emission from fossil fuel consumption was 5.06 ± 0.90 metric tons per thousand cubic meters (Mg/TCM) of timber produced for a manual harvesting system and 6.84 ± 1.22 Mg/TCM for a mechanized harvesting system. Approximately 1.71 and 2.31% of the stored carbon in processed lumber would be displaced by harvesting emissions, respectively, for manual and mechanized systems. The forest carbon displacement rate during timber harvesting was affected largely by hauling process, while felling, processing, skidding, and loading processes had smaller impacts. Among the harvest processes studied, uncertainty of carbon emissions from fuel consumption and forest carbon displacement rate could be attributed to hauling distance, payload size, forest type, and machine productivity. © 2013 by the Society of Wood Science and Technology. © 2013 by the Society of Wood Science and Technology.","author":[{"dropping-particle":"","family":"Saud","given":"Pradip","non-dropping-particle":"","parse-names":false,"suffix":""},{"dropping-particle":"","family":"Wang","given":"Jingxin","non-dropping-particle":"","parse-names":false,"suffix":""},{"dropping-particle":"","family":"Lin","given":"Wenshu","non-dropping-particle":"","parse-names":false,"suffix":""},{"dropping-particle":"","family":"Sharma","given":"Benktesh D.","non-dropping-particle":"","parse-names":false,"suffix":""},{"dropping-particle":"","family":"Hartley","given":"Damon S.","non-dropping-particle":"","parse-names":false,"suffix":""}],"container-title":"Wood and Fiber Science","id":"ITEM-11","issue":"3","issued":{"date-parts":[["2013"]]},"page":"250-267","title":"A life cycle analysis of forest carbon balance and carbon emissions of timber harvesting in West Virginia","type":"article-journal","volume":"45"},"uris":["http://www.mendeley.com/documents/?uuid=a9a4fa52-6037-4bee-a425-59829410168d"]},{"id":"ITEM-12","itemData":{"DOI":"10.1007/s10342-011-0539-8","ISSN":"16124669","abstract":"An ecosystem model (Sima) was utilised to investigate the impact of\\nforest management (by changing both the initial stand density and basal\\narea thinning thresholds from current recommendations) on energy wood\\nproduction (at energy wood thinning and final felling) and\\nmanagement-related carbon dioxide (CO2) emissions for the energy wood\\nproduction in Finnish boreal conditions (62A degrees 39' N, 29A degrees\\n37' E). The simultaneous effects of energy wood, timber and C stocks in\\nthe forest ecosystem (live and dead biomass) were also assessed. The\\nanalyses were carried out at stand level during a rotation period of 80\\nyears for Scots pine (Pinus sylvestris L.) and Norway spruce (Picea\\nabies L. Karst.) growing in different fertility sites. Generally, the\\nresults showed that decreased basal area thinning thresholds, compared\\nwith current thinning, reduced energy wood (logging residues) and timber\\nproduction, as well as carbon stocks in the forest ecosystem.\\nConversely, increased thinning thresholds increased energy wood\\nproduction (ca. 1-27%) at both energy wood thinning and final felling\\nand reduced CO2 emissions (ca. 2-6%) related to the production chain\\n(e.g. management operations), depending on the thinning threshold\\nlevels, initial stand density, species and site. Increased thinning\\nthresholds also enhanced timber production and carbon stocks in the\\nforest ecosystem. Additionally, increased initial stand density enhanced\\nenergy wood production for energy wood thinning for both species, but\\nthis reduced energy wood production at final felling for Scots pine and\\nNorway spruce. This study concluded that increases in both initial stand\\ndensity and thinning thresholds, compared with the current level, could\\nbe useful in energy wood, timber and carbon stocks enhancement, as well\\nas reducing management-related CO2 emissions for energy wood production.\\nOnly 2.4-3.3% of input of the produced energy (energy wood) was\\nrequired during the whole production chain, depending on the management\\nregime, species and sites. However, a comprehensive substitution\\nanalysis of wood-based energy, in respect to environmental benefits,\\nwould also require the inclusion of CO2 emissions related to ecosystem\\nprocesses (e.g. decomposition).","author":[{"dropping-particle":"","family":"Alam","given":"Ashraful","non-dropping-particle":"","parse-names":false,"suffix":""},{"dropping-particle":"","family":"Kilpeläinen","given":"Antti","non-dropping-particle":"","parse-names":false,"suffix":""},{"dropping-particle":"","family":"Kellomäki","given":"Seppo","non-dropping-particle":"","parse-names":false,"suffix":""}],"container-title":"European Journal of Forest Research","id":"ITEM-12","issue":"3","issued":{"date-parts":[["2012"]]},"page":"655-667","title":"Impacts of initial stand density and thinning regimes on energy wood production and management-related CO2 emissions in boreal ecosystems","type":"article-journal","volume":"131"},"uris":["http://www.mendeley.com/documents/?uuid=3bf836de-4820-4ea0-9d4c-867c5f4499f5"]},{"id":"ITEM-13","itemData":{"DOI":"10.1016/j.biombioe.2011.07.001","ISSN":"09619534","abstract":"Life cycle analysis is used to assess the energy requirements and greenhouse gas (GHG) emissions associated with extracting UK forest harvesting residues for use as a biomass resource. Three forest harvesting residues were examined (whole tree thinnings, roundwood and brash bales), and each have their own energy and emission profile. The whole forest rotation was examined, including original site establishment, forest road construction, biomass harvesting during thinning and final clear-fell events, chipping and transportation. Generally, higher yielding sites give lower GHG emissions per 'oven dried tonne' (ODT) forest residues, but GHG emissions 'per hectare' are higher as more biomass is extracted. Greater quantities of biomass, however, ultimately mean greater displacement of conventional fuels and therefore greater potential for GHG emission mitigation. Although forest road construction and site establishment are \" one off\" events they are highly energy-intensive operations associated with high diesel fuel consumption, when placed in context with the full forest rotation, however, their relative contributions to the overall energy requirements and GHG emissions are small. The lower bulk density of wood chips means that transportation energy requirements and GHG emissions are higher compared with roundwood logs and brash bales, suggesting that chipping should occur near the end-user of application. © 2011 Elsevier Ltd.","author":[{"dropping-particle":"","family":"Whittaker","given":"Carly","non-dropping-particle":"","parse-names":false,"suffix":""},{"dropping-particle":"","family":"Mortimer","given":"Nigel","non-dropping-particle":"","parse-names":false,"suffix":""},{"dropping-particle":"","family":"Murphy","given":"Richard","non-dropping-particle":"","parse-names":false,"suffix":""},{"dropping-particle":"","family":"Matthews","given":"Robert","non-dropping-particle":"","parse-names":false,"suffix":""}],"container-title":"Biomass and Bioenergy","id":"ITEM-13","issue":"11","issued":{"date-parts":[["2011"]]},"page":"4581-4594","publisher":"Elsevier Ltd","title":"Energy and greenhouse gas balance of the use of forest residues for bioenergy production in the UK","type":"article-journal","volume":"35"},"uris":["http://www.mendeley.com/documents/?uuid=b2df4301-3485-4e7b-a081-8143c49d3f5c"]},{"id":"ITEM-14","itemData":{"DOI":"10.1007/s11367-009-0089-1","ISBN":"1136700900","ISSN":"09483349","abstract":"Background, aim and scope: Forest operations use large amounts of energy, which must be considered when life cycle assessment (LCA) methodology is applied to forest products. Forest management practices differ considerably between countries and may also differ within a country. This paper aims to identify and compare the environmental burdens from forest operations in Sweden and Spain focused on pulpwood production and supply to pulp mills. Materials and methods: To perform the analysis, the main forest plantations were investigated as well as the most important tree species used in pulp mills in both countries: eucalyptus and, Norway spruce and Scots pine, were taken into account for the Spanish and Swedish case studies, respectively. Energy requirements for pulpwood production and supply to Spanish and Swedish pulp mills are evaluated in this paper. All forest operations from site preparation to extraction of felled wood to the delivery point at the roadside are included within the system boundaries as well as wood transport from forest landing to the pulp mill gate. Seedling and machinery production are excluded from the system boundaries due to lack of field data. The impact assessment phase was carried out according to the Swedish Environmental Management Council and, in particular, the impact categories assessed in forest and agricultural LCAs (global warming, acidification, eutrophication and photochemical oxidant formation) were analysed. SimaPro 7.10 software was used to perform the impact assessment stage. Results: Different types of wood are produced in both case studies: softwood in Sweden and hardwood in Spain, with higher production of round wood and biomass per hectare in Sweden. Total energy use for pulpwood production and supply are in a similar order of magnitude, up to 395 MJ and 370 MJ/m3 solid under bark in Spain and Sweden, respectively. Field operations, such as silviculture and logging, are more energy-intensive in the Spanish case study. However, secondary hauling of pulpwood to pulp mill requires more energy in the Swedish case study. These important differences are related to different forest management practices as well as to pulpwood supply to the pulp mill. The eventual imports of pulpwood, application of pesticides, thinning step or final felling considerably affects energy requirements, which are reflected on the environmental results. Discussion: Although differences between both case studies were observed, several stage…","author":[{"dropping-particle":"","family":"González-García","given":"Sara","non-dropping-particle":"","parse-names":false,"suffix":""},{"dropping-particle":"","family":"Berg","given":"Staffan","non-dropping-particle":"","parse-names":false,"suffix":""},{"dropping-particle":"","family":"Feijoo","given":"Gumersindo","non-dropping-particle":"","parse-names":false,"suffix":""},{"dropping-particle":"","family":"Moreira","given":"Ma Teresa","non-dropping-particle":"","parse-names":false,"suffix":""}],"container-title":"International Journal of Life Cycle Assessment","id":"ITEM-14","issue":"4","issued":{"date-parts":[["2009"]]},"page":"340-353","title":"Environmental impacts of forest production and supply of pulpwood: Spanish and Swedish case studies","type":"article-journal","volume":"14"},"uris":["http://www.mendeley.com/documents/?uuid=d8b58128-0028-48b7-8b06-0b007483bed6"]}],"mendeley":{"formattedCitation":"[13–15,17–27]","plainTextFormattedCitation":"[13–15,17–27]","previouslyFormattedCitation":"[13–15,17–27]"},"properties":{"noteIndex":0},"schema":"https://github.com/citation-style-language/schema/raw/master/csl-citation.json"}</w:instrText>
            </w:r>
            <w:r w:rsidRPr="00354DBD">
              <w:rPr>
                <w:rFonts w:ascii="Times New Roman" w:hAnsi="Times New Roman" w:cs="Times New Roman"/>
                <w:sz w:val="18"/>
                <w:szCs w:val="18"/>
              </w:rPr>
              <w:fldChar w:fldCharType="separate"/>
            </w:r>
            <w:r w:rsidR="00B952D9" w:rsidRPr="00B952D9">
              <w:rPr>
                <w:rFonts w:ascii="Times New Roman" w:hAnsi="Times New Roman" w:cs="Times New Roman"/>
                <w:noProof/>
                <w:sz w:val="18"/>
                <w:szCs w:val="18"/>
              </w:rPr>
              <w:t>[13–15,17–27]</w:t>
            </w:r>
            <w:r w:rsidRPr="00354DBD">
              <w:rPr>
                <w:rFonts w:ascii="Times New Roman" w:hAnsi="Times New Roman" w:cs="Times New Roman"/>
                <w:sz w:val="18"/>
                <w:szCs w:val="18"/>
              </w:rPr>
              <w:fldChar w:fldCharType="end"/>
            </w:r>
          </w:p>
        </w:tc>
        <w:tc>
          <w:tcPr>
            <w:tcW w:w="1405" w:type="dxa"/>
            <w:tcBorders>
              <w:top w:val="nil"/>
              <w:bottom w:val="nil"/>
            </w:tcBorders>
            <w:shd w:val="clear" w:color="auto" w:fill="auto"/>
            <w:vAlign w:val="center"/>
          </w:tcPr>
          <w:p w14:paraId="70D4B8CD" w14:textId="53737D68"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kg m</w:t>
            </w:r>
            <w:r w:rsidRPr="00354DBD">
              <w:rPr>
                <w:rFonts w:ascii="Times New Roman" w:hAnsi="Times New Roman" w:cs="Times New Roman"/>
                <w:sz w:val="18"/>
                <w:szCs w:val="18"/>
                <w:vertAlign w:val="superscript"/>
              </w:rPr>
              <w:t>-3</w:t>
            </w:r>
            <w:r w:rsidRPr="00354DBD">
              <w:rPr>
                <w:rFonts w:ascii="Times New Roman" w:hAnsi="Times New Roman" w:cs="Times New Roman"/>
                <w:sz w:val="18"/>
                <w:szCs w:val="18"/>
              </w:rPr>
              <w:t xml:space="preserve"> log</w:t>
            </w:r>
          </w:p>
        </w:tc>
        <w:tc>
          <w:tcPr>
            <w:tcW w:w="1350" w:type="dxa"/>
            <w:tcBorders>
              <w:top w:val="nil"/>
              <w:bottom w:val="nil"/>
            </w:tcBorders>
            <w:shd w:val="clear" w:color="auto" w:fill="auto"/>
            <w:vAlign w:val="center"/>
          </w:tcPr>
          <w:p w14:paraId="62408E13"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Normal</w:t>
            </w:r>
          </w:p>
        </w:tc>
        <w:tc>
          <w:tcPr>
            <w:tcW w:w="1599" w:type="dxa"/>
            <w:tcBorders>
              <w:top w:val="nil"/>
              <w:bottom w:val="nil"/>
            </w:tcBorders>
            <w:shd w:val="clear" w:color="auto" w:fill="auto"/>
            <w:vAlign w:val="center"/>
          </w:tcPr>
          <w:p w14:paraId="61976523"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Normal</w:t>
            </w:r>
          </w:p>
          <w:p w14:paraId="080FE1AF"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i/>
                <w:iCs/>
                <w:sz w:val="18"/>
                <w:szCs w:val="18"/>
              </w:rPr>
              <w:t>N</w:t>
            </w:r>
            <w:r w:rsidRPr="00354DBD">
              <w:rPr>
                <w:rFonts w:ascii="Times New Roman" w:hAnsi="Times New Roman" w:cs="Times New Roman"/>
                <w:sz w:val="18"/>
                <w:szCs w:val="18"/>
              </w:rPr>
              <w:t>(1.40, 0.6</w:t>
            </w:r>
            <w:r w:rsidRPr="00354DBD">
              <w:rPr>
                <w:rFonts w:ascii="Times New Roman" w:hAnsi="Times New Roman" w:cs="Times New Roman"/>
                <w:sz w:val="18"/>
                <w:szCs w:val="18"/>
                <w:vertAlign w:val="superscript"/>
              </w:rPr>
              <w:t>2</w:t>
            </w:r>
            <w:r w:rsidRPr="00354DBD">
              <w:rPr>
                <w:rFonts w:ascii="Times New Roman" w:hAnsi="Times New Roman" w:cs="Times New Roman"/>
                <w:sz w:val="18"/>
                <w:szCs w:val="18"/>
              </w:rPr>
              <w:t>)</w:t>
            </w:r>
          </w:p>
        </w:tc>
      </w:tr>
      <w:tr w:rsidR="006A215B" w:rsidRPr="00354DBD" w14:paraId="6CFDB058" w14:textId="77777777" w:rsidTr="006A215B">
        <w:trPr>
          <w:trHeight w:val="384"/>
        </w:trPr>
        <w:tc>
          <w:tcPr>
            <w:tcW w:w="3185" w:type="dxa"/>
            <w:tcBorders>
              <w:top w:val="nil"/>
              <w:bottom w:val="nil"/>
            </w:tcBorders>
            <w:shd w:val="clear" w:color="auto" w:fill="auto"/>
            <w:vAlign w:val="center"/>
          </w:tcPr>
          <w:p w14:paraId="12373880" w14:textId="0B1C909C" w:rsidR="006A215B" w:rsidRPr="00354DBD" w:rsidRDefault="006A215B" w:rsidP="00B20608">
            <w:pPr>
              <w:spacing w:after="0" w:line="240" w:lineRule="auto"/>
              <w:rPr>
                <w:rFonts w:ascii="Times New Roman" w:hAnsi="Times New Roman" w:cs="Times New Roman"/>
                <w:sz w:val="18"/>
                <w:szCs w:val="18"/>
              </w:rPr>
            </w:pPr>
            <w:r w:rsidRPr="00354DBD">
              <w:rPr>
                <w:rFonts w:ascii="Times New Roman" w:hAnsi="Times New Roman" w:cs="Times New Roman"/>
                <w:sz w:val="18"/>
                <w:szCs w:val="18"/>
              </w:rPr>
              <w:t>Collectable pine residue mass fraction</w:t>
            </w:r>
            <w:r w:rsidR="00354DBD" w:rsidRPr="00354DBD">
              <w:rPr>
                <w:rFonts w:ascii="Times New Roman" w:hAnsi="Times New Roman" w:cs="Times New Roman"/>
                <w:sz w:val="18"/>
                <w:szCs w:val="18"/>
              </w:rPr>
              <w:t xml:space="preserve"> </w:t>
            </w:r>
            <w:r w:rsidR="00354DBD" w:rsidRPr="00354DBD">
              <w:rPr>
                <w:rFonts w:ascii="Times New Roman" w:hAnsi="Times New Roman" w:cs="Times New Roman"/>
                <w:sz w:val="18"/>
                <w:szCs w:val="18"/>
              </w:rPr>
              <w:fldChar w:fldCharType="begin" w:fldLock="1"/>
            </w:r>
            <w:r w:rsidR="00B128F6">
              <w:rPr>
                <w:rFonts w:ascii="Times New Roman" w:hAnsi="Times New Roman" w:cs="Times New Roman"/>
                <w:sz w:val="18"/>
                <w:szCs w:val="18"/>
              </w:rPr>
              <w:instrText>ADDIN CSL_CITATION {"citationItems":[{"id":"ITEM-1","itemData":{"DOI":"10.2172/1271651","author":[{"dropping-particle":"","family":"Langholtz","given":"M. H.","non-dropping-particle":"","parse-names":false,"suffix":""},{"dropping-particle":"","family":"Stokes","given":"B. J.","non-dropping-particle":"","parse-names":false,"suffix":""},{"dropping-particle":"","family":"Eaton","given":"L.M.","non-dropping-particle":"","parse-names":false,"suffix":""}],"container-title":"U.S. Department of Energy","id":"ITEM-1","issue":"July","issued":{"date-parts":[["2016"]]},"page":"411","title":"2016 Billion-Ton Report","type":"article-journal","volume":"I"},"uris":["http://www.mendeley.com/documents/?uuid=2bf2c148-9c68-4dcc-8e74-a6a03c0d1f19"]},{"id":"ITEM-2","itemData":{"DOI":"10.1016/j.foreco.2010.12.021","ISSN":"03781127","abstract":"Forest harvest operations often produce large amounts of harvest residue which typically becomes fine (foliage, small limbs and trees) and coarse woody debris (snags and downed logs). If removed at harvest, residual biomass has potential to be a local energy source and to produce marketable biofuel feedstock. But, CWD in particular serves critical life-history functions (e.g., breeding, foraging, basking) for a variety of organisms. Unfortunately, little is known about how forest biodiversity would respond to large scale removal of harvest residues. We calculated 745 biodiversity effect sizes from 26 studies involving manipulations of CWD (i.e., removed or added downed woody debris and/or snags). Diversity and abundance of both cavity- and open-nesting birds were substantially and consistently lower in treatments with lower amounts of downed CWD and/or standing snags, as was biomass of invertebrates. However, cumulative effect sizes for other taxa were not as large, were based on fewer studies, and varied among manipulation types. Little is currently known about biodiversity response to harvest of fine woody debris. Predicting the effects of biomass harvests on forest biodiversity is uncertain at best until more is known about how operational harvests actually change fine and coarse woody debris levels over long time periods. Pilot biomass harvests report post-harvest changes in CWD levels much smaller than the experimental changes involved in the studies we analyzed. Thus, operational biomass harvests may not change CWD levels enough to appreciably influence forest biodiversity, especially when following biomass harvest guidelines that require leaving a portion of harvest residues. Multi-scale studies can help reduce this uncertainty by investigating how biodiversity responses scale from the small scale of manipulative experiments (i.e., 10-ha plots) to operational forest management and how biodiversity response to CWD levels might vary at different spatial and temporal scales and in different landscape contexts. © 2010 Elsevier B.V.","author":[{"dropping-particle":"","family":"Riffell","given":"Sam","non-dropping-particle":"","parse-names":false,"suffix":""},{"dropping-particle":"","family":"Verschuyl","given":"Jake","non-dropping-particle":"","parse-names":false,"suffix":""},{"dropping-particle":"","family":"Miller","given":"Darren","non-dropping-particle":"","parse-names":false,"suffix":""},{"dropping-particle":"","family":"Wigley","given":"T. Bently","non-dropping-particle":"","parse-names":false,"suffix":""}],"container-title":"Forest Ecology and Management","id":"ITEM-2","issue":"4","issued":{"date-parts":[["2011"]]},"page":"878-887","publisher":"Elsevier B.V.","title":"Biofuel harvests, coarse woody debris, and biodiversity - A meta-analysis","type":"article-journal","volume":"261"},"uris":["http://www.mendeley.com/documents/?uuid=ec994615-2bdd-4c1f-a221-57bcae1a7f49"]},{"id":"ITEM-3","itemData":{"DOI":"10.1016/j.biombioe.2014.08.010","ISSN":"18732909","abstract":"Our objective was to determine if a retention area-based Biomass Harvesting Guideline (BHG) strategy maintained desired volumes of downed woody debris (DWD) following woody biomass harvests. We implemented six randomly-assigned treatments in four clearcuts in loblolly pine plantations in the Coastal Plain physiographic region of North Carolina during 2010-2011: 1) woody biomass harvest with no BHGs (NOBHG); 2) 15% retention with woody biomass dispersed (15DISP); 3) 15% retention with woody debris clustered (15CLUS); 4) 30% retention with woody biomass dispersed (30DISP); 5) 30% retention with woody biomass clustered (30CLUS); and 6) no woody biomass harvest (i.e., clearcut only; NOBIOHARV). Prior to harvesting, we flagged 15% or 30% of the treatment area to serve as woody biomass retention sources for the four BHG treatments, and all woody biomass from the flagged area were retained and distributed across that entire treatment area. We examined effects of treatments on: 1) fraction estimated volume of pre-harvest standing volume (total and woody biomass) retained as residual DWD; and 2) fraction retained DWD in treatments 2-5 relative to retained DWD in the NOBHGS and NOBIOHARV treatments. Adding a woody biomass harvest reduced volume of residual DWD by 81% in NOBHG compared to NOBIOHARV. Estimates based on the second metric were most similar to target retentions with retention percentages at 18.8% in 15CLUS, 14.1% in 15DISP, 39.0% in 30CLUS, and 38.0% in 30DISP. Treatments resulted in retention of DWD fractions approximate to those prescribed, suggesting BHGs can be implemented successfully in an operational setting.","author":[{"dropping-particle":"","family":"Fritts","given":"S. R.","non-dropping-particle":"","parse-names":false,"suffix":""},{"dropping-particle":"","family":"Moorman","given":"C. E.","non-dropping-particle":"","parse-names":false,"suffix":""},{"dropping-particle":"","family":"Hazel","given":"D. W.","non-dropping-particle":"","parse-names":false,"suffix":""},{"dropping-particle":"","family":"Jackson","given":"B. D.","non-dropping-particle":"","parse-names":false,"suffix":""}],"container-title":"Biomass and Bioenergy","id":"ITEM-3","issued":{"date-parts":[["2014"]]},"page":"382-391","publisher":"Elsevier Ltd","title":"Biomass Harvesting Guidelines affect downed woody debris retention","type":"article-journal","volume":"70"},"uris":["http://www.mendeley.com/documents/?uuid=b0cc518c-4df4-40da-a876-e0b59452aa34"]}],"mendeley":{"formattedCitation":"[28–30]","plainTextFormattedCitation":"[28–30]","previouslyFormattedCitation":"[28–30]"},"properties":{"noteIndex":0},"schema":"https://github.com/citation-style-language/schema/raw/master/csl-citation.json"}</w:instrText>
            </w:r>
            <w:r w:rsidR="00354DBD" w:rsidRPr="00354DBD">
              <w:rPr>
                <w:rFonts w:ascii="Times New Roman" w:hAnsi="Times New Roman" w:cs="Times New Roman"/>
                <w:sz w:val="18"/>
                <w:szCs w:val="18"/>
              </w:rPr>
              <w:fldChar w:fldCharType="separate"/>
            </w:r>
            <w:r w:rsidR="00B952D9" w:rsidRPr="00B952D9">
              <w:rPr>
                <w:rFonts w:ascii="Times New Roman" w:hAnsi="Times New Roman" w:cs="Times New Roman"/>
                <w:noProof/>
                <w:sz w:val="18"/>
                <w:szCs w:val="18"/>
              </w:rPr>
              <w:t>[28–30]</w:t>
            </w:r>
            <w:r w:rsidR="00354DBD" w:rsidRPr="00354DBD">
              <w:rPr>
                <w:rFonts w:ascii="Times New Roman" w:hAnsi="Times New Roman" w:cs="Times New Roman"/>
                <w:sz w:val="18"/>
                <w:szCs w:val="18"/>
              </w:rPr>
              <w:fldChar w:fldCharType="end"/>
            </w:r>
          </w:p>
        </w:tc>
        <w:tc>
          <w:tcPr>
            <w:tcW w:w="1405" w:type="dxa"/>
            <w:tcBorders>
              <w:top w:val="nil"/>
              <w:bottom w:val="nil"/>
            </w:tcBorders>
            <w:shd w:val="clear" w:color="auto" w:fill="auto"/>
            <w:vAlign w:val="center"/>
          </w:tcPr>
          <w:p w14:paraId="6B7F449D" w14:textId="43B33845"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w:t>
            </w:r>
          </w:p>
        </w:tc>
        <w:tc>
          <w:tcPr>
            <w:tcW w:w="1350" w:type="dxa"/>
            <w:tcBorders>
              <w:top w:val="nil"/>
              <w:bottom w:val="nil"/>
            </w:tcBorders>
            <w:shd w:val="clear" w:color="auto" w:fill="auto"/>
            <w:vAlign w:val="center"/>
          </w:tcPr>
          <w:p w14:paraId="791B60A2" w14:textId="2674E26B"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N/A</w:t>
            </w:r>
          </w:p>
        </w:tc>
        <w:tc>
          <w:tcPr>
            <w:tcW w:w="1599" w:type="dxa"/>
            <w:tcBorders>
              <w:top w:val="nil"/>
              <w:bottom w:val="nil"/>
            </w:tcBorders>
            <w:shd w:val="clear" w:color="auto" w:fill="auto"/>
            <w:vAlign w:val="center"/>
          </w:tcPr>
          <w:p w14:paraId="5E4CD9F3"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Uniform</w:t>
            </w:r>
          </w:p>
          <w:p w14:paraId="2A572A47" w14:textId="46A97C51"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[50,70]</w:t>
            </w:r>
          </w:p>
        </w:tc>
      </w:tr>
      <w:tr w:rsidR="006A215B" w:rsidRPr="00354DBD" w14:paraId="7A509029" w14:textId="77777777" w:rsidTr="006A215B">
        <w:trPr>
          <w:trHeight w:val="384"/>
        </w:trPr>
        <w:tc>
          <w:tcPr>
            <w:tcW w:w="3185" w:type="dxa"/>
            <w:tcBorders>
              <w:top w:val="nil"/>
              <w:bottom w:val="single" w:sz="4" w:space="0" w:color="auto"/>
            </w:tcBorders>
            <w:shd w:val="clear" w:color="auto" w:fill="auto"/>
            <w:vAlign w:val="center"/>
          </w:tcPr>
          <w:p w14:paraId="6624A52D" w14:textId="6A402AED" w:rsidR="006A215B" w:rsidRPr="00354DBD" w:rsidRDefault="006A215B" w:rsidP="00B20608">
            <w:pPr>
              <w:spacing w:after="0" w:line="240" w:lineRule="auto"/>
              <w:rPr>
                <w:rFonts w:ascii="Times New Roman" w:hAnsi="Times New Roman" w:cs="Times New Roman"/>
                <w:sz w:val="18"/>
                <w:szCs w:val="18"/>
              </w:rPr>
            </w:pPr>
            <w:r w:rsidRPr="00354DBD">
              <w:rPr>
                <w:rFonts w:ascii="Times New Roman" w:hAnsi="Times New Roman" w:cs="Times New Roman"/>
                <w:sz w:val="18"/>
                <w:szCs w:val="18"/>
              </w:rPr>
              <w:t>Mass fraction of residue in the whole tree</w:t>
            </w:r>
            <w:r w:rsidR="00354DBD" w:rsidRPr="00354DBD">
              <w:rPr>
                <w:rFonts w:ascii="Times New Roman" w:hAnsi="Times New Roman" w:cs="Times New Roman"/>
                <w:sz w:val="18"/>
                <w:szCs w:val="18"/>
              </w:rPr>
              <w:fldChar w:fldCharType="begin" w:fldLock="1"/>
            </w:r>
            <w:r w:rsidR="00B128F6">
              <w:rPr>
                <w:rFonts w:ascii="Times New Roman" w:hAnsi="Times New Roman" w:cs="Times New Roman"/>
                <w:sz w:val="18"/>
                <w:szCs w:val="18"/>
              </w:rPr>
              <w:instrText>ADDIN CSL_CITATION {"citationItems":[{"id":"ITEM-1","itemData":{"author":[{"dropping-particle":"","family":"Jenkins","given":"Jennifer C","non-dropping-particle":"","parse-names":false,"suffix":""},{"dropping-particle":"","family":"Chojnacky","given":"David C","non-dropping-particle":"","parse-names":false,"suffix":""},{"dropping-particle":"","family":"Heath","given":"Linda S","non-dropping-particle":"","parse-names":false,"suffix":""},{"dropping-particle":"","family":"Birdsey","given":"Richard A","non-dropping-particle":"","parse-names":false,"suffix":""}],"container-title":"Forest science","id":"ITEM-1","issue":"1","issued":{"date-parts":[["2003"]]},"page":"12-35","title":"National-Scale Biomass Estimators for United States Tree Species","type":"article-journal","volume":"49"},"uris":["http://www.mendeley.com/documents/?uuid=17a1df74-857a-48f0-bc01-ed42d0b115ac"]}],"mendeley":{"formattedCitation":"[31]","plainTextFormattedCitation":"[31]","previouslyFormattedCitation":"[31]"},"properties":{"noteIndex":0},"schema":"https://github.com/citation-style-language/schema/raw/master/csl-citation.json"}</w:instrText>
            </w:r>
            <w:r w:rsidR="00354DBD" w:rsidRPr="00354DBD">
              <w:rPr>
                <w:rFonts w:ascii="Times New Roman" w:hAnsi="Times New Roman" w:cs="Times New Roman"/>
                <w:sz w:val="18"/>
                <w:szCs w:val="18"/>
              </w:rPr>
              <w:fldChar w:fldCharType="separate"/>
            </w:r>
            <w:r w:rsidR="00B952D9" w:rsidRPr="00B952D9">
              <w:rPr>
                <w:rFonts w:ascii="Times New Roman" w:hAnsi="Times New Roman" w:cs="Times New Roman"/>
                <w:noProof/>
                <w:sz w:val="18"/>
                <w:szCs w:val="18"/>
              </w:rPr>
              <w:t>[31]</w:t>
            </w:r>
            <w:r w:rsidR="00354DBD" w:rsidRPr="00354DBD">
              <w:rPr>
                <w:rFonts w:ascii="Times New Roman" w:hAnsi="Times New Roman" w:cs="Times New Roman"/>
                <w:sz w:val="18"/>
                <w:szCs w:val="18"/>
              </w:rPr>
              <w:fldChar w:fldCharType="end"/>
            </w:r>
          </w:p>
        </w:tc>
        <w:tc>
          <w:tcPr>
            <w:tcW w:w="1405" w:type="dxa"/>
            <w:tcBorders>
              <w:top w:val="nil"/>
              <w:bottom w:val="single" w:sz="4" w:space="0" w:color="auto"/>
            </w:tcBorders>
            <w:shd w:val="clear" w:color="auto" w:fill="auto"/>
            <w:vAlign w:val="center"/>
          </w:tcPr>
          <w:p w14:paraId="26E1A67C" w14:textId="189112D4"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w:t>
            </w:r>
          </w:p>
        </w:tc>
        <w:tc>
          <w:tcPr>
            <w:tcW w:w="1350" w:type="dxa"/>
            <w:tcBorders>
              <w:top w:val="nil"/>
              <w:bottom w:val="single" w:sz="4" w:space="0" w:color="auto"/>
            </w:tcBorders>
            <w:shd w:val="clear" w:color="auto" w:fill="auto"/>
            <w:vAlign w:val="center"/>
          </w:tcPr>
          <w:p w14:paraId="178D6ED0" w14:textId="14ACB30C"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N/A</w:t>
            </w:r>
          </w:p>
        </w:tc>
        <w:tc>
          <w:tcPr>
            <w:tcW w:w="1599" w:type="dxa"/>
            <w:tcBorders>
              <w:top w:val="nil"/>
              <w:bottom w:val="single" w:sz="4" w:space="0" w:color="auto"/>
            </w:tcBorders>
            <w:shd w:val="clear" w:color="auto" w:fill="auto"/>
            <w:vAlign w:val="center"/>
          </w:tcPr>
          <w:p w14:paraId="7DB2184C" w14:textId="77777777"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Uniform</w:t>
            </w:r>
          </w:p>
          <w:p w14:paraId="27E0E8D2" w14:textId="5D498F1A" w:rsidR="006A215B" w:rsidRPr="00354DBD" w:rsidRDefault="006A215B" w:rsidP="00B20608">
            <w:pPr>
              <w:spacing w:after="0" w:line="240" w:lineRule="auto"/>
              <w:jc w:val="center"/>
              <w:rPr>
                <w:rFonts w:ascii="Times New Roman" w:hAnsi="Times New Roman" w:cs="Times New Roman"/>
                <w:sz w:val="18"/>
                <w:szCs w:val="18"/>
              </w:rPr>
            </w:pPr>
            <w:r w:rsidRPr="00354DBD">
              <w:rPr>
                <w:rFonts w:ascii="Times New Roman" w:hAnsi="Times New Roman" w:cs="Times New Roman"/>
                <w:sz w:val="18"/>
                <w:szCs w:val="18"/>
              </w:rPr>
              <w:t>[19,25]</w:t>
            </w:r>
          </w:p>
        </w:tc>
      </w:tr>
    </w:tbl>
    <w:p w14:paraId="276FF37E" w14:textId="77777777" w:rsidR="00A82649" w:rsidRPr="00BA4FB9" w:rsidRDefault="00A82649" w:rsidP="00A82649">
      <w:pPr>
        <w:spacing w:after="0" w:line="480" w:lineRule="auto"/>
        <w:rPr>
          <w:rFonts w:ascii="Times New Roman" w:hAnsi="Times New Roman" w:cs="Times New Roman"/>
          <w:sz w:val="18"/>
          <w:szCs w:val="18"/>
        </w:rPr>
      </w:pPr>
      <w:r w:rsidRPr="00BA4FB9">
        <w:rPr>
          <w:rFonts w:ascii="Times New Roman" w:hAnsi="Times New Roman" w:cs="Times New Roman"/>
          <w:sz w:val="18"/>
          <w:szCs w:val="18"/>
          <w:vertAlign w:val="superscript"/>
        </w:rPr>
        <w:t xml:space="preserve">a </w:t>
      </w:r>
      <w:r w:rsidRPr="00BA4FB9">
        <w:rPr>
          <w:rFonts w:ascii="Times New Roman" w:hAnsi="Times New Roman" w:cs="Times New Roman"/>
          <w:sz w:val="18"/>
          <w:szCs w:val="18"/>
        </w:rPr>
        <w:t>1 ha = 10,000 m</w:t>
      </w:r>
      <w:r w:rsidRPr="00BA4FB9">
        <w:rPr>
          <w:rFonts w:ascii="Times New Roman" w:hAnsi="Times New Roman" w:cs="Times New Roman"/>
          <w:sz w:val="18"/>
          <w:szCs w:val="18"/>
          <w:vertAlign w:val="superscript"/>
        </w:rPr>
        <w:t>2</w:t>
      </w:r>
    </w:p>
    <w:p w14:paraId="39A45F0B" w14:textId="77777777" w:rsidR="008E4576" w:rsidRDefault="008E4576">
      <w:pPr>
        <w:spacing w:after="0" w:line="240" w:lineRule="auto"/>
        <w:rPr>
          <w:rFonts w:ascii="Times New Roman" w:eastAsia="DengXian Light" w:hAnsi="Times New Roman" w:cs="Times New Roman"/>
          <w:b/>
          <w:bCs/>
          <w:sz w:val="28"/>
          <w:szCs w:val="28"/>
        </w:rPr>
      </w:pPr>
    </w:p>
    <w:p w14:paraId="125A4A7B" w14:textId="77777777" w:rsidR="008E4576" w:rsidRDefault="008E4576">
      <w:pPr>
        <w:spacing w:after="0" w:line="240" w:lineRule="auto"/>
        <w:rPr>
          <w:rFonts w:ascii="Times New Roman" w:eastAsia="DengXian Light" w:hAnsi="Times New Roman" w:cs="Times New Roman"/>
          <w:b/>
          <w:bCs/>
          <w:sz w:val="28"/>
          <w:szCs w:val="28"/>
        </w:rPr>
      </w:pPr>
      <w:r>
        <w:rPr>
          <w:rFonts w:ascii="Times New Roman" w:eastAsia="DengXian Light" w:hAnsi="Times New Roman" w:cs="Times New Roman"/>
          <w:b/>
          <w:bCs/>
          <w:sz w:val="28"/>
          <w:szCs w:val="28"/>
        </w:rPr>
        <w:br w:type="page"/>
      </w:r>
    </w:p>
    <w:p w14:paraId="4579CD8E" w14:textId="791DEA12" w:rsidR="008E4576" w:rsidRPr="00546D60" w:rsidRDefault="008E4576" w:rsidP="00546D60">
      <w:pPr>
        <w:pStyle w:val="Heading2"/>
        <w:spacing w:line="480" w:lineRule="auto"/>
        <w:rPr>
          <w:rFonts w:ascii="Times New Roman" w:hAnsi="Times New Roman"/>
          <w:b/>
          <w:bCs/>
          <w:color w:val="auto"/>
          <w:sz w:val="24"/>
          <w:szCs w:val="24"/>
        </w:rPr>
      </w:pPr>
      <w:bookmarkStart w:id="10" w:name="_Toc62294835"/>
      <w:r w:rsidRPr="00546D60">
        <w:rPr>
          <w:rFonts w:ascii="Times New Roman" w:hAnsi="Times New Roman"/>
          <w:b/>
          <w:bCs/>
          <w:color w:val="auto"/>
          <w:sz w:val="24"/>
          <w:szCs w:val="24"/>
        </w:rPr>
        <w:lastRenderedPageBreak/>
        <w:t>2. Time</w:t>
      </w:r>
      <w:r w:rsidR="004F4BE2" w:rsidRPr="00546D60">
        <w:rPr>
          <w:rFonts w:ascii="Times New Roman" w:hAnsi="Times New Roman"/>
          <w:b/>
          <w:bCs/>
          <w:color w:val="auto"/>
          <w:sz w:val="24"/>
          <w:szCs w:val="24"/>
        </w:rPr>
        <w:t>-Based Discounted</w:t>
      </w:r>
      <w:r w:rsidRPr="00546D60">
        <w:rPr>
          <w:rFonts w:ascii="Times New Roman" w:hAnsi="Times New Roman"/>
          <w:b/>
          <w:bCs/>
          <w:color w:val="auto"/>
          <w:sz w:val="24"/>
          <w:szCs w:val="24"/>
        </w:rPr>
        <w:t xml:space="preserve"> GWP Method</w:t>
      </w:r>
      <w:bookmarkEnd w:id="10"/>
    </w:p>
    <w:p w14:paraId="16E457F9" w14:textId="3D409BC0" w:rsidR="008E4576" w:rsidRDefault="008E4576" w:rsidP="00B048FC">
      <w:pPr>
        <w:spacing w:after="0" w:line="480" w:lineRule="auto"/>
        <w:rPr>
          <w:rFonts w:ascii="Times New Roman" w:eastAsia="DengXian Light" w:hAnsi="Times New Roman" w:cs="Times New Roman"/>
          <w:sz w:val="24"/>
          <w:szCs w:val="24"/>
        </w:rPr>
      </w:pPr>
      <w:bookmarkStart w:id="11" w:name="_Hlk42951478"/>
      <w:r>
        <w:rPr>
          <w:rFonts w:ascii="Times New Roman" w:eastAsia="DengXian Light" w:hAnsi="Times New Roman" w:cs="Times New Roman"/>
          <w:sz w:val="24"/>
          <w:szCs w:val="24"/>
        </w:rPr>
        <w:t>Fig. S4 shows the GWP factors of CO</w:t>
      </w:r>
      <w:r w:rsidRPr="008E4576">
        <w:rPr>
          <w:rFonts w:ascii="Times New Roman" w:eastAsia="DengXian Light" w:hAnsi="Times New Roman" w:cs="Times New Roman"/>
          <w:sz w:val="24"/>
          <w:szCs w:val="24"/>
          <w:vertAlign w:val="subscript"/>
        </w:rPr>
        <w:t>2</w:t>
      </w:r>
      <w:r>
        <w:rPr>
          <w:rFonts w:ascii="Times New Roman" w:eastAsia="DengXian Light" w:hAnsi="Times New Roman" w:cs="Times New Roman"/>
          <w:sz w:val="24"/>
          <w:szCs w:val="24"/>
        </w:rPr>
        <w:t xml:space="preserve"> for 100 year using time</w:t>
      </w:r>
      <w:r w:rsidR="00D21843">
        <w:rPr>
          <w:rFonts w:ascii="Times New Roman" w:eastAsia="DengXian Light" w:hAnsi="Times New Roman" w:cs="Times New Roman"/>
          <w:sz w:val="24"/>
          <w:szCs w:val="24"/>
        </w:rPr>
        <w:t xml:space="preserve">-based discounted </w:t>
      </w:r>
      <w:r>
        <w:rPr>
          <w:rFonts w:ascii="Times New Roman" w:eastAsia="DengXian Light" w:hAnsi="Times New Roman" w:cs="Times New Roman"/>
          <w:sz w:val="24"/>
          <w:szCs w:val="24"/>
        </w:rPr>
        <w:t>GWP method</w:t>
      </w:r>
      <w:bookmarkEnd w:id="11"/>
      <w:r>
        <w:rPr>
          <w:rFonts w:ascii="Times New Roman" w:eastAsia="DengXian Light" w:hAnsi="Times New Roman" w:cs="Times New Roman"/>
          <w:sz w:val="24"/>
          <w:szCs w:val="24"/>
        </w:rPr>
        <w:t xml:space="preserve">. </w:t>
      </w:r>
    </w:p>
    <w:p w14:paraId="5A0030B4" w14:textId="77777777" w:rsidR="002D613C" w:rsidRDefault="008E4576" w:rsidP="008E4576">
      <w:pPr>
        <w:spacing w:after="0" w:line="480" w:lineRule="auto"/>
        <w:rPr>
          <w:rFonts w:ascii="Times New Roman" w:eastAsia="DengXian Light" w:hAnsi="Times New Roman" w:cs="Times New Roman"/>
          <w:sz w:val="24"/>
          <w:szCs w:val="24"/>
        </w:rPr>
      </w:pPr>
      <w:r>
        <w:rPr>
          <w:rFonts w:ascii="Times New Roman" w:eastAsia="DengXian Light" w:hAnsi="Times New Roman" w:cs="Times New Roman"/>
          <w:sz w:val="24"/>
          <w:szCs w:val="24"/>
        </w:rPr>
        <w:t xml:space="preserve"> </w:t>
      </w:r>
    </w:p>
    <w:p w14:paraId="079C69C6" w14:textId="2A69FB1A" w:rsidR="002D613C" w:rsidRDefault="00F8275A" w:rsidP="00A04496">
      <w:pPr>
        <w:spacing w:after="0" w:line="240" w:lineRule="auto"/>
        <w:rPr>
          <w:rFonts w:ascii="Times New Roman" w:eastAsia="DengXian Light" w:hAnsi="Times New Roman" w:cs="Times New Roman"/>
          <w:b/>
          <w:bCs/>
          <w:sz w:val="28"/>
          <w:szCs w:val="28"/>
        </w:rPr>
      </w:pPr>
      <w:r>
        <w:rPr>
          <w:rFonts w:ascii="Times New Roman" w:eastAsia="DengXian Light" w:hAnsi="Times New Roman" w:cs="Times New Roman"/>
          <w:b/>
          <w:bCs/>
          <w:noProof/>
          <w:sz w:val="28"/>
          <w:szCs w:val="28"/>
        </w:rPr>
        <w:drawing>
          <wp:inline distT="0" distB="0" distL="0" distR="0" wp14:anchorId="7978DE48" wp14:editId="60B73384">
            <wp:extent cx="4535424" cy="23682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3350" cy="2377626"/>
                    </a:xfrm>
                    <a:prstGeom prst="rect">
                      <a:avLst/>
                    </a:prstGeom>
                    <a:noFill/>
                  </pic:spPr>
                </pic:pic>
              </a:graphicData>
            </a:graphic>
          </wp:inline>
        </w:drawing>
      </w:r>
    </w:p>
    <w:p w14:paraId="639D50FD" w14:textId="1C3CCAC1" w:rsidR="007936A9" w:rsidRDefault="002D613C" w:rsidP="008E4576">
      <w:pPr>
        <w:spacing w:after="0" w:line="480" w:lineRule="auto"/>
        <w:rPr>
          <w:rFonts w:ascii="Times New Roman" w:eastAsia="DengXian Light" w:hAnsi="Times New Roman" w:cs="Times New Roman"/>
          <w:sz w:val="24"/>
          <w:szCs w:val="24"/>
        </w:rPr>
      </w:pPr>
      <w:r w:rsidRPr="00B048FC">
        <w:rPr>
          <w:rFonts w:ascii="Times New Roman" w:eastAsia="DengXian Light" w:hAnsi="Times New Roman" w:cs="Times New Roman"/>
          <w:b/>
          <w:bCs/>
          <w:sz w:val="24"/>
          <w:szCs w:val="24"/>
        </w:rPr>
        <w:t>Fig. S4</w:t>
      </w:r>
      <w:r w:rsidRPr="002D613C">
        <w:rPr>
          <w:rFonts w:ascii="Times New Roman" w:eastAsia="DengXian Light" w:hAnsi="Times New Roman" w:cs="Times New Roman"/>
          <w:sz w:val="24"/>
          <w:szCs w:val="24"/>
        </w:rPr>
        <w:t xml:space="preserve"> Time</w:t>
      </w:r>
      <w:r w:rsidR="004F4BE2">
        <w:rPr>
          <w:rFonts w:ascii="Times New Roman" w:eastAsia="DengXian Light" w:hAnsi="Times New Roman" w:cs="Times New Roman"/>
          <w:sz w:val="24"/>
          <w:szCs w:val="24"/>
        </w:rPr>
        <w:t>-based discounted</w:t>
      </w:r>
      <w:r w:rsidRPr="002D613C">
        <w:rPr>
          <w:rFonts w:ascii="Times New Roman" w:eastAsia="DengXian Light" w:hAnsi="Times New Roman" w:cs="Times New Roman"/>
          <w:sz w:val="24"/>
          <w:szCs w:val="24"/>
        </w:rPr>
        <w:t xml:space="preserve"> GWP of CO</w:t>
      </w:r>
      <w:r w:rsidRPr="002D613C">
        <w:rPr>
          <w:rFonts w:ascii="Times New Roman" w:eastAsia="DengXian Light" w:hAnsi="Times New Roman" w:cs="Times New Roman"/>
          <w:sz w:val="24"/>
          <w:szCs w:val="24"/>
          <w:vertAlign w:val="subscript"/>
        </w:rPr>
        <w:t>2</w:t>
      </w:r>
      <w:r w:rsidRPr="002D613C">
        <w:rPr>
          <w:rFonts w:ascii="Times New Roman" w:eastAsia="DengXian Light" w:hAnsi="Times New Roman" w:cs="Times New Roman"/>
          <w:sz w:val="24"/>
          <w:szCs w:val="24"/>
        </w:rPr>
        <w:t xml:space="preserve"> for 100 years </w:t>
      </w:r>
      <w:r w:rsidR="004F4BE2">
        <w:rPr>
          <w:rFonts w:ascii="Times New Roman" w:eastAsia="DengXian Light" w:hAnsi="Times New Roman" w:cs="Times New Roman"/>
          <w:sz w:val="24"/>
          <w:szCs w:val="24"/>
        </w:rPr>
        <w:t>from the presence</w:t>
      </w:r>
      <w:r>
        <w:rPr>
          <w:rFonts w:ascii="Times New Roman" w:eastAsia="DengXian Light" w:hAnsi="Times New Roman" w:cs="Times New Roman"/>
          <w:sz w:val="24"/>
          <w:szCs w:val="24"/>
        </w:rPr>
        <w:t>.</w:t>
      </w:r>
    </w:p>
    <w:p w14:paraId="7C3CAE1B" w14:textId="3EF049BB" w:rsidR="002D613C" w:rsidRDefault="002D613C" w:rsidP="008E4576">
      <w:pPr>
        <w:spacing w:after="0" w:line="480" w:lineRule="auto"/>
        <w:rPr>
          <w:rFonts w:ascii="Times New Roman" w:eastAsia="DengXian Light" w:hAnsi="Times New Roman" w:cs="Times New Roman"/>
          <w:sz w:val="24"/>
          <w:szCs w:val="24"/>
        </w:rPr>
      </w:pPr>
    </w:p>
    <w:p w14:paraId="23495198" w14:textId="4ECBF2B5" w:rsidR="002D613C" w:rsidRDefault="002D613C" w:rsidP="008E4576">
      <w:pPr>
        <w:spacing w:after="0" w:line="480" w:lineRule="auto"/>
        <w:rPr>
          <w:rFonts w:ascii="Times New Roman" w:eastAsia="DengXian Light" w:hAnsi="Times New Roman" w:cs="Times New Roman"/>
          <w:sz w:val="24"/>
          <w:szCs w:val="24"/>
        </w:rPr>
      </w:pPr>
    </w:p>
    <w:p w14:paraId="012AF654" w14:textId="6838AF8F" w:rsidR="002D613C" w:rsidRDefault="002D613C">
      <w:pPr>
        <w:spacing w:after="0" w:line="240" w:lineRule="auto"/>
        <w:rPr>
          <w:rFonts w:ascii="Times New Roman" w:eastAsia="DengXian Light" w:hAnsi="Times New Roman" w:cs="Times New Roman"/>
          <w:sz w:val="24"/>
          <w:szCs w:val="24"/>
        </w:rPr>
      </w:pPr>
      <w:r>
        <w:rPr>
          <w:rFonts w:ascii="Times New Roman" w:eastAsia="DengXian Light" w:hAnsi="Times New Roman" w:cs="Times New Roman"/>
          <w:sz w:val="24"/>
          <w:szCs w:val="24"/>
        </w:rPr>
        <w:br w:type="page"/>
      </w:r>
    </w:p>
    <w:p w14:paraId="598CABEF" w14:textId="4818AF39" w:rsidR="00BF3A22" w:rsidRPr="00546D60" w:rsidRDefault="002D613C" w:rsidP="00546D60">
      <w:pPr>
        <w:pStyle w:val="Heading1"/>
        <w:spacing w:line="480" w:lineRule="auto"/>
        <w:rPr>
          <w:rFonts w:ascii="Times New Roman" w:hAnsi="Times New Roman"/>
          <w:b/>
          <w:bCs/>
          <w:color w:val="auto"/>
          <w:sz w:val="24"/>
          <w:szCs w:val="24"/>
        </w:rPr>
      </w:pPr>
      <w:bookmarkStart w:id="12" w:name="_Toc62294836"/>
      <w:r w:rsidRPr="00546D60">
        <w:rPr>
          <w:rFonts w:ascii="Times New Roman" w:hAnsi="Times New Roman"/>
          <w:b/>
          <w:bCs/>
          <w:color w:val="auto"/>
          <w:sz w:val="24"/>
          <w:szCs w:val="24"/>
        </w:rPr>
        <w:lastRenderedPageBreak/>
        <w:t>3. Carbon Emission Profile</w:t>
      </w:r>
      <w:bookmarkEnd w:id="12"/>
      <w:r w:rsidRPr="00546D60">
        <w:rPr>
          <w:rFonts w:ascii="Times New Roman" w:hAnsi="Times New Roman"/>
          <w:b/>
          <w:bCs/>
          <w:color w:val="auto"/>
          <w:sz w:val="24"/>
          <w:szCs w:val="24"/>
        </w:rPr>
        <w:t xml:space="preserve"> </w:t>
      </w:r>
    </w:p>
    <w:p w14:paraId="5D1E1319" w14:textId="647253F9" w:rsidR="00CC457E" w:rsidRDefault="00FF6347" w:rsidP="00CC457E">
      <w:pPr>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1751E85" wp14:editId="4BB96FB2">
            <wp:extent cx="3173104" cy="1978736"/>
            <wp:effectExtent l="0" t="0" r="825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9798" cy="1989146"/>
                    </a:xfrm>
                    <a:prstGeom prst="rect">
                      <a:avLst/>
                    </a:prstGeom>
                    <a:noFill/>
                  </pic:spPr>
                </pic:pic>
              </a:graphicData>
            </a:graphic>
          </wp:inline>
        </w:drawing>
      </w:r>
    </w:p>
    <w:p w14:paraId="1648B797" w14:textId="50CD9510" w:rsidR="00CC457E" w:rsidRDefault="00CC457E" w:rsidP="00CC457E">
      <w:pPr>
        <w:spacing w:after="0" w:line="240" w:lineRule="auto"/>
        <w:rPr>
          <w:rFonts w:ascii="Times New Roman" w:hAnsi="Times New Roman" w:cs="Times New Roman"/>
          <w:sz w:val="24"/>
          <w:szCs w:val="24"/>
        </w:rPr>
      </w:pPr>
      <w:r w:rsidRPr="00B048FC">
        <w:rPr>
          <w:rFonts w:ascii="Times New Roman" w:hAnsi="Times New Roman" w:cs="Times New Roman"/>
          <w:b/>
          <w:bCs/>
          <w:sz w:val="24"/>
          <w:szCs w:val="24"/>
        </w:rPr>
        <w:t>Fig. S5</w:t>
      </w:r>
      <w:r w:rsidRPr="00CC457E">
        <w:rPr>
          <w:rFonts w:ascii="Times New Roman" w:hAnsi="Times New Roman" w:cs="Times New Roman"/>
          <w:sz w:val="24"/>
          <w:szCs w:val="24"/>
        </w:rPr>
        <w:t xml:space="preserve"> </w:t>
      </w:r>
      <w:r>
        <w:rPr>
          <w:rFonts w:ascii="Times New Roman" w:hAnsi="Times New Roman" w:cs="Times New Roman"/>
          <w:sz w:val="24"/>
          <w:szCs w:val="24"/>
        </w:rPr>
        <w:t>Annual CO</w:t>
      </w:r>
      <w:r w:rsidRPr="002D613C">
        <w:rPr>
          <w:rFonts w:ascii="Times New Roman" w:hAnsi="Times New Roman" w:cs="Times New Roman"/>
          <w:sz w:val="24"/>
          <w:szCs w:val="24"/>
          <w:vertAlign w:val="subscript"/>
        </w:rPr>
        <w:t>2</w:t>
      </w:r>
      <w:r>
        <w:rPr>
          <w:rFonts w:ascii="Times New Roman" w:hAnsi="Times New Roman" w:cs="Times New Roman"/>
          <w:sz w:val="24"/>
          <w:szCs w:val="24"/>
        </w:rPr>
        <w:t xml:space="preserve"> emissions and sequestration (mean value) of </w:t>
      </w:r>
      <w:r w:rsidR="00027E8D">
        <w:rPr>
          <w:rFonts w:ascii="Times New Roman" w:hAnsi="Times New Roman" w:cs="Times New Roman"/>
          <w:sz w:val="24"/>
          <w:szCs w:val="24"/>
        </w:rPr>
        <w:t>1 MJ</w:t>
      </w:r>
      <w:r>
        <w:rPr>
          <w:rFonts w:ascii="Times New Roman" w:hAnsi="Times New Roman" w:cs="Times New Roman"/>
          <w:sz w:val="24"/>
          <w:szCs w:val="24"/>
        </w:rPr>
        <w:t xml:space="preserve"> </w:t>
      </w:r>
      <w:r w:rsidR="00D21843">
        <w:rPr>
          <w:rFonts w:ascii="Times New Roman" w:hAnsi="Times New Roman" w:cs="Times New Roman"/>
          <w:sz w:val="24"/>
          <w:szCs w:val="24"/>
        </w:rPr>
        <w:t xml:space="preserve">of </w:t>
      </w:r>
      <w:r w:rsidR="00BE01B0">
        <w:rPr>
          <w:rFonts w:ascii="Times New Roman" w:hAnsi="Times New Roman" w:cs="Times New Roman"/>
          <w:sz w:val="24"/>
          <w:szCs w:val="24"/>
        </w:rPr>
        <w:t>biofuel</w:t>
      </w:r>
      <w:r w:rsidR="00D21843">
        <w:rPr>
          <w:rFonts w:ascii="Times New Roman" w:hAnsi="Times New Roman" w:cs="Times New Roman"/>
          <w:sz w:val="24"/>
          <w:szCs w:val="24"/>
        </w:rPr>
        <w:t xml:space="preserve"> produced</w:t>
      </w:r>
      <w:r w:rsidR="00BE01B0">
        <w:rPr>
          <w:rFonts w:ascii="Times New Roman" w:hAnsi="Times New Roman" w:cs="Times New Roman"/>
          <w:sz w:val="24"/>
          <w:szCs w:val="24"/>
        </w:rPr>
        <w:t xml:space="preserve"> </w:t>
      </w:r>
      <w:r>
        <w:rPr>
          <w:rFonts w:ascii="Times New Roman" w:hAnsi="Times New Roman" w:cs="Times New Roman"/>
          <w:sz w:val="24"/>
          <w:szCs w:val="24"/>
        </w:rPr>
        <w:t xml:space="preserve">in </w:t>
      </w:r>
      <w:r w:rsidR="00F650E5">
        <w:rPr>
          <w:rFonts w:ascii="Times New Roman" w:hAnsi="Times New Roman" w:cs="Times New Roman"/>
          <w:sz w:val="24"/>
          <w:szCs w:val="24"/>
        </w:rPr>
        <w:t xml:space="preserve">Scenario 1 </w:t>
      </w:r>
      <w:r>
        <w:rPr>
          <w:rFonts w:ascii="Times New Roman" w:hAnsi="Times New Roman" w:cs="Times New Roman"/>
          <w:sz w:val="24"/>
          <w:szCs w:val="24"/>
        </w:rPr>
        <w:t xml:space="preserve">Growth Case 1. </w:t>
      </w:r>
    </w:p>
    <w:p w14:paraId="3D8097F2" w14:textId="77777777" w:rsidR="00CC457E" w:rsidRPr="00CC457E" w:rsidRDefault="00CC457E" w:rsidP="00CC457E">
      <w:pPr>
        <w:spacing w:after="0" w:line="240" w:lineRule="auto"/>
        <w:rPr>
          <w:rFonts w:ascii="Times New Roman" w:hAnsi="Times New Roman" w:cs="Times New Roman"/>
          <w:sz w:val="24"/>
          <w:szCs w:val="24"/>
        </w:rPr>
      </w:pPr>
    </w:p>
    <w:p w14:paraId="66B2D827" w14:textId="3D3A6296" w:rsidR="00CC457E" w:rsidRDefault="00FF6347" w:rsidP="00CC457E">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1937997" wp14:editId="6F1AF186">
            <wp:extent cx="3173095" cy="1978731"/>
            <wp:effectExtent l="0" t="0" r="825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5719" cy="1986603"/>
                    </a:xfrm>
                    <a:prstGeom prst="rect">
                      <a:avLst/>
                    </a:prstGeom>
                    <a:noFill/>
                  </pic:spPr>
                </pic:pic>
              </a:graphicData>
            </a:graphic>
          </wp:inline>
        </w:drawing>
      </w:r>
    </w:p>
    <w:p w14:paraId="7B85FF15" w14:textId="79DC5483" w:rsidR="00CC457E" w:rsidRDefault="00CC457E" w:rsidP="00CC457E">
      <w:pPr>
        <w:spacing w:after="0" w:line="240" w:lineRule="auto"/>
        <w:rPr>
          <w:rFonts w:ascii="Times New Roman" w:hAnsi="Times New Roman" w:cs="Times New Roman"/>
          <w:sz w:val="24"/>
          <w:szCs w:val="24"/>
        </w:rPr>
      </w:pPr>
      <w:r w:rsidRPr="00B048FC">
        <w:rPr>
          <w:rFonts w:ascii="Times New Roman" w:hAnsi="Times New Roman" w:cs="Times New Roman"/>
          <w:b/>
          <w:bCs/>
          <w:sz w:val="24"/>
          <w:szCs w:val="24"/>
        </w:rPr>
        <w:t>Fig. S6</w:t>
      </w:r>
      <w:r w:rsidRPr="00CC457E">
        <w:rPr>
          <w:rFonts w:ascii="Times New Roman" w:hAnsi="Times New Roman" w:cs="Times New Roman"/>
          <w:sz w:val="24"/>
          <w:szCs w:val="24"/>
        </w:rPr>
        <w:t xml:space="preserve"> </w:t>
      </w:r>
      <w:r>
        <w:rPr>
          <w:rFonts w:ascii="Times New Roman" w:hAnsi="Times New Roman" w:cs="Times New Roman"/>
          <w:sz w:val="24"/>
          <w:szCs w:val="24"/>
        </w:rPr>
        <w:t>Annual CO</w:t>
      </w:r>
      <w:r w:rsidRPr="002D613C">
        <w:rPr>
          <w:rFonts w:ascii="Times New Roman" w:hAnsi="Times New Roman" w:cs="Times New Roman"/>
          <w:sz w:val="24"/>
          <w:szCs w:val="24"/>
          <w:vertAlign w:val="subscript"/>
        </w:rPr>
        <w:t>2</w:t>
      </w:r>
      <w:r>
        <w:rPr>
          <w:rFonts w:ascii="Times New Roman" w:hAnsi="Times New Roman" w:cs="Times New Roman"/>
          <w:sz w:val="24"/>
          <w:szCs w:val="24"/>
        </w:rPr>
        <w:t xml:space="preserve"> emissions and sequestration (mean value) of </w:t>
      </w:r>
      <w:r w:rsidR="00027E8D">
        <w:rPr>
          <w:rFonts w:ascii="Times New Roman" w:hAnsi="Times New Roman" w:cs="Times New Roman"/>
          <w:sz w:val="24"/>
          <w:szCs w:val="24"/>
        </w:rPr>
        <w:t>1 MJ</w:t>
      </w:r>
      <w:r w:rsidR="00027E8D" w:rsidDel="00027E8D">
        <w:rPr>
          <w:rFonts w:ascii="Times New Roman" w:hAnsi="Times New Roman" w:cs="Times New Roman"/>
          <w:sz w:val="24"/>
          <w:szCs w:val="24"/>
        </w:rPr>
        <w:t xml:space="preserve"> </w:t>
      </w:r>
      <w:r w:rsidR="00D21843">
        <w:rPr>
          <w:rFonts w:ascii="Times New Roman" w:hAnsi="Times New Roman" w:cs="Times New Roman"/>
          <w:sz w:val="24"/>
          <w:szCs w:val="24"/>
        </w:rPr>
        <w:t xml:space="preserve">of biofuel produced </w:t>
      </w:r>
      <w:r>
        <w:rPr>
          <w:rFonts w:ascii="Times New Roman" w:hAnsi="Times New Roman" w:cs="Times New Roman"/>
          <w:sz w:val="24"/>
          <w:szCs w:val="24"/>
        </w:rPr>
        <w:t xml:space="preserve">in </w:t>
      </w:r>
      <w:r w:rsidR="00F650E5">
        <w:rPr>
          <w:rFonts w:ascii="Times New Roman" w:hAnsi="Times New Roman" w:cs="Times New Roman"/>
          <w:sz w:val="24"/>
          <w:szCs w:val="24"/>
        </w:rPr>
        <w:t xml:space="preserve">Scenario 1 </w:t>
      </w:r>
      <w:r>
        <w:rPr>
          <w:rFonts w:ascii="Times New Roman" w:hAnsi="Times New Roman" w:cs="Times New Roman"/>
          <w:sz w:val="24"/>
          <w:szCs w:val="24"/>
        </w:rPr>
        <w:t xml:space="preserve">Growth Case 2. </w:t>
      </w:r>
    </w:p>
    <w:p w14:paraId="34641897" w14:textId="77777777" w:rsidR="00CC457E" w:rsidRPr="00CC457E" w:rsidRDefault="00CC457E" w:rsidP="00CC457E">
      <w:pPr>
        <w:spacing w:after="0" w:line="240" w:lineRule="auto"/>
        <w:rPr>
          <w:rFonts w:ascii="Times New Roman" w:hAnsi="Times New Roman" w:cs="Times New Roman"/>
          <w:sz w:val="24"/>
          <w:szCs w:val="24"/>
        </w:rPr>
      </w:pPr>
    </w:p>
    <w:p w14:paraId="4A0950C6" w14:textId="0F6AAE28" w:rsidR="00CC457E" w:rsidRDefault="00FF6347" w:rsidP="00CC457E">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A17611" wp14:editId="33B9267F">
            <wp:extent cx="3173095" cy="1978731"/>
            <wp:effectExtent l="0" t="0" r="825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7048" cy="1999904"/>
                    </a:xfrm>
                    <a:prstGeom prst="rect">
                      <a:avLst/>
                    </a:prstGeom>
                    <a:noFill/>
                  </pic:spPr>
                </pic:pic>
              </a:graphicData>
            </a:graphic>
          </wp:inline>
        </w:drawing>
      </w:r>
    </w:p>
    <w:p w14:paraId="2877DFB1" w14:textId="4E41B8B5" w:rsidR="00BF3A22" w:rsidRDefault="00CC457E" w:rsidP="00CC457E">
      <w:pPr>
        <w:spacing w:after="0" w:line="240" w:lineRule="auto"/>
        <w:rPr>
          <w:rFonts w:ascii="Times New Roman" w:hAnsi="Times New Roman" w:cs="Times New Roman"/>
          <w:sz w:val="24"/>
          <w:szCs w:val="24"/>
        </w:rPr>
      </w:pPr>
      <w:r w:rsidRPr="00B048FC">
        <w:rPr>
          <w:rFonts w:ascii="Times New Roman" w:hAnsi="Times New Roman" w:cs="Times New Roman"/>
          <w:b/>
          <w:bCs/>
          <w:sz w:val="24"/>
          <w:szCs w:val="24"/>
        </w:rPr>
        <w:t>Fig. S7</w:t>
      </w:r>
      <w:r w:rsidRPr="00CC457E">
        <w:rPr>
          <w:rFonts w:ascii="Times New Roman" w:hAnsi="Times New Roman" w:cs="Times New Roman"/>
          <w:sz w:val="24"/>
          <w:szCs w:val="24"/>
        </w:rPr>
        <w:t xml:space="preserve"> </w:t>
      </w:r>
      <w:r>
        <w:rPr>
          <w:rFonts w:ascii="Times New Roman" w:hAnsi="Times New Roman" w:cs="Times New Roman"/>
          <w:sz w:val="24"/>
          <w:szCs w:val="24"/>
        </w:rPr>
        <w:t>Annual CO</w:t>
      </w:r>
      <w:r w:rsidRPr="002D613C">
        <w:rPr>
          <w:rFonts w:ascii="Times New Roman" w:hAnsi="Times New Roman" w:cs="Times New Roman"/>
          <w:sz w:val="24"/>
          <w:szCs w:val="24"/>
          <w:vertAlign w:val="subscript"/>
        </w:rPr>
        <w:t>2</w:t>
      </w:r>
      <w:r>
        <w:rPr>
          <w:rFonts w:ascii="Times New Roman" w:hAnsi="Times New Roman" w:cs="Times New Roman"/>
          <w:sz w:val="24"/>
          <w:szCs w:val="24"/>
        </w:rPr>
        <w:t xml:space="preserve"> emissions and sequestration (mean value) of </w:t>
      </w:r>
      <w:r w:rsidR="00027E8D">
        <w:rPr>
          <w:rFonts w:ascii="Times New Roman" w:hAnsi="Times New Roman" w:cs="Times New Roman"/>
          <w:sz w:val="24"/>
          <w:szCs w:val="24"/>
        </w:rPr>
        <w:t>1 MJ</w:t>
      </w:r>
      <w:r w:rsidR="00BE01B0">
        <w:rPr>
          <w:rFonts w:ascii="Times New Roman" w:hAnsi="Times New Roman" w:cs="Times New Roman"/>
          <w:sz w:val="24"/>
          <w:szCs w:val="24"/>
        </w:rPr>
        <w:t xml:space="preserve"> </w:t>
      </w:r>
      <w:r w:rsidR="00D21843">
        <w:rPr>
          <w:rFonts w:ascii="Times New Roman" w:hAnsi="Times New Roman" w:cs="Times New Roman"/>
          <w:sz w:val="24"/>
          <w:szCs w:val="24"/>
        </w:rPr>
        <w:t xml:space="preserve">of biofuel produced </w:t>
      </w:r>
      <w:r>
        <w:rPr>
          <w:rFonts w:ascii="Times New Roman" w:hAnsi="Times New Roman" w:cs="Times New Roman"/>
          <w:sz w:val="24"/>
          <w:szCs w:val="24"/>
        </w:rPr>
        <w:t>in</w:t>
      </w:r>
      <w:r w:rsidR="00F650E5">
        <w:rPr>
          <w:rFonts w:ascii="Times New Roman" w:hAnsi="Times New Roman" w:cs="Times New Roman"/>
          <w:sz w:val="24"/>
          <w:szCs w:val="24"/>
        </w:rPr>
        <w:t xml:space="preserve"> Scenario 1</w:t>
      </w:r>
      <w:r>
        <w:rPr>
          <w:rFonts w:ascii="Times New Roman" w:hAnsi="Times New Roman" w:cs="Times New Roman"/>
          <w:sz w:val="24"/>
          <w:szCs w:val="24"/>
        </w:rPr>
        <w:t xml:space="preserve"> Growth Case 3. </w:t>
      </w:r>
    </w:p>
    <w:p w14:paraId="4083E5DF" w14:textId="1F167973" w:rsidR="00F650E5" w:rsidRDefault="00F650E5" w:rsidP="00CC457E">
      <w:pPr>
        <w:spacing w:after="0" w:line="240" w:lineRule="auto"/>
        <w:rPr>
          <w:rFonts w:ascii="Times New Roman" w:hAnsi="Times New Roman" w:cs="Times New Roman"/>
          <w:sz w:val="24"/>
          <w:szCs w:val="24"/>
        </w:rPr>
      </w:pPr>
    </w:p>
    <w:p w14:paraId="6973AA10" w14:textId="3C907CC0" w:rsidR="00FF6347" w:rsidRDefault="009871D9" w:rsidP="00FF6347">
      <w:pPr>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1BD2E2C6" wp14:editId="1D1E06DD">
            <wp:extent cx="3179928" cy="1976165"/>
            <wp:effectExtent l="0" t="0" r="1905"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3690" cy="1984717"/>
                    </a:xfrm>
                    <a:prstGeom prst="rect">
                      <a:avLst/>
                    </a:prstGeom>
                    <a:noFill/>
                  </pic:spPr>
                </pic:pic>
              </a:graphicData>
            </a:graphic>
          </wp:inline>
        </w:drawing>
      </w:r>
    </w:p>
    <w:p w14:paraId="15501D3A" w14:textId="2ED122E7" w:rsidR="00FF6347" w:rsidRDefault="00FF6347" w:rsidP="00FF6347">
      <w:pPr>
        <w:spacing w:after="0" w:line="240" w:lineRule="auto"/>
        <w:rPr>
          <w:rFonts w:ascii="Times New Roman" w:hAnsi="Times New Roman" w:cs="Times New Roman"/>
          <w:sz w:val="24"/>
          <w:szCs w:val="24"/>
        </w:rPr>
      </w:pPr>
      <w:r w:rsidRPr="00B048FC">
        <w:rPr>
          <w:rFonts w:ascii="Times New Roman" w:hAnsi="Times New Roman" w:cs="Times New Roman"/>
          <w:b/>
          <w:bCs/>
          <w:sz w:val="24"/>
          <w:szCs w:val="24"/>
        </w:rPr>
        <w:t>Fig. S</w:t>
      </w:r>
      <w:r>
        <w:rPr>
          <w:rFonts w:ascii="Times New Roman" w:hAnsi="Times New Roman" w:cs="Times New Roman"/>
          <w:b/>
          <w:bCs/>
          <w:sz w:val="24"/>
          <w:szCs w:val="24"/>
        </w:rPr>
        <w:t>8</w:t>
      </w:r>
      <w:r w:rsidRPr="00CC457E">
        <w:rPr>
          <w:rFonts w:ascii="Times New Roman" w:hAnsi="Times New Roman" w:cs="Times New Roman"/>
          <w:sz w:val="24"/>
          <w:szCs w:val="24"/>
        </w:rPr>
        <w:t xml:space="preserve"> </w:t>
      </w:r>
      <w:r>
        <w:rPr>
          <w:rFonts w:ascii="Times New Roman" w:hAnsi="Times New Roman" w:cs="Times New Roman"/>
          <w:sz w:val="24"/>
          <w:szCs w:val="24"/>
        </w:rPr>
        <w:t>Annual CO</w:t>
      </w:r>
      <w:r w:rsidRPr="002D613C">
        <w:rPr>
          <w:rFonts w:ascii="Times New Roman" w:hAnsi="Times New Roman" w:cs="Times New Roman"/>
          <w:sz w:val="24"/>
          <w:szCs w:val="24"/>
          <w:vertAlign w:val="subscript"/>
        </w:rPr>
        <w:t>2</w:t>
      </w:r>
      <w:r>
        <w:rPr>
          <w:rFonts w:ascii="Times New Roman" w:hAnsi="Times New Roman" w:cs="Times New Roman"/>
          <w:sz w:val="24"/>
          <w:szCs w:val="24"/>
        </w:rPr>
        <w:t xml:space="preserve"> emissions and sequestration (mean value) of 1 MJ </w:t>
      </w:r>
      <w:r w:rsidR="00D21843">
        <w:rPr>
          <w:rFonts w:ascii="Times New Roman" w:hAnsi="Times New Roman" w:cs="Times New Roman"/>
          <w:sz w:val="24"/>
          <w:szCs w:val="24"/>
        </w:rPr>
        <w:t xml:space="preserve">of biofuel produced </w:t>
      </w:r>
      <w:r>
        <w:rPr>
          <w:rFonts w:ascii="Times New Roman" w:hAnsi="Times New Roman" w:cs="Times New Roman"/>
          <w:sz w:val="24"/>
          <w:szCs w:val="24"/>
        </w:rPr>
        <w:t xml:space="preserve">in Scenario 2 Growth Case 1. </w:t>
      </w:r>
    </w:p>
    <w:p w14:paraId="3D7E05C0" w14:textId="77777777" w:rsidR="00FF6347" w:rsidRPr="00CC457E" w:rsidRDefault="00FF6347" w:rsidP="00FF6347">
      <w:pPr>
        <w:spacing w:after="0" w:line="240" w:lineRule="auto"/>
        <w:rPr>
          <w:rFonts w:ascii="Times New Roman" w:hAnsi="Times New Roman" w:cs="Times New Roman"/>
          <w:sz w:val="24"/>
          <w:szCs w:val="24"/>
        </w:rPr>
      </w:pPr>
    </w:p>
    <w:p w14:paraId="26AF5BC3" w14:textId="3BEE2C34" w:rsidR="00FF6347" w:rsidRDefault="009871D9" w:rsidP="00FF634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C3C51F" wp14:editId="7121CA53">
            <wp:extent cx="3220872" cy="200160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3400" cy="2009394"/>
                    </a:xfrm>
                    <a:prstGeom prst="rect">
                      <a:avLst/>
                    </a:prstGeom>
                    <a:noFill/>
                  </pic:spPr>
                </pic:pic>
              </a:graphicData>
            </a:graphic>
          </wp:inline>
        </w:drawing>
      </w:r>
    </w:p>
    <w:p w14:paraId="3060067B" w14:textId="2834BFDA" w:rsidR="00FF6347" w:rsidRDefault="00FF6347" w:rsidP="00FF6347">
      <w:pPr>
        <w:spacing w:after="0" w:line="240" w:lineRule="auto"/>
        <w:rPr>
          <w:rFonts w:ascii="Times New Roman" w:hAnsi="Times New Roman" w:cs="Times New Roman"/>
          <w:sz w:val="24"/>
          <w:szCs w:val="24"/>
        </w:rPr>
      </w:pPr>
      <w:r w:rsidRPr="00B048FC">
        <w:rPr>
          <w:rFonts w:ascii="Times New Roman" w:hAnsi="Times New Roman" w:cs="Times New Roman"/>
          <w:b/>
          <w:bCs/>
          <w:sz w:val="24"/>
          <w:szCs w:val="24"/>
        </w:rPr>
        <w:t>Fig. S</w:t>
      </w:r>
      <w:r>
        <w:rPr>
          <w:rFonts w:ascii="Times New Roman" w:hAnsi="Times New Roman" w:cs="Times New Roman"/>
          <w:b/>
          <w:bCs/>
          <w:sz w:val="24"/>
          <w:szCs w:val="24"/>
        </w:rPr>
        <w:t>9</w:t>
      </w:r>
      <w:r w:rsidRPr="00CC457E">
        <w:rPr>
          <w:rFonts w:ascii="Times New Roman" w:hAnsi="Times New Roman" w:cs="Times New Roman"/>
          <w:sz w:val="24"/>
          <w:szCs w:val="24"/>
        </w:rPr>
        <w:t xml:space="preserve"> </w:t>
      </w:r>
      <w:r>
        <w:rPr>
          <w:rFonts w:ascii="Times New Roman" w:hAnsi="Times New Roman" w:cs="Times New Roman"/>
          <w:sz w:val="24"/>
          <w:szCs w:val="24"/>
        </w:rPr>
        <w:t>Annual CO</w:t>
      </w:r>
      <w:r w:rsidRPr="002D613C">
        <w:rPr>
          <w:rFonts w:ascii="Times New Roman" w:hAnsi="Times New Roman" w:cs="Times New Roman"/>
          <w:sz w:val="24"/>
          <w:szCs w:val="24"/>
          <w:vertAlign w:val="subscript"/>
        </w:rPr>
        <w:t>2</w:t>
      </w:r>
      <w:r>
        <w:rPr>
          <w:rFonts w:ascii="Times New Roman" w:hAnsi="Times New Roman" w:cs="Times New Roman"/>
          <w:sz w:val="24"/>
          <w:szCs w:val="24"/>
        </w:rPr>
        <w:t xml:space="preserve"> emissions and sequestration (mean value) of 1 MJ</w:t>
      </w:r>
      <w:r w:rsidDel="00027E8D">
        <w:rPr>
          <w:rFonts w:ascii="Times New Roman" w:hAnsi="Times New Roman" w:cs="Times New Roman"/>
          <w:sz w:val="24"/>
          <w:szCs w:val="24"/>
        </w:rPr>
        <w:t xml:space="preserve"> </w:t>
      </w:r>
      <w:r w:rsidR="00D21843">
        <w:rPr>
          <w:rFonts w:ascii="Times New Roman" w:hAnsi="Times New Roman" w:cs="Times New Roman"/>
          <w:sz w:val="24"/>
          <w:szCs w:val="24"/>
        </w:rPr>
        <w:t xml:space="preserve">of biofuel produced </w:t>
      </w:r>
      <w:r>
        <w:rPr>
          <w:rFonts w:ascii="Times New Roman" w:hAnsi="Times New Roman" w:cs="Times New Roman"/>
          <w:sz w:val="24"/>
          <w:szCs w:val="24"/>
        </w:rPr>
        <w:t xml:space="preserve">in Scenario 2 Growth Case 2. </w:t>
      </w:r>
    </w:p>
    <w:p w14:paraId="6EE570D3" w14:textId="77777777" w:rsidR="00FF6347" w:rsidRPr="00CC457E" w:rsidRDefault="00FF6347" w:rsidP="00FF6347">
      <w:pPr>
        <w:spacing w:after="0" w:line="240" w:lineRule="auto"/>
        <w:rPr>
          <w:rFonts w:ascii="Times New Roman" w:hAnsi="Times New Roman" w:cs="Times New Roman"/>
          <w:sz w:val="24"/>
          <w:szCs w:val="24"/>
        </w:rPr>
      </w:pPr>
    </w:p>
    <w:p w14:paraId="73264E2D" w14:textId="5C1CEBE9" w:rsidR="00FF6347" w:rsidRDefault="009871D9" w:rsidP="00FF6347">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BBF2223" wp14:editId="5B03991D">
            <wp:extent cx="3179445" cy="1975864"/>
            <wp:effectExtent l="0" t="0" r="1905"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95099" cy="1985592"/>
                    </a:xfrm>
                    <a:prstGeom prst="rect">
                      <a:avLst/>
                    </a:prstGeom>
                    <a:noFill/>
                  </pic:spPr>
                </pic:pic>
              </a:graphicData>
            </a:graphic>
          </wp:inline>
        </w:drawing>
      </w:r>
    </w:p>
    <w:p w14:paraId="1F921A8C" w14:textId="0AB0D010" w:rsidR="00FF6347" w:rsidRDefault="00FF6347" w:rsidP="00FF6347">
      <w:pPr>
        <w:spacing w:after="0" w:line="240" w:lineRule="auto"/>
        <w:rPr>
          <w:rFonts w:ascii="Times New Roman" w:hAnsi="Times New Roman" w:cs="Times New Roman"/>
          <w:sz w:val="24"/>
          <w:szCs w:val="24"/>
        </w:rPr>
      </w:pPr>
      <w:r w:rsidRPr="00B048FC">
        <w:rPr>
          <w:rFonts w:ascii="Times New Roman" w:hAnsi="Times New Roman" w:cs="Times New Roman"/>
          <w:b/>
          <w:bCs/>
          <w:sz w:val="24"/>
          <w:szCs w:val="24"/>
        </w:rPr>
        <w:t>Fig. S</w:t>
      </w:r>
      <w:r>
        <w:rPr>
          <w:rFonts w:ascii="Times New Roman" w:hAnsi="Times New Roman" w:cs="Times New Roman"/>
          <w:b/>
          <w:bCs/>
          <w:sz w:val="24"/>
          <w:szCs w:val="24"/>
        </w:rPr>
        <w:t>10</w:t>
      </w:r>
      <w:r w:rsidRPr="00CC457E">
        <w:rPr>
          <w:rFonts w:ascii="Times New Roman" w:hAnsi="Times New Roman" w:cs="Times New Roman"/>
          <w:sz w:val="24"/>
          <w:szCs w:val="24"/>
        </w:rPr>
        <w:t xml:space="preserve"> </w:t>
      </w:r>
      <w:r>
        <w:rPr>
          <w:rFonts w:ascii="Times New Roman" w:hAnsi="Times New Roman" w:cs="Times New Roman"/>
          <w:sz w:val="24"/>
          <w:szCs w:val="24"/>
        </w:rPr>
        <w:t>Annual CO</w:t>
      </w:r>
      <w:r w:rsidRPr="002D613C">
        <w:rPr>
          <w:rFonts w:ascii="Times New Roman" w:hAnsi="Times New Roman" w:cs="Times New Roman"/>
          <w:sz w:val="24"/>
          <w:szCs w:val="24"/>
          <w:vertAlign w:val="subscript"/>
        </w:rPr>
        <w:t>2</w:t>
      </w:r>
      <w:r>
        <w:rPr>
          <w:rFonts w:ascii="Times New Roman" w:hAnsi="Times New Roman" w:cs="Times New Roman"/>
          <w:sz w:val="24"/>
          <w:szCs w:val="24"/>
        </w:rPr>
        <w:t xml:space="preserve"> emissions and sequestration (mean value) of 1 MJ</w:t>
      </w:r>
      <w:r w:rsidDel="00027E8D">
        <w:rPr>
          <w:rFonts w:ascii="Times New Roman" w:hAnsi="Times New Roman" w:cs="Times New Roman"/>
          <w:sz w:val="24"/>
          <w:szCs w:val="24"/>
        </w:rPr>
        <w:t xml:space="preserve"> </w:t>
      </w:r>
      <w:r w:rsidR="00D21843">
        <w:rPr>
          <w:rFonts w:ascii="Times New Roman" w:hAnsi="Times New Roman" w:cs="Times New Roman"/>
          <w:sz w:val="24"/>
          <w:szCs w:val="24"/>
        </w:rPr>
        <w:t xml:space="preserve">of biofuel produced </w:t>
      </w:r>
      <w:r>
        <w:rPr>
          <w:rFonts w:ascii="Times New Roman" w:hAnsi="Times New Roman" w:cs="Times New Roman"/>
          <w:sz w:val="24"/>
          <w:szCs w:val="24"/>
        </w:rPr>
        <w:t xml:space="preserve">in Scenario 2 Growth Case 3. </w:t>
      </w:r>
    </w:p>
    <w:p w14:paraId="3C3DF7A9" w14:textId="3052E1CA" w:rsidR="00F650E5" w:rsidRDefault="00F650E5" w:rsidP="00CC457E">
      <w:pPr>
        <w:spacing w:after="0" w:line="240" w:lineRule="auto"/>
        <w:rPr>
          <w:rFonts w:ascii="Times New Roman" w:hAnsi="Times New Roman" w:cs="Times New Roman"/>
          <w:sz w:val="24"/>
          <w:szCs w:val="24"/>
        </w:rPr>
      </w:pPr>
    </w:p>
    <w:p w14:paraId="36141C04" w14:textId="3C838BD0" w:rsidR="00F650E5" w:rsidRDefault="00F650E5" w:rsidP="00F650E5">
      <w:pPr>
        <w:spacing w:after="0" w:line="480" w:lineRule="auto"/>
        <w:rPr>
          <w:rFonts w:ascii="Times New Roman" w:hAnsi="Times New Roman" w:cs="Times New Roman"/>
          <w:sz w:val="24"/>
          <w:szCs w:val="24"/>
        </w:rPr>
      </w:pPr>
    </w:p>
    <w:p w14:paraId="49BC03EE" w14:textId="77777777" w:rsidR="00D21843" w:rsidRDefault="00D2184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D97738C" w14:textId="3C2A9C54" w:rsidR="00F650E5" w:rsidRPr="00546D60" w:rsidRDefault="00F650E5" w:rsidP="00546D60">
      <w:pPr>
        <w:pStyle w:val="Heading1"/>
        <w:spacing w:line="480" w:lineRule="auto"/>
        <w:rPr>
          <w:rFonts w:ascii="Times New Roman" w:hAnsi="Times New Roman"/>
          <w:b/>
          <w:bCs/>
          <w:color w:val="auto"/>
          <w:sz w:val="24"/>
          <w:szCs w:val="24"/>
        </w:rPr>
      </w:pPr>
      <w:bookmarkStart w:id="13" w:name="_Toc62294837"/>
      <w:r w:rsidRPr="00546D60">
        <w:rPr>
          <w:rFonts w:ascii="Times New Roman" w:hAnsi="Times New Roman"/>
          <w:b/>
          <w:bCs/>
          <w:color w:val="auto"/>
          <w:sz w:val="24"/>
          <w:szCs w:val="24"/>
        </w:rPr>
        <w:lastRenderedPageBreak/>
        <w:t>4. Biochar decay</w:t>
      </w:r>
      <w:bookmarkEnd w:id="13"/>
    </w:p>
    <w:p w14:paraId="09F44E2B" w14:textId="5831CDF1" w:rsidR="00F650E5" w:rsidRDefault="00B952D9" w:rsidP="00B952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adopts the wide accepted exponential decay model for the biochar after soil application </w:t>
      </w:r>
      <w:bookmarkStart w:id="14" w:name="_Hlk62294484"/>
      <w:r>
        <w:rPr>
          <w:rFonts w:ascii="Times New Roman" w:hAnsi="Times New Roman" w:cs="Times New Roman"/>
          <w:sz w:val="24"/>
          <w:szCs w:val="24"/>
        </w:rPr>
        <w:fldChar w:fldCharType="begin" w:fldLock="1"/>
      </w:r>
      <w:r w:rsidR="00B128F6">
        <w:rPr>
          <w:rFonts w:ascii="Times New Roman" w:hAnsi="Times New Roman" w:cs="Times New Roman"/>
          <w:sz w:val="24"/>
          <w:szCs w:val="24"/>
        </w:rPr>
        <w:instrText>ADDIN CSL_CITATION {"citationItems":[{"id":"ITEM-1","itemData":{"editor":[{"dropping-particle":"","family":"J","given":"Lehmann","non-dropping-particle":"","parse-names":false,"suffix":""},{"dropping-particle":"","family":"S","given":"Joseph","non-dropping-particle":"","parse-names":false,"suffix":""}],"id":"ITEM-1","issued":{"date-parts":[["2015"]]},"publisher":"Routledge","publisher-place":"New York, NY","title":"Biochar for environmental management: science, technology and implementation","type":"book"},"uris":["http://www.mendeley.com/documents/?uuid=ed68b0b6-8a1e-43dc-b4a4-f803244b9939"]}],"mendeley":{"formattedCitation":"[32]","plainTextFormattedCitation":"[32]","previouslyFormattedCitation":"[32]"},"properties":{"noteIndex":0},"schema":"https://github.com/citation-style-language/schema/raw/master/csl-citation.json"}</w:instrText>
      </w:r>
      <w:r>
        <w:rPr>
          <w:rFonts w:ascii="Times New Roman" w:hAnsi="Times New Roman" w:cs="Times New Roman"/>
          <w:sz w:val="24"/>
          <w:szCs w:val="24"/>
        </w:rPr>
        <w:fldChar w:fldCharType="separate"/>
      </w:r>
      <w:r w:rsidRPr="00B952D9">
        <w:rPr>
          <w:rFonts w:ascii="Times New Roman" w:hAnsi="Times New Roman" w:cs="Times New Roman"/>
          <w:noProof/>
          <w:sz w:val="24"/>
          <w:szCs w:val="24"/>
        </w:rPr>
        <w:t>[32]</w:t>
      </w:r>
      <w:r>
        <w:rPr>
          <w:rFonts w:ascii="Times New Roman" w:hAnsi="Times New Roman" w:cs="Times New Roman"/>
          <w:sz w:val="24"/>
          <w:szCs w:val="24"/>
        </w:rPr>
        <w:fldChar w:fldCharType="end"/>
      </w:r>
      <w:bookmarkEnd w:id="14"/>
      <w:r>
        <w:rPr>
          <w:rFonts w:ascii="Times New Roman" w:hAnsi="Times New Roman" w:cs="Times New Roman"/>
          <w:sz w:val="24"/>
          <w:szCs w:val="24"/>
        </w:rPr>
        <w:t xml:space="preserve">. Equation </w:t>
      </w:r>
      <w:r w:rsidR="00D95F9F">
        <w:rPr>
          <w:rFonts w:ascii="Times New Roman" w:hAnsi="Times New Roman" w:cs="Times New Roman"/>
          <w:sz w:val="24"/>
          <w:szCs w:val="24"/>
        </w:rPr>
        <w:t>3</w:t>
      </w:r>
      <w:r>
        <w:rPr>
          <w:rFonts w:ascii="Times New Roman" w:hAnsi="Times New Roman" w:cs="Times New Roman"/>
          <w:sz w:val="24"/>
          <w:szCs w:val="24"/>
        </w:rPr>
        <w:t xml:space="preserve"> depicts the remaining carbon mass of biochar after </w:t>
      </w:r>
      <w:r w:rsidRPr="00B952D9">
        <w:rPr>
          <w:rFonts w:ascii="Times New Roman" w:hAnsi="Times New Roman" w:cs="Times New Roman"/>
          <w:i/>
          <w:iCs/>
          <w:sz w:val="24"/>
          <w:szCs w:val="24"/>
        </w:rPr>
        <w:t>t</w:t>
      </w:r>
      <w:r>
        <w:rPr>
          <w:rFonts w:ascii="Times New Roman" w:hAnsi="Times New Roman" w:cs="Times New Roman"/>
          <w:sz w:val="24"/>
          <w:szCs w:val="24"/>
        </w:rPr>
        <w:t xml:space="preserve"> years.  </w:t>
      </w:r>
    </w:p>
    <w:p w14:paraId="35D8CD9B" w14:textId="36EB7F09" w:rsidR="00B952D9" w:rsidRDefault="00D97653" w:rsidP="00B952D9">
      <w:pPr>
        <w:spacing w:line="48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0</m:t>
            </m:r>
          </m:sub>
        </m:sSub>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-kt</m:t>
            </m:r>
          </m:sup>
        </m:sSup>
      </m:oMath>
      <w:r w:rsidR="00B952D9">
        <w:rPr>
          <w:rFonts w:ascii="Times New Roman" w:hAnsi="Times New Roman" w:cs="Times New Roman"/>
          <w:sz w:val="24"/>
          <w:szCs w:val="24"/>
        </w:rPr>
        <w:t xml:space="preserve">                                                                                                                                     (</w:t>
      </w:r>
      <w:r w:rsidR="00D95F9F">
        <w:rPr>
          <w:rFonts w:ascii="Times New Roman" w:hAnsi="Times New Roman" w:cs="Times New Roman"/>
          <w:sz w:val="24"/>
          <w:szCs w:val="24"/>
        </w:rPr>
        <w:t>3</w:t>
      </w:r>
      <w:r w:rsidR="00B952D9">
        <w:rPr>
          <w:rFonts w:ascii="Times New Roman" w:hAnsi="Times New Roman" w:cs="Times New Roman"/>
          <w:sz w:val="24"/>
          <w:szCs w:val="24"/>
        </w:rPr>
        <w:t>)</w:t>
      </w:r>
    </w:p>
    <w:p w14:paraId="1C07E163" w14:textId="7A43CC6F" w:rsidR="00B952D9" w:rsidRPr="00B128F6" w:rsidRDefault="00B952D9" w:rsidP="00B952D9">
      <w:pPr>
        <w:spacing w:after="0" w:line="480" w:lineRule="auto"/>
        <w:jc w:val="both"/>
        <w:rPr>
          <w:rFonts w:ascii="Times New Roman" w:hAnsi="Times New Roman" w:cs="Times New Roman"/>
          <w:sz w:val="24"/>
          <w:szCs w:val="24"/>
        </w:rPr>
      </w:pPr>
      <w:r w:rsidRPr="00B952D9">
        <w:rPr>
          <w:rFonts w:ascii="Times New Roman" w:hAnsi="Times New Roman" w:cs="Times New Roman"/>
          <w:i/>
          <w:iCs/>
          <w:sz w:val="24"/>
          <w:szCs w:val="24"/>
        </w:rPr>
        <w:t>C</w:t>
      </w:r>
      <w:r w:rsidRPr="00B952D9">
        <w:rPr>
          <w:rFonts w:ascii="Times New Roman" w:hAnsi="Times New Roman" w:cs="Times New Roman"/>
          <w:i/>
          <w:iCs/>
          <w:sz w:val="24"/>
          <w:szCs w:val="24"/>
          <w:vertAlign w:val="subscript"/>
        </w:rPr>
        <w:t>t</w:t>
      </w:r>
      <w:r>
        <w:rPr>
          <w:rFonts w:ascii="Times New Roman" w:hAnsi="Times New Roman" w:cs="Times New Roman"/>
          <w:sz w:val="24"/>
          <w:szCs w:val="24"/>
        </w:rPr>
        <w:t xml:space="preserve"> is the remaining carbon mass of biochar at year</w:t>
      </w:r>
      <w:r w:rsidRPr="00B952D9">
        <w:rPr>
          <w:rFonts w:ascii="Times New Roman" w:hAnsi="Times New Roman" w:cs="Times New Roman"/>
          <w:i/>
          <w:iCs/>
          <w:sz w:val="24"/>
          <w:szCs w:val="24"/>
        </w:rPr>
        <w:t xml:space="preserve"> t</w:t>
      </w:r>
      <w:r>
        <w:rPr>
          <w:rFonts w:ascii="Times New Roman" w:hAnsi="Times New Roman" w:cs="Times New Roman"/>
          <w:i/>
          <w:iCs/>
          <w:sz w:val="24"/>
          <w:szCs w:val="24"/>
        </w:rPr>
        <w:t xml:space="preserve"> </w:t>
      </w:r>
      <w:r>
        <w:rPr>
          <w:rFonts w:ascii="Times New Roman" w:hAnsi="Times New Roman" w:cs="Times New Roman"/>
          <w:sz w:val="24"/>
          <w:szCs w:val="24"/>
        </w:rPr>
        <w:t xml:space="preserve">after applying biochar to the soil; </w:t>
      </w:r>
      <w:r w:rsidRPr="00B952D9">
        <w:rPr>
          <w:rFonts w:ascii="Times New Roman" w:hAnsi="Times New Roman" w:cs="Times New Roman"/>
          <w:i/>
          <w:iCs/>
          <w:sz w:val="24"/>
          <w:szCs w:val="24"/>
        </w:rPr>
        <w:t>C</w:t>
      </w:r>
      <w:r w:rsidRPr="00B952D9">
        <w:rPr>
          <w:rFonts w:ascii="Times New Roman" w:hAnsi="Times New Roman" w:cs="Times New Roman"/>
          <w:i/>
          <w:iCs/>
          <w:sz w:val="24"/>
          <w:szCs w:val="24"/>
          <w:vertAlign w:val="subscript"/>
        </w:rPr>
        <w:t>0</w:t>
      </w:r>
      <w:r>
        <w:rPr>
          <w:rFonts w:ascii="Times New Roman" w:hAnsi="Times New Roman" w:cs="Times New Roman"/>
          <w:sz w:val="24"/>
          <w:szCs w:val="24"/>
        </w:rPr>
        <w:t xml:space="preserve"> is the initial carbon mass of biochar at year 0; </w:t>
      </w:r>
      <w:r w:rsidRPr="00B952D9">
        <w:rPr>
          <w:rFonts w:ascii="Times New Roman" w:hAnsi="Times New Roman" w:cs="Times New Roman"/>
          <w:i/>
          <w:iCs/>
          <w:sz w:val="24"/>
          <w:szCs w:val="24"/>
        </w:rPr>
        <w:t>t</w:t>
      </w:r>
      <w:r>
        <w:rPr>
          <w:rFonts w:ascii="Times New Roman" w:hAnsi="Times New Roman" w:cs="Times New Roman"/>
          <w:sz w:val="24"/>
          <w:szCs w:val="24"/>
        </w:rPr>
        <w:t xml:space="preserve"> is decay rate and estimated by the mean residence time of biochar </w:t>
      </w:r>
      <w:r>
        <w:rPr>
          <w:rFonts w:ascii="Times New Roman" w:hAnsi="Times New Roman" w:cs="Times New Roman"/>
          <w:sz w:val="24"/>
          <w:szCs w:val="24"/>
        </w:rPr>
        <w:fldChar w:fldCharType="begin" w:fldLock="1"/>
      </w:r>
      <w:r w:rsidR="00B128F6">
        <w:rPr>
          <w:rFonts w:ascii="Times New Roman" w:hAnsi="Times New Roman" w:cs="Times New Roman"/>
          <w:sz w:val="24"/>
          <w:szCs w:val="24"/>
        </w:rPr>
        <w:instrText>ADDIN CSL_CITATION {"citationItems":[{"id":"ITEM-1","itemData":{"editor":[{"dropping-particle":"","family":"J","given":"Lehmann","non-dropping-particle":"","parse-names":false,"suffix":""},{"dropping-particle":"","family":"S","given":"Joseph","non-dropping-particle":"","parse-names":false,"suffix":""}],"id":"ITEM-1","issued":{"date-parts":[["2015"]]},"publisher":"Routledge","publisher-place":"New York, NY","title":"Biochar for environmental management: science, technology and implementation","type":"book"},"uris":["http://www.mendeley.com/documents/?uuid=ed68b0b6-8a1e-43dc-b4a4-f803244b9939"]}],"mendeley":{"formattedCitation":"[32]","plainTextFormattedCitation":"[32]","previouslyFormattedCitation":"[32]"},"properties":{"noteIndex":0},"schema":"https://github.com/citation-style-language/schema/raw/master/csl-citation.json"}</w:instrText>
      </w:r>
      <w:r>
        <w:rPr>
          <w:rFonts w:ascii="Times New Roman" w:hAnsi="Times New Roman" w:cs="Times New Roman"/>
          <w:sz w:val="24"/>
          <w:szCs w:val="24"/>
        </w:rPr>
        <w:fldChar w:fldCharType="separate"/>
      </w:r>
      <w:r w:rsidRPr="00B952D9">
        <w:rPr>
          <w:rFonts w:ascii="Times New Roman" w:hAnsi="Times New Roman" w:cs="Times New Roman"/>
          <w:noProof/>
          <w:sz w:val="24"/>
          <w:szCs w:val="24"/>
        </w:rPr>
        <w:t>[32]</w:t>
      </w:r>
      <w:r>
        <w:rPr>
          <w:rFonts w:ascii="Times New Roman" w:hAnsi="Times New Roman" w:cs="Times New Roman"/>
          <w:sz w:val="24"/>
          <w:szCs w:val="24"/>
        </w:rPr>
        <w:fldChar w:fldCharType="end"/>
      </w:r>
      <w:r>
        <w:rPr>
          <w:rFonts w:ascii="Times New Roman" w:hAnsi="Times New Roman" w:cs="Times New Roman"/>
          <w:sz w:val="24"/>
          <w:szCs w:val="24"/>
        </w:rPr>
        <w:t xml:space="preserve">. In this study, </w:t>
      </w:r>
      <w:r w:rsidRPr="00B952D9">
        <w:rPr>
          <w:rFonts w:ascii="Times New Roman" w:hAnsi="Times New Roman" w:cs="Times New Roman"/>
          <w:i/>
          <w:iCs/>
          <w:sz w:val="24"/>
          <w:szCs w:val="24"/>
        </w:rPr>
        <w:t>C</w:t>
      </w:r>
      <w:r w:rsidRPr="00B952D9">
        <w:rPr>
          <w:rFonts w:ascii="Times New Roman" w:hAnsi="Times New Roman" w:cs="Times New Roman"/>
          <w:i/>
          <w:iCs/>
          <w:sz w:val="24"/>
          <w:szCs w:val="24"/>
          <w:vertAlign w:val="subscript"/>
        </w:rPr>
        <w:t>0</w:t>
      </w:r>
      <w:r>
        <w:rPr>
          <w:rFonts w:ascii="Times New Roman" w:hAnsi="Times New Roman" w:cs="Times New Roman"/>
          <w:i/>
          <w:iCs/>
          <w:sz w:val="24"/>
          <w:szCs w:val="24"/>
          <w:vertAlign w:val="subscript"/>
        </w:rPr>
        <w:t xml:space="preserve"> </w:t>
      </w:r>
      <w:r w:rsidR="00BE01B0">
        <w:rPr>
          <w:rFonts w:ascii="Times New Roman" w:hAnsi="Times New Roman" w:cs="Times New Roman"/>
          <w:sz w:val="24"/>
          <w:szCs w:val="24"/>
        </w:rPr>
        <w:t>was</w:t>
      </w:r>
      <w:r>
        <w:rPr>
          <w:rFonts w:ascii="Times New Roman" w:hAnsi="Times New Roman" w:cs="Times New Roman"/>
          <w:sz w:val="24"/>
          <w:szCs w:val="24"/>
        </w:rPr>
        <w:t xml:space="preserve"> derived from the ASPEN Plus simulation results. </w:t>
      </w:r>
      <w:r w:rsidR="00B128F6">
        <w:rPr>
          <w:rFonts w:ascii="Times New Roman" w:hAnsi="Times New Roman" w:cs="Times New Roman"/>
          <w:sz w:val="24"/>
          <w:szCs w:val="24"/>
        </w:rPr>
        <w:t xml:space="preserve">For the decay rate </w:t>
      </w:r>
      <w:r w:rsidR="00B128F6" w:rsidRPr="00B128F6">
        <w:rPr>
          <w:rFonts w:ascii="Times New Roman" w:hAnsi="Times New Roman" w:cs="Times New Roman"/>
          <w:i/>
          <w:iCs/>
          <w:sz w:val="24"/>
          <w:szCs w:val="24"/>
        </w:rPr>
        <w:t>k</w:t>
      </w:r>
      <w:r w:rsidR="00B128F6">
        <w:rPr>
          <w:rFonts w:ascii="Times New Roman" w:hAnsi="Times New Roman" w:cs="Times New Roman"/>
          <w:sz w:val="24"/>
          <w:szCs w:val="24"/>
        </w:rPr>
        <w:t xml:space="preserve">, this study follows </w:t>
      </w:r>
      <w:r w:rsidR="00B128F6" w:rsidRPr="00B128F6">
        <w:rPr>
          <w:rFonts w:ascii="Times New Roman" w:hAnsi="Times New Roman" w:cs="Times New Roman"/>
          <w:sz w:val="24"/>
          <w:szCs w:val="24"/>
        </w:rPr>
        <w:t xml:space="preserve">the practice given </w:t>
      </w:r>
      <w:bookmarkStart w:id="15" w:name="_Hlk62294709"/>
      <w:r w:rsidR="00B128F6" w:rsidRPr="00B128F6">
        <w:rPr>
          <w:rFonts w:ascii="Times New Roman" w:hAnsi="Times New Roman" w:cs="Times New Roman"/>
          <w:sz w:val="24"/>
          <w:szCs w:val="24"/>
        </w:rPr>
        <w:t xml:space="preserve">by </w:t>
      </w:r>
      <w:r w:rsidR="00B128F6" w:rsidRPr="00B128F6">
        <w:rPr>
          <w:rFonts w:ascii="Times New Roman" w:eastAsia="DengXian Light" w:hAnsi="Times New Roman" w:cs="Times New Roman"/>
          <w:sz w:val="24"/>
          <w:szCs w:val="24"/>
        </w:rPr>
        <w:t>the Intergovernmental Panel on Climate Change (IPCC)</w:t>
      </w:r>
      <w:r w:rsidR="00B128F6">
        <w:rPr>
          <w:rFonts w:ascii="Times New Roman" w:eastAsia="DengXian Light" w:hAnsi="Times New Roman" w:cs="Times New Roman"/>
          <w:sz w:val="24"/>
          <w:szCs w:val="24"/>
        </w:rPr>
        <w:t xml:space="preserve"> </w:t>
      </w:r>
      <w:r w:rsidR="00B128F6">
        <w:rPr>
          <w:rFonts w:ascii="Times New Roman" w:eastAsia="DengXian Light" w:hAnsi="Times New Roman" w:cs="Times New Roman"/>
          <w:sz w:val="24"/>
          <w:szCs w:val="24"/>
        </w:rPr>
        <w:fldChar w:fldCharType="begin" w:fldLock="1"/>
      </w:r>
      <w:r w:rsidR="00047776">
        <w:rPr>
          <w:rFonts w:ascii="Times New Roman" w:eastAsia="DengXian Light" w:hAnsi="Times New Roman" w:cs="Times New Roman"/>
          <w:sz w:val="24"/>
          <w:szCs w:val="24"/>
        </w:rPr>
        <w:instrText>ADDIN CSL_CITATION {"citationItems":[{"id":"ITEM-1","itemData":{"author":[{"dropping-particle":"","family":"IPCC","given":"","non-dropping-particle":"","parse-names":false,"suffix":""}],"editor":[{"dropping-particle":"","family":"Buendia","given":"E. Calvo","non-dropping-particle":"","parse-names":false,"suffix":""},{"dropping-particle":"","family":"Tanabe","given":"K.","non-dropping-particle":"","parse-names":false,"suffix":""},{"dropping-particle":"","family":"Kranjc","given":"A.","non-dropping-particle":"","parse-names":false,"suffix":""},{"dropping-particle":"","family":"Baasansuren","given":"J.","non-dropping-particle":"","parse-names":false,"suffix":""},{"dropping-particle":"","family":"Fukuda","given":"M.","non-dropping-particle":"","parse-names":false,"suffix":""},{"dropping-particle":"","family":"Ngarize","given":"S.","non-dropping-particle":"","parse-names":false,"suffix":""},{"dropping-particle":"","family":"Osako","given":"A.","non-dropping-particle":"","parse-names":false,"suffix":""},{"dropping-particle":"","family":"Pyrozhenko","given":"Y.","non-dropping-particle":"","parse-names":false,"suffix":""},{"dropping-particle":"","family":"Shermanau","given":"P.","non-dropping-particle":"","parse-names":false,"suffix":""},{"dropping-particle":"","family":"Federici","given":"S.","non-dropping-particle":"","parse-names":false,"suffix":""}],"id":"ITEM-1","issued":{"date-parts":[["2019"]]},"publisher":"IPCC","publisher-place":"Switzerland","title":"IPCC 2019 Refinement to the 2006 IPCC Guidelines for National Greenhouse Gas Inventories","type":"book"},"uris":["http://www.mendeley.com/documents/?uuid=790137aa-aa18-40fe-a45d-0d7e4cc6e763"]}],"mendeley":{"formattedCitation":"[33]","plainTextFormattedCitation":"[33]","previouslyFormattedCitation":"[33]"},"properties":{"noteIndex":0},"schema":"https://github.com/citation-style-language/schema/raw/master/csl-citation.json"}</w:instrText>
      </w:r>
      <w:r w:rsidR="00B128F6">
        <w:rPr>
          <w:rFonts w:ascii="Times New Roman" w:eastAsia="DengXian Light" w:hAnsi="Times New Roman" w:cs="Times New Roman"/>
          <w:sz w:val="24"/>
          <w:szCs w:val="24"/>
        </w:rPr>
        <w:fldChar w:fldCharType="separate"/>
      </w:r>
      <w:r w:rsidR="00B128F6" w:rsidRPr="00B128F6">
        <w:rPr>
          <w:rFonts w:ascii="Times New Roman" w:eastAsia="DengXian Light" w:hAnsi="Times New Roman" w:cs="Times New Roman"/>
          <w:noProof/>
          <w:sz w:val="24"/>
          <w:szCs w:val="24"/>
        </w:rPr>
        <w:t>[33]</w:t>
      </w:r>
      <w:r w:rsidR="00B128F6">
        <w:rPr>
          <w:rFonts w:ascii="Times New Roman" w:eastAsia="DengXian Light" w:hAnsi="Times New Roman" w:cs="Times New Roman"/>
          <w:sz w:val="24"/>
          <w:szCs w:val="24"/>
        </w:rPr>
        <w:fldChar w:fldCharType="end"/>
      </w:r>
      <w:r w:rsidR="00B128F6">
        <w:rPr>
          <w:rFonts w:ascii="Times New Roman" w:eastAsia="DengXian Light" w:hAnsi="Times New Roman" w:cs="Times New Roman"/>
          <w:sz w:val="24"/>
          <w:szCs w:val="24"/>
        </w:rPr>
        <w:t>.</w:t>
      </w:r>
      <w:bookmarkEnd w:id="15"/>
      <w:r w:rsidR="00B128F6">
        <w:rPr>
          <w:rFonts w:ascii="Times New Roman" w:eastAsia="DengXian Light" w:hAnsi="Times New Roman" w:cs="Times New Roman"/>
          <w:sz w:val="24"/>
          <w:szCs w:val="24"/>
        </w:rPr>
        <w:t xml:space="preserve"> The remaining fraction of medium temperature pyrolysis biochar after 100 years is 80% for cropland or grassland applications. Hence, </w:t>
      </w:r>
      <w:r w:rsidR="00B128F6" w:rsidRPr="00B128F6">
        <w:rPr>
          <w:rFonts w:ascii="Times New Roman" w:hAnsi="Times New Roman" w:cs="Times New Roman"/>
          <w:i/>
          <w:iCs/>
          <w:sz w:val="24"/>
          <w:szCs w:val="24"/>
        </w:rPr>
        <w:t>k</w:t>
      </w:r>
      <w:r w:rsidR="00B128F6" w:rsidRPr="00B128F6">
        <w:rPr>
          <w:rFonts w:ascii="Times New Roman" w:eastAsia="DengXian Light" w:hAnsi="Times New Roman" w:cs="Times New Roman"/>
          <w:sz w:val="24"/>
          <w:szCs w:val="24"/>
        </w:rPr>
        <w:t xml:space="preserve"> </w:t>
      </w:r>
      <w:r w:rsidR="00B128F6">
        <w:rPr>
          <w:rFonts w:ascii="Times New Roman" w:eastAsia="DengXian Light" w:hAnsi="Times New Roman" w:cs="Times New Roman"/>
          <w:sz w:val="24"/>
          <w:szCs w:val="24"/>
        </w:rPr>
        <w:t>used in this study is 0.00223.</w:t>
      </w:r>
    </w:p>
    <w:p w14:paraId="327A3D44" w14:textId="77777777" w:rsidR="00FF3F2D" w:rsidRDefault="00FF3F2D" w:rsidP="00F650E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EEADB32" w14:textId="0AB803FA" w:rsidR="009D47B2" w:rsidRPr="00047776" w:rsidRDefault="005611DF" w:rsidP="00047776">
      <w:pPr>
        <w:pStyle w:val="Heading1"/>
        <w:spacing w:line="480" w:lineRule="auto"/>
        <w:rPr>
          <w:rFonts w:ascii="Times New Roman" w:hAnsi="Times New Roman"/>
          <w:color w:val="auto"/>
          <w:sz w:val="24"/>
          <w:szCs w:val="24"/>
        </w:rPr>
      </w:pPr>
      <w:bookmarkStart w:id="16" w:name="_Toc62294838"/>
      <w:r w:rsidRPr="00047776">
        <w:rPr>
          <w:rFonts w:ascii="Times New Roman" w:hAnsi="Times New Roman"/>
          <w:b/>
          <w:bCs/>
          <w:color w:val="auto"/>
          <w:sz w:val="24"/>
          <w:szCs w:val="24"/>
        </w:rPr>
        <w:lastRenderedPageBreak/>
        <w:t>Reference</w:t>
      </w:r>
      <w:bookmarkEnd w:id="16"/>
    </w:p>
    <w:p w14:paraId="322AA049"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E24C35">
        <w:rPr>
          <w:rFonts w:ascii="Times New Roman" w:hAnsi="Times New Roman" w:cs="Times New Roman"/>
          <w:sz w:val="24"/>
          <w:szCs w:val="24"/>
        </w:rPr>
        <w:t xml:space="preserve">Stoots BG, Straka TJ, Phillips SL. State-level forestry cost-share programs and economic impact of increased timber outputs: </w:t>
      </w:r>
      <w:r>
        <w:rPr>
          <w:rFonts w:ascii="Times New Roman" w:hAnsi="Times New Roman" w:cs="Times New Roman"/>
          <w:sz w:val="24"/>
          <w:szCs w:val="24"/>
        </w:rPr>
        <w:t>a</w:t>
      </w:r>
      <w:r w:rsidRPr="00E24C35">
        <w:rPr>
          <w:rFonts w:ascii="Times New Roman" w:hAnsi="Times New Roman" w:cs="Times New Roman"/>
          <w:sz w:val="24"/>
          <w:szCs w:val="24"/>
        </w:rPr>
        <w:t xml:space="preserve"> South Carolina case study. Resources. 2017;6. </w:t>
      </w:r>
    </w:p>
    <w:p w14:paraId="2853DAED"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2. </w:t>
      </w:r>
      <w:r>
        <w:rPr>
          <w:rFonts w:ascii="Times New Roman" w:hAnsi="Times New Roman" w:cs="Times New Roman"/>
          <w:sz w:val="24"/>
          <w:szCs w:val="24"/>
        </w:rPr>
        <w:t xml:space="preserve">  </w:t>
      </w:r>
      <w:r w:rsidRPr="00E24C35">
        <w:rPr>
          <w:rFonts w:ascii="Times New Roman" w:hAnsi="Times New Roman" w:cs="Times New Roman"/>
          <w:sz w:val="24"/>
          <w:szCs w:val="24"/>
        </w:rPr>
        <w:t xml:space="preserve">Christopher SF, Schoenholtz SH, Nettles JE. Water quantity implications of regional-scale switchgrass production in the southeastern U.S. Biomass and Bioenergy. 2015;83:50–9. </w:t>
      </w:r>
    </w:p>
    <w:p w14:paraId="340277BC"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3. </w:t>
      </w:r>
      <w:r>
        <w:rPr>
          <w:rFonts w:ascii="Times New Roman" w:hAnsi="Times New Roman" w:cs="Times New Roman"/>
          <w:sz w:val="24"/>
          <w:szCs w:val="24"/>
        </w:rPr>
        <w:t xml:space="preserve">  </w:t>
      </w:r>
      <w:r w:rsidRPr="00E24C35">
        <w:rPr>
          <w:rFonts w:ascii="Times New Roman" w:hAnsi="Times New Roman" w:cs="Times New Roman"/>
          <w:sz w:val="24"/>
          <w:szCs w:val="24"/>
        </w:rPr>
        <w:t xml:space="preserve">Shrestha P, Stainback GA, Dwivedi P. Economic impact of net carbon payments and bioenergy production in fertilized and non-fertilized loblolly pine plantations. Forests. 2015;6:3045–59. </w:t>
      </w:r>
    </w:p>
    <w:p w14:paraId="5DB845A1"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4. </w:t>
      </w:r>
      <w:r>
        <w:rPr>
          <w:rFonts w:ascii="Times New Roman" w:hAnsi="Times New Roman" w:cs="Times New Roman"/>
          <w:sz w:val="24"/>
          <w:szCs w:val="24"/>
        </w:rPr>
        <w:t xml:space="preserve">  </w:t>
      </w:r>
      <w:r w:rsidRPr="00E24C35">
        <w:rPr>
          <w:rFonts w:ascii="Times New Roman" w:hAnsi="Times New Roman" w:cs="Times New Roman"/>
          <w:sz w:val="24"/>
          <w:szCs w:val="24"/>
        </w:rPr>
        <w:t>Wang HJ, Radtke PJ, Prisley SP. Long-term simulations of forest management impacts on carbon storage from loblolly pine plantations in the Southern U.S.</w:t>
      </w:r>
      <w:r>
        <w:rPr>
          <w:rFonts w:ascii="Times New Roman" w:hAnsi="Times New Roman" w:cs="Times New Roman"/>
          <w:sz w:val="24"/>
          <w:szCs w:val="24"/>
        </w:rPr>
        <w:t xml:space="preserve"> USDA Forest Service, South</w:t>
      </w:r>
      <w:r w:rsidRPr="00AC0BF1">
        <w:rPr>
          <w:rFonts w:ascii="Times New Roman" w:hAnsi="Times New Roman" w:cs="Times New Roman"/>
          <w:sz w:val="24"/>
          <w:szCs w:val="24"/>
        </w:rPr>
        <w:t>ern Research Station</w:t>
      </w:r>
      <w:r>
        <w:rPr>
          <w:rFonts w:ascii="Times New Roman" w:hAnsi="Times New Roman" w:cs="Times New Roman"/>
          <w:sz w:val="24"/>
          <w:szCs w:val="24"/>
        </w:rPr>
        <w:t>,</w:t>
      </w:r>
      <w:r w:rsidRPr="00AC0BF1">
        <w:rPr>
          <w:rFonts w:ascii="Times New Roman" w:hAnsi="Times New Roman" w:cs="Times New Roman"/>
          <w:sz w:val="24"/>
          <w:szCs w:val="24"/>
        </w:rPr>
        <w:t xml:space="preserve"> </w:t>
      </w:r>
      <w:r w:rsidRPr="00E24C35">
        <w:rPr>
          <w:rFonts w:ascii="Times New Roman" w:hAnsi="Times New Roman" w:cs="Times New Roman"/>
          <w:sz w:val="24"/>
          <w:szCs w:val="24"/>
        </w:rPr>
        <w:t>Asheville, NC</w:t>
      </w:r>
      <w:r>
        <w:rPr>
          <w:rFonts w:ascii="Times New Roman" w:hAnsi="Times New Roman" w:cs="Times New Roman"/>
          <w:sz w:val="24"/>
          <w:szCs w:val="24"/>
        </w:rPr>
        <w:t>, USA</w:t>
      </w:r>
      <w:r w:rsidRPr="0065410C">
        <w:rPr>
          <w:rFonts w:ascii="Times New Roman" w:hAnsi="Times New Roman" w:cs="Times New Roman"/>
          <w:sz w:val="24"/>
          <w:szCs w:val="24"/>
        </w:rPr>
        <w:t xml:space="preserve">; </w:t>
      </w:r>
      <w:r>
        <w:rPr>
          <w:rFonts w:ascii="Times New Roman" w:hAnsi="Times New Roman" w:cs="Times New Roman"/>
          <w:sz w:val="24"/>
          <w:szCs w:val="24"/>
        </w:rPr>
        <w:t>2012</w:t>
      </w:r>
      <w:r w:rsidRPr="0065410C">
        <w:rPr>
          <w:rFonts w:ascii="Times New Roman" w:hAnsi="Times New Roman" w:cs="Times New Roman"/>
          <w:sz w:val="24"/>
          <w:szCs w:val="24"/>
        </w:rPr>
        <w:t xml:space="preserve">. Available from: </w:t>
      </w:r>
      <w:r w:rsidRPr="00E24C35">
        <w:rPr>
          <w:rFonts w:ascii="Times New Roman" w:hAnsi="Times New Roman" w:cs="Times New Roman"/>
          <w:sz w:val="24"/>
          <w:szCs w:val="24"/>
        </w:rPr>
        <w:t>https://www.fs.usda.gov/treesearch/pubs/41015</w:t>
      </w:r>
      <w:r>
        <w:rPr>
          <w:rFonts w:ascii="Times New Roman" w:hAnsi="Times New Roman" w:cs="Times New Roman"/>
          <w:sz w:val="24"/>
          <w:szCs w:val="24"/>
        </w:rPr>
        <w:t>. Accessed 11 Apr 2020.</w:t>
      </w:r>
      <w:r w:rsidRPr="00E24C35">
        <w:rPr>
          <w:rFonts w:ascii="Times New Roman" w:hAnsi="Times New Roman" w:cs="Times New Roman"/>
          <w:sz w:val="24"/>
          <w:szCs w:val="24"/>
        </w:rPr>
        <w:t xml:space="preserve"> </w:t>
      </w:r>
    </w:p>
    <w:p w14:paraId="015425A2"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5. </w:t>
      </w:r>
      <w:r>
        <w:rPr>
          <w:rFonts w:ascii="Times New Roman" w:hAnsi="Times New Roman" w:cs="Times New Roman"/>
          <w:sz w:val="24"/>
          <w:szCs w:val="24"/>
        </w:rPr>
        <w:t xml:space="preserve">  </w:t>
      </w:r>
      <w:r w:rsidRPr="00E24C35">
        <w:rPr>
          <w:rFonts w:ascii="Times New Roman" w:hAnsi="Times New Roman" w:cs="Times New Roman"/>
          <w:sz w:val="24"/>
          <w:szCs w:val="24"/>
        </w:rPr>
        <w:t xml:space="preserve">Kevin McIntyre R, Jack SB, Mitchell RJ, McCall BB. Financial feasibility of selection-based multiple-value management on private lands in the south: A heuristic case study approach. Journal of Forestry. 2010;108:230–7. </w:t>
      </w:r>
    </w:p>
    <w:p w14:paraId="143459CC"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6. </w:t>
      </w:r>
      <w:r>
        <w:rPr>
          <w:rFonts w:ascii="Times New Roman" w:hAnsi="Times New Roman" w:cs="Times New Roman"/>
          <w:sz w:val="24"/>
          <w:szCs w:val="24"/>
        </w:rPr>
        <w:t xml:space="preserve">  </w:t>
      </w:r>
      <w:r w:rsidRPr="0065410C">
        <w:rPr>
          <w:rFonts w:ascii="Times New Roman" w:hAnsi="Times New Roman" w:cs="Times New Roman"/>
          <w:sz w:val="24"/>
          <w:szCs w:val="24"/>
        </w:rPr>
        <w:t xml:space="preserve">Amateis RL, Burkhart HE, </w:t>
      </w:r>
      <w:r>
        <w:rPr>
          <w:rFonts w:ascii="Times New Roman" w:hAnsi="Times New Roman" w:cs="Times New Roman"/>
          <w:sz w:val="24"/>
          <w:szCs w:val="24"/>
        </w:rPr>
        <w:t xml:space="preserve">Lee </w:t>
      </w:r>
      <w:r w:rsidRPr="0065410C">
        <w:rPr>
          <w:rFonts w:ascii="Times New Roman" w:hAnsi="Times New Roman" w:cs="Times New Roman"/>
          <w:sz w:val="24"/>
          <w:szCs w:val="24"/>
        </w:rPr>
        <w:t>Allen H, Montes C. FASTLOB (A Stand-Level Growth and Yield Model for Fertilized and Thinned Loblolly Pine Plantations). 2001</w:t>
      </w:r>
      <w:r>
        <w:rPr>
          <w:rFonts w:ascii="Times New Roman" w:hAnsi="Times New Roman" w:cs="Times New Roman"/>
          <w:sz w:val="24"/>
          <w:szCs w:val="24"/>
        </w:rPr>
        <w:t>.</w:t>
      </w:r>
      <w:r w:rsidRPr="0065410C">
        <w:rPr>
          <w:rFonts w:ascii="Times New Roman" w:hAnsi="Times New Roman" w:cs="Times New Roman"/>
          <w:sz w:val="24"/>
          <w:szCs w:val="24"/>
        </w:rPr>
        <w:t xml:space="preserve"> Available from: </w:t>
      </w:r>
      <w:r w:rsidRPr="00C37A57">
        <w:rPr>
          <w:rFonts w:ascii="Times New Roman" w:hAnsi="Times New Roman" w:cs="Times New Roman"/>
          <w:sz w:val="24"/>
          <w:szCs w:val="24"/>
        </w:rPr>
        <w:t>https://fmrc.frec.vt.edu/content/dam/fmrc_frec_vt_edu/documents/fastlob.pdf</w:t>
      </w:r>
      <w:r>
        <w:rPr>
          <w:rFonts w:ascii="Times New Roman" w:hAnsi="Times New Roman" w:cs="Times New Roman"/>
          <w:sz w:val="24"/>
          <w:szCs w:val="24"/>
        </w:rPr>
        <w:t>. Accessed 11 May 2020.</w:t>
      </w:r>
    </w:p>
    <w:p w14:paraId="3765A574"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7. </w:t>
      </w:r>
      <w:r>
        <w:rPr>
          <w:rFonts w:ascii="Times New Roman" w:hAnsi="Times New Roman" w:cs="Times New Roman"/>
          <w:sz w:val="24"/>
          <w:szCs w:val="24"/>
        </w:rPr>
        <w:t xml:space="preserve">  </w:t>
      </w:r>
      <w:r w:rsidRPr="0065410C">
        <w:rPr>
          <w:rFonts w:ascii="Times New Roman" w:hAnsi="Times New Roman" w:cs="Times New Roman"/>
          <w:sz w:val="24"/>
          <w:szCs w:val="24"/>
        </w:rPr>
        <w:t xml:space="preserve">Nebeker TE, Hodges JD, Karr BK, Moehring DM. Thinning practices in southern pines-with pest management recommendations. </w:t>
      </w:r>
      <w:r>
        <w:rPr>
          <w:rFonts w:ascii="Times New Roman" w:hAnsi="Times New Roman" w:cs="Times New Roman"/>
          <w:sz w:val="24"/>
          <w:szCs w:val="24"/>
        </w:rPr>
        <w:t xml:space="preserve">USDA Forest Service. </w:t>
      </w:r>
      <w:r w:rsidRPr="0065410C">
        <w:rPr>
          <w:rFonts w:ascii="Times New Roman" w:hAnsi="Times New Roman" w:cs="Times New Roman"/>
          <w:sz w:val="24"/>
          <w:szCs w:val="24"/>
        </w:rPr>
        <w:t xml:space="preserve">1985. Available from: </w:t>
      </w:r>
      <w:r w:rsidRPr="004A7E87">
        <w:rPr>
          <w:rFonts w:ascii="Times New Roman" w:hAnsi="Times New Roman" w:cs="Times New Roman"/>
          <w:sz w:val="24"/>
          <w:szCs w:val="24"/>
        </w:rPr>
        <w:t>http://ageconsearch.umn.edu/bitstream/156818/2/tb1703.pdf</w:t>
      </w:r>
      <w:r>
        <w:rPr>
          <w:rFonts w:ascii="Times New Roman" w:hAnsi="Times New Roman" w:cs="Times New Roman"/>
          <w:sz w:val="24"/>
          <w:szCs w:val="24"/>
        </w:rPr>
        <w:t>. Accessed 19 May 2019.</w:t>
      </w:r>
    </w:p>
    <w:p w14:paraId="518916EA"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8. </w:t>
      </w:r>
      <w:r>
        <w:rPr>
          <w:rFonts w:ascii="Times New Roman" w:hAnsi="Times New Roman" w:cs="Times New Roman"/>
          <w:sz w:val="24"/>
          <w:szCs w:val="24"/>
        </w:rPr>
        <w:t xml:space="preserve">  </w:t>
      </w:r>
      <w:r w:rsidRPr="0065410C">
        <w:rPr>
          <w:rFonts w:ascii="Times New Roman" w:hAnsi="Times New Roman" w:cs="Times New Roman"/>
          <w:sz w:val="24"/>
          <w:szCs w:val="24"/>
        </w:rPr>
        <w:t xml:space="preserve">Dickens ED, Moorhead DJ. A guide to thinning pine plantations. </w:t>
      </w:r>
      <w:r>
        <w:rPr>
          <w:rFonts w:ascii="Times New Roman" w:hAnsi="Times New Roman" w:cs="Times New Roman"/>
          <w:sz w:val="24"/>
          <w:szCs w:val="24"/>
        </w:rPr>
        <w:t xml:space="preserve">University of Georgia. </w:t>
      </w:r>
      <w:r w:rsidRPr="0065410C">
        <w:rPr>
          <w:rFonts w:ascii="Times New Roman" w:hAnsi="Times New Roman" w:cs="Times New Roman"/>
          <w:sz w:val="24"/>
          <w:szCs w:val="24"/>
        </w:rPr>
        <w:t xml:space="preserve">2015. Available from: </w:t>
      </w:r>
      <w:r w:rsidRPr="00516B16">
        <w:rPr>
          <w:rFonts w:ascii="Times New Roman" w:hAnsi="Times New Roman" w:cs="Times New Roman"/>
          <w:sz w:val="24"/>
          <w:szCs w:val="24"/>
        </w:rPr>
        <w:t>https://bugwoodcloud.org/bugwood/productivity/pdfs/Guide_thinning_pine_plantations.pdf</w:t>
      </w:r>
      <w:r>
        <w:rPr>
          <w:rFonts w:ascii="Times New Roman" w:hAnsi="Times New Roman" w:cs="Times New Roman"/>
          <w:sz w:val="24"/>
          <w:szCs w:val="24"/>
        </w:rPr>
        <w:t>. Accessed 19 May 2020.</w:t>
      </w:r>
    </w:p>
    <w:p w14:paraId="1340E0FB"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9. </w:t>
      </w:r>
      <w:r>
        <w:rPr>
          <w:rFonts w:ascii="Times New Roman" w:hAnsi="Times New Roman" w:cs="Times New Roman"/>
          <w:sz w:val="24"/>
          <w:szCs w:val="24"/>
        </w:rPr>
        <w:t xml:space="preserve">  </w:t>
      </w:r>
      <w:r w:rsidRPr="00E24C35">
        <w:rPr>
          <w:rFonts w:ascii="Times New Roman" w:hAnsi="Times New Roman" w:cs="Times New Roman"/>
          <w:sz w:val="24"/>
          <w:szCs w:val="24"/>
        </w:rPr>
        <w:t xml:space="preserve">Gallagher T V., Kantavichai R, Teeter LD. An Economic Analysis of Incorporating Biomass Thinning into Loblolly Pine Plantations in Alabama. Open Journal of Forestry. 2017;07:172–87. </w:t>
      </w:r>
    </w:p>
    <w:p w14:paraId="3B03CC15"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10. Hosmer D.W. and Lemeshow S. Goodness of fit tests for the multiple logistic regression model: Communications in Statistics. Communications in Statistics</w:t>
      </w:r>
      <w:r>
        <w:rPr>
          <w:rFonts w:ascii="Times New Roman" w:hAnsi="Times New Roman" w:cs="Times New Roman"/>
          <w:sz w:val="24"/>
          <w:szCs w:val="24"/>
        </w:rPr>
        <w:t xml:space="preserve"> </w:t>
      </w:r>
      <w:r w:rsidRPr="00E24C35">
        <w:rPr>
          <w:rFonts w:ascii="Times New Roman" w:hAnsi="Times New Roman" w:cs="Times New Roman"/>
          <w:sz w:val="24"/>
          <w:szCs w:val="24"/>
        </w:rPr>
        <w:t xml:space="preserve">- Theory and Methods. 1980;9:1043-1069. </w:t>
      </w:r>
    </w:p>
    <w:p w14:paraId="1BB925BC"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11. Stacy EW. A generalization of the gamma distribution. The Annals of mathematical statistics. 1962;33:1187–92. </w:t>
      </w:r>
    </w:p>
    <w:p w14:paraId="28E96A8D"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12. Rosenkrantz WA. Introduction to probability and statistics for scientists and engineers. New York: McGraw-Hill; 1997. </w:t>
      </w:r>
    </w:p>
    <w:p w14:paraId="1DA9611E"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13. Markewitz D. Fossil fuel carbon emissions from silviculture: Impacts on net carbon sequestration in forests. Forest Ecology and Management. 2006;236:153–61. </w:t>
      </w:r>
    </w:p>
    <w:p w14:paraId="05FF70BA"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lastRenderedPageBreak/>
        <w:t xml:space="preserve">14. Dwivedi P, Alavalapati JR, Susaeta A, Stainback A. Impact of carbon value on the profitability of slash pine plantations in the southern United States: an integrated life cycle and Faustmann analysis. Canadian Journal of Forest Research. 2009;39:990–1000. </w:t>
      </w:r>
    </w:p>
    <w:p w14:paraId="33944538"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15. Oneil EE, Johnson LR, Lippke BR, McCarter JB, McDill ME, Roth PA, et al. Life-Cycle Impacts of Inland Northwest and Northeast/North Central Forest Resources. Wood and Fiber Science. 2010;42:29–51. </w:t>
      </w:r>
    </w:p>
    <w:p w14:paraId="5A305148" w14:textId="77777777" w:rsidR="00047776" w:rsidRPr="00E24C35" w:rsidRDefault="00047776" w:rsidP="005D1A9B">
      <w:pPr>
        <w:spacing w:after="120"/>
        <w:ind w:left="360" w:hanging="360"/>
        <w:jc w:val="both"/>
        <w:rPr>
          <w:rFonts w:ascii="Times New Roman" w:hAnsi="Times New Roman" w:cs="Times New Roman"/>
          <w:sz w:val="24"/>
          <w:szCs w:val="24"/>
        </w:rPr>
      </w:pPr>
      <w:r w:rsidRPr="00E24C35">
        <w:rPr>
          <w:rFonts w:ascii="Times New Roman" w:hAnsi="Times New Roman" w:cs="Times New Roman"/>
          <w:sz w:val="24"/>
          <w:szCs w:val="24"/>
        </w:rPr>
        <w:t xml:space="preserve">16. Kilpeläinen A, Alam A, Strandman H, Kellomäki S. Life cycle assessment tool for estimating net CO2exchange of forest production. GCB Bioenergy. 2011;3:461–71. </w:t>
      </w:r>
    </w:p>
    <w:p w14:paraId="0AAB0C21" w14:textId="77777777" w:rsidR="00047776" w:rsidRPr="00047776" w:rsidRDefault="00047776" w:rsidP="005D1A9B">
      <w:pPr>
        <w:spacing w:after="120" w:line="240" w:lineRule="auto"/>
        <w:ind w:left="360" w:hanging="360"/>
        <w:jc w:val="both"/>
        <w:rPr>
          <w:rFonts w:ascii="Times New Roman" w:hAnsi="Times New Roman" w:cs="Times New Roman"/>
          <w:sz w:val="24"/>
          <w:szCs w:val="24"/>
        </w:rPr>
      </w:pPr>
      <w:r w:rsidRPr="00E24C35">
        <w:rPr>
          <w:rFonts w:ascii="Times New Roman" w:hAnsi="Times New Roman" w:cs="Times New Roman"/>
          <w:sz w:val="24"/>
          <w:szCs w:val="24"/>
        </w:rPr>
        <w:t>17. Johnson L, Lippke B, Oneil E. Modeling Biomass Collection and Woods Processing Life-</w:t>
      </w:r>
      <w:r w:rsidRPr="00047776">
        <w:rPr>
          <w:rFonts w:ascii="Times New Roman" w:hAnsi="Times New Roman" w:cs="Times New Roman"/>
          <w:sz w:val="24"/>
          <w:szCs w:val="24"/>
        </w:rPr>
        <w:t xml:space="preserve">Cycle Analysis. Forest Product Journal. 2012;62:258–272. </w:t>
      </w:r>
    </w:p>
    <w:p w14:paraId="5EFD00B7" w14:textId="77777777"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 xml:space="preserve">18. Karjalainen T. Greenhouse gas emissions from the use of primary energy in forest operations and long-distance transportation of timber in Finland. Forestry. 1996;69:215–28. </w:t>
      </w:r>
    </w:p>
    <w:p w14:paraId="2B114532" w14:textId="77777777"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 xml:space="preserve">19. Lindholm E. Energy Use and Environmental Impact of Roundwood and Forest Fuel Production in Sweden. Energy. 2010. </w:t>
      </w:r>
    </w:p>
    <w:p w14:paraId="177ABC63" w14:textId="6D170D59"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20. Alam A, Kilpeläinen A, Kellomäki S. Impacts of initial stand density and thinning regimes on energy wood production and management-related CO</w:t>
      </w:r>
      <w:r w:rsidRPr="00047776">
        <w:rPr>
          <w:rFonts w:ascii="Times New Roman" w:hAnsi="Times New Roman" w:cs="Times New Roman"/>
          <w:sz w:val="24"/>
          <w:szCs w:val="24"/>
          <w:vertAlign w:val="subscript"/>
        </w:rPr>
        <w:t>2</w:t>
      </w:r>
      <w:r w:rsidRPr="00047776">
        <w:rPr>
          <w:rFonts w:ascii="Times New Roman" w:hAnsi="Times New Roman" w:cs="Times New Roman"/>
          <w:sz w:val="24"/>
          <w:szCs w:val="24"/>
        </w:rPr>
        <w:t xml:space="preserve"> emissions in boreal ecosystems. European Journal of Forest Research. 2012;131:655–67. </w:t>
      </w:r>
    </w:p>
    <w:p w14:paraId="5A99DA76" w14:textId="3806D086"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 xml:space="preserve">21. Whittaker C, Mortimer N, Murphy R, Matthews R. Energy and greenhouse gas balance of the use of forest residues for bioenergy production in the UK. Biomass and Bioenergy. Elsevier Ltd; 2011;35:4581–94. </w:t>
      </w:r>
    </w:p>
    <w:p w14:paraId="5B5EB90E" w14:textId="0E1828B5"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 xml:space="preserve">22. González-García S, Berg S, Feijoo G, Moreira MT. Environmental impacts of forest production and supply of pulpwood: Spanish and Swedish case studies. International Journal of Life Cycle Assessment. 2009;14:340–53. </w:t>
      </w:r>
    </w:p>
    <w:p w14:paraId="38A4ACD7" w14:textId="1B8F505E"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23. Karjalainen T, Kellomäki S, Pussinen A. Role of wood-based products in absorbing atmospheric carbon. Silva Fennica. 1994;28:67-80.</w:t>
      </w:r>
    </w:p>
    <w:p w14:paraId="20877479" w14:textId="0ED0065C"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 xml:space="preserve">24. Klvac R, Skoupy A. Characteristic fuel consumption and exhaust emissions in fully mechanized logging operations. Journal of Forest Research. 2009;14:328–34. </w:t>
      </w:r>
    </w:p>
    <w:p w14:paraId="078BFA8F" w14:textId="15770302"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 xml:space="preserve">25. Athanassiadis D, Lidestav G, Wästerlund I. Fuel, Hydraulic Oil and Lubricant Consumption in Swedish Mechanized Harvesting Operations, 1996. Journal of Forest Engineering. 1999;10:59–66. </w:t>
      </w:r>
    </w:p>
    <w:p w14:paraId="5C955501" w14:textId="54CBB127"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26. Saud P, Wang J, Lin W, Sharma BD, Hartley DS. A life cycle analysis of forest carbon balance and carbon emissions of timber harvesting in West Virginia. Wood and Fiber Science. 2013;45:250–67.</w:t>
      </w:r>
    </w:p>
    <w:p w14:paraId="67EAFD86" w14:textId="24963F5C"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 xml:space="preserve">27. Mcnamee P, Adams PWR, McManus MC, Dooley B, Darvell LI, Williams A, et al. An assessment of the torrefaction of North American pine and life cycle greenhouse gas emissions. Energy Conversion and Management. 2016;113:177–88 </w:t>
      </w:r>
    </w:p>
    <w:p w14:paraId="3D0CE8AE" w14:textId="72B03434"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28. Riffell S, Verschuyl J, Miller D, Wigley TB. Biofuel harvests, coarse woody debris, and biodiversity - a meta-analysis. Forest Ecol Manag. 2011;261:878–87.</w:t>
      </w:r>
    </w:p>
    <w:p w14:paraId="33471D60" w14:textId="7678BA92"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lastRenderedPageBreak/>
        <w:t xml:space="preserve">29. Langholtz MH, Stokes BJ, Eaton LM. 2016 Billion-Ton Report: Advancing Domestic Resources for a Thriving Bioeconomy, Volume 1: Economic Availability of Feedstocks. Oak Ridge National Laboratory, Oak Ridge, TN, USA; 2016. Available from: https://www.energy.gov/sites/prod/files/2016/12/f34/2016_billion_ton_report_12.2.16.pdf. Accessed 18 May 2020. </w:t>
      </w:r>
    </w:p>
    <w:p w14:paraId="4A3EAE43" w14:textId="430BAF7D"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30. Fritts SR, Moorman CE, Hazel DW, Jackson BD. Biomass Harvesting Guidelines affect downed woody debris retention. Biomass and Bioenergy. 2014;70:382–91</w:t>
      </w:r>
    </w:p>
    <w:p w14:paraId="61B017A1" w14:textId="0794B8C8"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 xml:space="preserve">31. Jenkins JC, Chojnacky DC, Heath LS, Birdsey RA. National-Scale Biomass Estimators for United States Tree Species. Forest Sci. 2003;49:12–35. </w:t>
      </w:r>
    </w:p>
    <w:p w14:paraId="63D203AE" w14:textId="1CCA0555"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32. Lehmann J, Joseph S, editors. Biochar for environmental management: science, technology and implementation. New York, NY: Routledge; 2015.</w:t>
      </w:r>
    </w:p>
    <w:p w14:paraId="0AE42300" w14:textId="0BA52953" w:rsidR="00047776" w:rsidRPr="00047776" w:rsidRDefault="00047776" w:rsidP="005D1A9B">
      <w:pPr>
        <w:spacing w:after="120" w:line="240" w:lineRule="auto"/>
        <w:ind w:left="360" w:hanging="360"/>
        <w:jc w:val="both"/>
        <w:rPr>
          <w:rFonts w:ascii="Times New Roman" w:hAnsi="Times New Roman" w:cs="Times New Roman"/>
          <w:sz w:val="24"/>
          <w:szCs w:val="24"/>
        </w:rPr>
      </w:pPr>
      <w:r w:rsidRPr="00047776">
        <w:rPr>
          <w:rFonts w:ascii="Times New Roman" w:hAnsi="Times New Roman" w:cs="Times New Roman"/>
          <w:sz w:val="24"/>
          <w:szCs w:val="24"/>
        </w:rPr>
        <w:t>33. IPCC. 2019 Refinement to the 2006 IPCC Guidelines for National Greenhouse Gas Inventories. Buendia EC, Tanabe K, Kranjc A, Baasansuren J, Fukuda M, Ngarize S, et al., editors. Switzerland: IPCC; 2019. Available from:</w:t>
      </w:r>
      <w:r w:rsidRPr="00047776">
        <w:rPr>
          <w:rFonts w:ascii="Times New Roman" w:hAnsi="Times New Roman" w:cs="Times New Roman"/>
        </w:rPr>
        <w:t xml:space="preserve"> </w:t>
      </w:r>
      <w:r w:rsidRPr="00047776">
        <w:rPr>
          <w:rFonts w:ascii="Times New Roman" w:hAnsi="Times New Roman" w:cs="Times New Roman"/>
          <w:sz w:val="24"/>
          <w:szCs w:val="24"/>
        </w:rPr>
        <w:t>https://www.ipcc.ch/site/assets/uploads/2019/12/19R_V0_01_Overview.pdf. Accessed 18 Jan 2021.</w:t>
      </w:r>
    </w:p>
    <w:p w14:paraId="38747823" w14:textId="48FA5C74" w:rsidR="00047776" w:rsidRDefault="00420053" w:rsidP="005D1A9B">
      <w:pPr>
        <w:ind w:left="360" w:hanging="360"/>
        <w:jc w:val="both"/>
        <w:rPr>
          <w:rFonts w:ascii="Times New Roman" w:hAnsi="Times New Roman" w:cs="Times New Roman"/>
          <w:sz w:val="24"/>
          <w:szCs w:val="24"/>
        </w:rPr>
      </w:pPr>
      <w:r>
        <w:rPr>
          <w:rFonts w:ascii="Times New Roman" w:hAnsi="Times New Roman" w:cs="Times New Roman"/>
          <w:sz w:val="24"/>
          <w:szCs w:val="24"/>
        </w:rPr>
        <w:t xml:space="preserve"> </w:t>
      </w:r>
    </w:p>
    <w:sectPr w:rsidR="00047776" w:rsidSect="00E336D8">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1E3846" w14:textId="77777777" w:rsidR="00D97653" w:rsidRDefault="00D97653" w:rsidP="00C641EB">
      <w:pPr>
        <w:spacing w:after="0" w:line="240" w:lineRule="auto"/>
      </w:pPr>
      <w:r>
        <w:separator/>
      </w:r>
    </w:p>
  </w:endnote>
  <w:endnote w:type="continuationSeparator" w:id="0">
    <w:p w14:paraId="0CCC1F7F" w14:textId="77777777" w:rsidR="00D97653" w:rsidRDefault="00D97653" w:rsidP="00C64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26E746" w14:textId="5061423A" w:rsidR="00D95F9F" w:rsidRDefault="00D95F9F">
    <w:pPr>
      <w:pStyle w:val="Footer"/>
      <w:jc w:val="center"/>
    </w:pPr>
    <w:r>
      <w:fldChar w:fldCharType="begin"/>
    </w:r>
    <w:r>
      <w:instrText xml:space="preserve"> PAGE   \* MERGEFORMAT </w:instrText>
    </w:r>
    <w:r>
      <w:fldChar w:fldCharType="separate"/>
    </w:r>
    <w:r>
      <w:rPr>
        <w:noProof/>
      </w:rPr>
      <w:t>8</w:t>
    </w:r>
    <w:r>
      <w:rPr>
        <w:noProof/>
      </w:rPr>
      <w:fldChar w:fldCharType="end"/>
    </w:r>
  </w:p>
  <w:p w14:paraId="3A834F4F" w14:textId="77777777" w:rsidR="00D95F9F" w:rsidRDefault="00D95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A250A5" w14:textId="77777777" w:rsidR="00D97653" w:rsidRDefault="00D97653" w:rsidP="00C641EB">
      <w:pPr>
        <w:spacing w:after="0" w:line="240" w:lineRule="auto"/>
      </w:pPr>
      <w:r>
        <w:separator/>
      </w:r>
    </w:p>
  </w:footnote>
  <w:footnote w:type="continuationSeparator" w:id="0">
    <w:p w14:paraId="76E7CF8D" w14:textId="77777777" w:rsidR="00D97653" w:rsidRDefault="00D97653" w:rsidP="00C641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Q3MTcxM7Q0NjQzMzVR0lEKTi0uzszPAykwrQUAcYTDyCwAAAA="/>
  </w:docVars>
  <w:rsids>
    <w:rsidRoot w:val="00B97160"/>
    <w:rsid w:val="000017FC"/>
    <w:rsid w:val="00007F79"/>
    <w:rsid w:val="000227DA"/>
    <w:rsid w:val="00027E8D"/>
    <w:rsid w:val="00047776"/>
    <w:rsid w:val="0008029B"/>
    <w:rsid w:val="000823E1"/>
    <w:rsid w:val="00096742"/>
    <w:rsid w:val="00097C6D"/>
    <w:rsid w:val="000B56DE"/>
    <w:rsid w:val="000C142D"/>
    <w:rsid w:val="000D1F0A"/>
    <w:rsid w:val="000E1EDC"/>
    <w:rsid w:val="000E41BD"/>
    <w:rsid w:val="000E6FDA"/>
    <w:rsid w:val="00105C48"/>
    <w:rsid w:val="00113795"/>
    <w:rsid w:val="00124817"/>
    <w:rsid w:val="00125AEB"/>
    <w:rsid w:val="00130FAA"/>
    <w:rsid w:val="00131C6B"/>
    <w:rsid w:val="00135219"/>
    <w:rsid w:val="00136105"/>
    <w:rsid w:val="00141045"/>
    <w:rsid w:val="001450B1"/>
    <w:rsid w:val="00147D8C"/>
    <w:rsid w:val="00152174"/>
    <w:rsid w:val="00166689"/>
    <w:rsid w:val="001732E2"/>
    <w:rsid w:val="00176189"/>
    <w:rsid w:val="00187495"/>
    <w:rsid w:val="001A1673"/>
    <w:rsid w:val="001A6650"/>
    <w:rsid w:val="001B756D"/>
    <w:rsid w:val="001B7C9E"/>
    <w:rsid w:val="001C19C1"/>
    <w:rsid w:val="001C24CC"/>
    <w:rsid w:val="001C6B10"/>
    <w:rsid w:val="001C7C7B"/>
    <w:rsid w:val="001D1DE2"/>
    <w:rsid w:val="001F0C54"/>
    <w:rsid w:val="00201B51"/>
    <w:rsid w:val="00227FFE"/>
    <w:rsid w:val="00235540"/>
    <w:rsid w:val="00237A7E"/>
    <w:rsid w:val="00240F73"/>
    <w:rsid w:val="00252893"/>
    <w:rsid w:val="0026355C"/>
    <w:rsid w:val="00270765"/>
    <w:rsid w:val="00275613"/>
    <w:rsid w:val="0028470F"/>
    <w:rsid w:val="00286BC5"/>
    <w:rsid w:val="0029644D"/>
    <w:rsid w:val="002A554B"/>
    <w:rsid w:val="002A71CC"/>
    <w:rsid w:val="002C0ED9"/>
    <w:rsid w:val="002C2A8C"/>
    <w:rsid w:val="002C4F35"/>
    <w:rsid w:val="002C7DFA"/>
    <w:rsid w:val="002D613C"/>
    <w:rsid w:val="002E798C"/>
    <w:rsid w:val="00303C2F"/>
    <w:rsid w:val="00305FA4"/>
    <w:rsid w:val="00341A05"/>
    <w:rsid w:val="00354DBD"/>
    <w:rsid w:val="00355265"/>
    <w:rsid w:val="00360C48"/>
    <w:rsid w:val="0036312E"/>
    <w:rsid w:val="003835FF"/>
    <w:rsid w:val="00383EB0"/>
    <w:rsid w:val="00387EF6"/>
    <w:rsid w:val="00397EB9"/>
    <w:rsid w:val="003A115B"/>
    <w:rsid w:val="003A6864"/>
    <w:rsid w:val="003C0612"/>
    <w:rsid w:val="003C6047"/>
    <w:rsid w:val="003D1124"/>
    <w:rsid w:val="003E1D00"/>
    <w:rsid w:val="003E48D1"/>
    <w:rsid w:val="003F1285"/>
    <w:rsid w:val="003F691C"/>
    <w:rsid w:val="00413976"/>
    <w:rsid w:val="0041705B"/>
    <w:rsid w:val="00420053"/>
    <w:rsid w:val="00450ED4"/>
    <w:rsid w:val="00466BC8"/>
    <w:rsid w:val="00467549"/>
    <w:rsid w:val="00476460"/>
    <w:rsid w:val="00480510"/>
    <w:rsid w:val="00482C94"/>
    <w:rsid w:val="00483B19"/>
    <w:rsid w:val="0048447B"/>
    <w:rsid w:val="004879CE"/>
    <w:rsid w:val="0049049C"/>
    <w:rsid w:val="00494A23"/>
    <w:rsid w:val="004A0B7B"/>
    <w:rsid w:val="004A6FB5"/>
    <w:rsid w:val="004B2449"/>
    <w:rsid w:val="004B624A"/>
    <w:rsid w:val="004B69EF"/>
    <w:rsid w:val="004B7E84"/>
    <w:rsid w:val="004C2097"/>
    <w:rsid w:val="004C4E41"/>
    <w:rsid w:val="004C62ED"/>
    <w:rsid w:val="004C7C11"/>
    <w:rsid w:val="004D158C"/>
    <w:rsid w:val="004D5AF1"/>
    <w:rsid w:val="004E3DCB"/>
    <w:rsid w:val="004F4BE2"/>
    <w:rsid w:val="00500B40"/>
    <w:rsid w:val="00502D08"/>
    <w:rsid w:val="00510260"/>
    <w:rsid w:val="0051639F"/>
    <w:rsid w:val="00523BF5"/>
    <w:rsid w:val="0054332D"/>
    <w:rsid w:val="00546D60"/>
    <w:rsid w:val="005611DF"/>
    <w:rsid w:val="005620F3"/>
    <w:rsid w:val="005704B5"/>
    <w:rsid w:val="00583EE1"/>
    <w:rsid w:val="00586414"/>
    <w:rsid w:val="0058791E"/>
    <w:rsid w:val="00594563"/>
    <w:rsid w:val="005A6930"/>
    <w:rsid w:val="005B2084"/>
    <w:rsid w:val="005B230F"/>
    <w:rsid w:val="005B63BA"/>
    <w:rsid w:val="005C08FE"/>
    <w:rsid w:val="005C1C5D"/>
    <w:rsid w:val="005C5357"/>
    <w:rsid w:val="005C579D"/>
    <w:rsid w:val="005D0343"/>
    <w:rsid w:val="005D1A9B"/>
    <w:rsid w:val="005D23D5"/>
    <w:rsid w:val="005D74EA"/>
    <w:rsid w:val="005E1B37"/>
    <w:rsid w:val="00617B91"/>
    <w:rsid w:val="006275EF"/>
    <w:rsid w:val="00630FC9"/>
    <w:rsid w:val="00640846"/>
    <w:rsid w:val="00643A08"/>
    <w:rsid w:val="00667908"/>
    <w:rsid w:val="00681E3A"/>
    <w:rsid w:val="0068231F"/>
    <w:rsid w:val="006A215B"/>
    <w:rsid w:val="006A4CDF"/>
    <w:rsid w:val="006C6CF1"/>
    <w:rsid w:val="006D11FA"/>
    <w:rsid w:val="006F2315"/>
    <w:rsid w:val="006F5481"/>
    <w:rsid w:val="00711ABC"/>
    <w:rsid w:val="0073351D"/>
    <w:rsid w:val="00735D3A"/>
    <w:rsid w:val="007478A4"/>
    <w:rsid w:val="00755F3A"/>
    <w:rsid w:val="00772C96"/>
    <w:rsid w:val="0077506F"/>
    <w:rsid w:val="00787632"/>
    <w:rsid w:val="007936A9"/>
    <w:rsid w:val="007B1757"/>
    <w:rsid w:val="007C4EB0"/>
    <w:rsid w:val="007C4FE1"/>
    <w:rsid w:val="007E1FAA"/>
    <w:rsid w:val="007E596A"/>
    <w:rsid w:val="007F0E98"/>
    <w:rsid w:val="007F7825"/>
    <w:rsid w:val="0080130E"/>
    <w:rsid w:val="00803184"/>
    <w:rsid w:val="00803AF2"/>
    <w:rsid w:val="0080453F"/>
    <w:rsid w:val="0080626B"/>
    <w:rsid w:val="00817B2A"/>
    <w:rsid w:val="00831DE6"/>
    <w:rsid w:val="00833464"/>
    <w:rsid w:val="0083579E"/>
    <w:rsid w:val="00840CE4"/>
    <w:rsid w:val="00844F5B"/>
    <w:rsid w:val="008506A5"/>
    <w:rsid w:val="00850CCD"/>
    <w:rsid w:val="00854F37"/>
    <w:rsid w:val="00871FD5"/>
    <w:rsid w:val="0088017C"/>
    <w:rsid w:val="008801E9"/>
    <w:rsid w:val="008825C0"/>
    <w:rsid w:val="00893D5D"/>
    <w:rsid w:val="00894A63"/>
    <w:rsid w:val="008967B4"/>
    <w:rsid w:val="008A568F"/>
    <w:rsid w:val="008C158F"/>
    <w:rsid w:val="008C7CDD"/>
    <w:rsid w:val="008D0E37"/>
    <w:rsid w:val="008E3C4E"/>
    <w:rsid w:val="008E4576"/>
    <w:rsid w:val="008F0A23"/>
    <w:rsid w:val="008F4363"/>
    <w:rsid w:val="009033B9"/>
    <w:rsid w:val="00905AFF"/>
    <w:rsid w:val="00907FCD"/>
    <w:rsid w:val="009120A1"/>
    <w:rsid w:val="0092269C"/>
    <w:rsid w:val="00931CA2"/>
    <w:rsid w:val="00951639"/>
    <w:rsid w:val="00955A25"/>
    <w:rsid w:val="0096348D"/>
    <w:rsid w:val="00973E86"/>
    <w:rsid w:val="00986FB1"/>
    <w:rsid w:val="009871D9"/>
    <w:rsid w:val="00991353"/>
    <w:rsid w:val="009A027B"/>
    <w:rsid w:val="009A5412"/>
    <w:rsid w:val="009B1E68"/>
    <w:rsid w:val="009C1089"/>
    <w:rsid w:val="009C1179"/>
    <w:rsid w:val="009D05F1"/>
    <w:rsid w:val="009D47B2"/>
    <w:rsid w:val="009D6D7C"/>
    <w:rsid w:val="009F457E"/>
    <w:rsid w:val="00A01DD6"/>
    <w:rsid w:val="00A04496"/>
    <w:rsid w:val="00A044CC"/>
    <w:rsid w:val="00A05F3D"/>
    <w:rsid w:val="00A367E5"/>
    <w:rsid w:val="00A40A45"/>
    <w:rsid w:val="00A41075"/>
    <w:rsid w:val="00A44E54"/>
    <w:rsid w:val="00A52487"/>
    <w:rsid w:val="00A56E65"/>
    <w:rsid w:val="00A63CA5"/>
    <w:rsid w:val="00A74E31"/>
    <w:rsid w:val="00A7517E"/>
    <w:rsid w:val="00A82649"/>
    <w:rsid w:val="00A860AF"/>
    <w:rsid w:val="00A974D0"/>
    <w:rsid w:val="00AA1608"/>
    <w:rsid w:val="00AB43DF"/>
    <w:rsid w:val="00AC41E2"/>
    <w:rsid w:val="00AD1468"/>
    <w:rsid w:val="00AD1543"/>
    <w:rsid w:val="00AE4D63"/>
    <w:rsid w:val="00AE6DB7"/>
    <w:rsid w:val="00AF08EA"/>
    <w:rsid w:val="00AF0D11"/>
    <w:rsid w:val="00B048FC"/>
    <w:rsid w:val="00B128F6"/>
    <w:rsid w:val="00B1680A"/>
    <w:rsid w:val="00B20608"/>
    <w:rsid w:val="00B23F3B"/>
    <w:rsid w:val="00B256F3"/>
    <w:rsid w:val="00B32235"/>
    <w:rsid w:val="00B35FB3"/>
    <w:rsid w:val="00B37392"/>
    <w:rsid w:val="00B37BE7"/>
    <w:rsid w:val="00B37CF3"/>
    <w:rsid w:val="00B51F3F"/>
    <w:rsid w:val="00B63DC0"/>
    <w:rsid w:val="00B74F79"/>
    <w:rsid w:val="00B7544E"/>
    <w:rsid w:val="00B76424"/>
    <w:rsid w:val="00B93617"/>
    <w:rsid w:val="00B952D9"/>
    <w:rsid w:val="00B964B0"/>
    <w:rsid w:val="00B97160"/>
    <w:rsid w:val="00BA18F3"/>
    <w:rsid w:val="00BA4FB9"/>
    <w:rsid w:val="00BA5953"/>
    <w:rsid w:val="00BB688F"/>
    <w:rsid w:val="00BD0B57"/>
    <w:rsid w:val="00BE01B0"/>
    <w:rsid w:val="00BE20D6"/>
    <w:rsid w:val="00BE2DD0"/>
    <w:rsid w:val="00BF3044"/>
    <w:rsid w:val="00BF3A22"/>
    <w:rsid w:val="00C03888"/>
    <w:rsid w:val="00C055BB"/>
    <w:rsid w:val="00C105B9"/>
    <w:rsid w:val="00C164A4"/>
    <w:rsid w:val="00C22D9D"/>
    <w:rsid w:val="00C2333E"/>
    <w:rsid w:val="00C238C0"/>
    <w:rsid w:val="00C23A40"/>
    <w:rsid w:val="00C250A6"/>
    <w:rsid w:val="00C258B8"/>
    <w:rsid w:val="00C27A86"/>
    <w:rsid w:val="00C30514"/>
    <w:rsid w:val="00C332E8"/>
    <w:rsid w:val="00C504AF"/>
    <w:rsid w:val="00C51A79"/>
    <w:rsid w:val="00C6031F"/>
    <w:rsid w:val="00C622D8"/>
    <w:rsid w:val="00C63C28"/>
    <w:rsid w:val="00C641EB"/>
    <w:rsid w:val="00C65B95"/>
    <w:rsid w:val="00C6755F"/>
    <w:rsid w:val="00C91521"/>
    <w:rsid w:val="00C93E3A"/>
    <w:rsid w:val="00CC457E"/>
    <w:rsid w:val="00CC4C62"/>
    <w:rsid w:val="00CD2126"/>
    <w:rsid w:val="00CD5E67"/>
    <w:rsid w:val="00CE51B8"/>
    <w:rsid w:val="00CE596C"/>
    <w:rsid w:val="00CF0F5A"/>
    <w:rsid w:val="00CF4E07"/>
    <w:rsid w:val="00CF51F4"/>
    <w:rsid w:val="00D10D97"/>
    <w:rsid w:val="00D13CBD"/>
    <w:rsid w:val="00D20802"/>
    <w:rsid w:val="00D21843"/>
    <w:rsid w:val="00D3257C"/>
    <w:rsid w:val="00D34E5B"/>
    <w:rsid w:val="00D6409C"/>
    <w:rsid w:val="00D66335"/>
    <w:rsid w:val="00D74A3D"/>
    <w:rsid w:val="00D77059"/>
    <w:rsid w:val="00D81BB8"/>
    <w:rsid w:val="00D850F6"/>
    <w:rsid w:val="00D87C69"/>
    <w:rsid w:val="00D9258B"/>
    <w:rsid w:val="00D94625"/>
    <w:rsid w:val="00D95F4F"/>
    <w:rsid w:val="00D95F9F"/>
    <w:rsid w:val="00D97653"/>
    <w:rsid w:val="00DA0710"/>
    <w:rsid w:val="00DA78C4"/>
    <w:rsid w:val="00DB32CB"/>
    <w:rsid w:val="00DB4749"/>
    <w:rsid w:val="00DC15AB"/>
    <w:rsid w:val="00DD5A16"/>
    <w:rsid w:val="00DD6664"/>
    <w:rsid w:val="00DE34FD"/>
    <w:rsid w:val="00DE7D2D"/>
    <w:rsid w:val="00DF5630"/>
    <w:rsid w:val="00DF6A42"/>
    <w:rsid w:val="00E01204"/>
    <w:rsid w:val="00E14C46"/>
    <w:rsid w:val="00E17BCD"/>
    <w:rsid w:val="00E30789"/>
    <w:rsid w:val="00E336D8"/>
    <w:rsid w:val="00E35334"/>
    <w:rsid w:val="00E5275A"/>
    <w:rsid w:val="00E54F85"/>
    <w:rsid w:val="00E5598D"/>
    <w:rsid w:val="00E55D9F"/>
    <w:rsid w:val="00E72F65"/>
    <w:rsid w:val="00E8519E"/>
    <w:rsid w:val="00EC1328"/>
    <w:rsid w:val="00EC3FF6"/>
    <w:rsid w:val="00ED1F1B"/>
    <w:rsid w:val="00EE07D6"/>
    <w:rsid w:val="00EF67E8"/>
    <w:rsid w:val="00EF6B5F"/>
    <w:rsid w:val="00F153C1"/>
    <w:rsid w:val="00F61CB6"/>
    <w:rsid w:val="00F650E5"/>
    <w:rsid w:val="00F665F0"/>
    <w:rsid w:val="00F70B6D"/>
    <w:rsid w:val="00F75307"/>
    <w:rsid w:val="00F8275A"/>
    <w:rsid w:val="00F83685"/>
    <w:rsid w:val="00F95275"/>
    <w:rsid w:val="00F974B7"/>
    <w:rsid w:val="00FA10E1"/>
    <w:rsid w:val="00FA4079"/>
    <w:rsid w:val="00FA7F4F"/>
    <w:rsid w:val="00FD1768"/>
    <w:rsid w:val="00FE1557"/>
    <w:rsid w:val="00FE6CEA"/>
    <w:rsid w:val="00FF3F2D"/>
    <w:rsid w:val="00FF56C0"/>
    <w:rsid w:val="00FF6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98E63"/>
  <w15:chartTrackingRefBased/>
  <w15:docId w15:val="{2DA5D042-A96E-421C-B662-26E38DB5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DengXian"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CD5E67"/>
    <w:pPr>
      <w:keepNext/>
      <w:keepLines/>
      <w:spacing w:before="240" w:after="0"/>
      <w:outlineLvl w:val="0"/>
    </w:pPr>
    <w:rPr>
      <w:rFonts w:ascii="Calibri Light" w:eastAsia="DengXian Light" w:hAnsi="Calibri Light" w:cs="Times New Roman"/>
      <w:color w:val="2F5496"/>
      <w:sz w:val="32"/>
      <w:szCs w:val="32"/>
    </w:rPr>
  </w:style>
  <w:style w:type="paragraph" w:styleId="Heading2">
    <w:name w:val="heading 2"/>
    <w:basedOn w:val="Normal"/>
    <w:next w:val="Normal"/>
    <w:link w:val="Heading2Char"/>
    <w:uiPriority w:val="9"/>
    <w:unhideWhenUsed/>
    <w:qFormat/>
    <w:rsid w:val="00355265"/>
    <w:pPr>
      <w:keepNext/>
      <w:keepLines/>
      <w:spacing w:before="40" w:after="0"/>
      <w:outlineLvl w:val="1"/>
    </w:pPr>
    <w:rPr>
      <w:rFonts w:ascii="Calibri Light" w:eastAsia="DengXian Light" w:hAnsi="Calibri Light" w:cs="Times New Roman"/>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1EB"/>
  </w:style>
  <w:style w:type="paragraph" w:styleId="Footer">
    <w:name w:val="footer"/>
    <w:basedOn w:val="Normal"/>
    <w:link w:val="FooterChar"/>
    <w:uiPriority w:val="99"/>
    <w:unhideWhenUsed/>
    <w:rsid w:val="00C64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1EB"/>
  </w:style>
  <w:style w:type="paragraph" w:styleId="ListParagraph">
    <w:name w:val="List Paragraph"/>
    <w:basedOn w:val="Normal"/>
    <w:uiPriority w:val="34"/>
    <w:qFormat/>
    <w:rsid w:val="00C641EB"/>
    <w:pPr>
      <w:ind w:left="720"/>
      <w:contextualSpacing/>
    </w:pPr>
  </w:style>
  <w:style w:type="character" w:customStyle="1" w:styleId="Heading1Char">
    <w:name w:val="Heading 1 Char"/>
    <w:link w:val="Heading1"/>
    <w:uiPriority w:val="9"/>
    <w:rsid w:val="00CD5E67"/>
    <w:rPr>
      <w:rFonts w:ascii="Calibri Light" w:eastAsia="DengXian Light" w:hAnsi="Calibri Light" w:cs="Times New Roman"/>
      <w:color w:val="2F5496"/>
      <w:sz w:val="32"/>
      <w:szCs w:val="32"/>
    </w:rPr>
  </w:style>
  <w:style w:type="paragraph" w:styleId="TOCHeading">
    <w:name w:val="TOC Heading"/>
    <w:basedOn w:val="Heading1"/>
    <w:next w:val="Normal"/>
    <w:uiPriority w:val="39"/>
    <w:unhideWhenUsed/>
    <w:qFormat/>
    <w:rsid w:val="00CD5E67"/>
    <w:pPr>
      <w:outlineLvl w:val="9"/>
    </w:pPr>
    <w:rPr>
      <w:lang w:eastAsia="en-US"/>
    </w:rPr>
  </w:style>
  <w:style w:type="paragraph" w:customStyle="1" w:styleId="Head1">
    <w:name w:val="Head 1"/>
    <w:basedOn w:val="Normal"/>
    <w:autoRedefine/>
    <w:rsid w:val="00CD5E67"/>
    <w:pPr>
      <w:spacing w:after="0" w:line="240" w:lineRule="auto"/>
    </w:pPr>
    <w:rPr>
      <w:rFonts w:ascii="Times New Roman" w:eastAsia="MS Mincho" w:hAnsi="Times New Roman" w:cs="Times New Roman"/>
      <w:b/>
      <w:sz w:val="24"/>
      <w:szCs w:val="24"/>
      <w:lang w:eastAsia="ja-JP"/>
    </w:rPr>
  </w:style>
  <w:style w:type="paragraph" w:customStyle="1" w:styleId="TableHead">
    <w:name w:val="TableHead"/>
    <w:basedOn w:val="Normal"/>
    <w:rsid w:val="009D05F1"/>
    <w:pPr>
      <w:pBdr>
        <w:top w:val="single" w:sz="4" w:space="4" w:color="FFFFFF"/>
        <w:left w:val="single" w:sz="4" w:space="4" w:color="FFFFFF"/>
        <w:bottom w:val="single" w:sz="4" w:space="4" w:color="FFFFFF"/>
        <w:right w:val="single" w:sz="4" w:space="4" w:color="FFFFFF"/>
      </w:pBdr>
      <w:spacing w:after="0" w:line="190" w:lineRule="exact"/>
      <w:jc w:val="both"/>
    </w:pPr>
    <w:rPr>
      <w:rFonts w:ascii="Arial" w:eastAsia="MS Mincho" w:hAnsi="Arial" w:cs="Times New Roman"/>
      <w:sz w:val="16"/>
      <w:szCs w:val="14"/>
      <w:lang w:val="en-GB" w:eastAsia="ja-JP"/>
    </w:rPr>
  </w:style>
  <w:style w:type="paragraph" w:customStyle="1" w:styleId="TableBody">
    <w:name w:val="TableBody"/>
    <w:basedOn w:val="TableHead"/>
    <w:rsid w:val="009D05F1"/>
  </w:style>
  <w:style w:type="paragraph" w:customStyle="1" w:styleId="Legend">
    <w:name w:val="Legend"/>
    <w:basedOn w:val="Normal"/>
    <w:rsid w:val="009D05F1"/>
    <w:pPr>
      <w:spacing w:after="0" w:line="240" w:lineRule="auto"/>
    </w:pPr>
    <w:rPr>
      <w:rFonts w:ascii="Times New Roman" w:eastAsia="MS Mincho" w:hAnsi="Times New Roman" w:cs="Times New Roman"/>
      <w:sz w:val="24"/>
      <w:szCs w:val="24"/>
      <w:lang w:eastAsia="ja-JP"/>
    </w:rPr>
  </w:style>
  <w:style w:type="character" w:customStyle="1" w:styleId="Heading2Char">
    <w:name w:val="Heading 2 Char"/>
    <w:link w:val="Heading2"/>
    <w:uiPriority w:val="9"/>
    <w:rsid w:val="00355265"/>
    <w:rPr>
      <w:rFonts w:ascii="Calibri Light" w:eastAsia="DengXian Light" w:hAnsi="Calibri Light" w:cs="Times New Roman"/>
      <w:color w:val="2F5496"/>
      <w:sz w:val="26"/>
      <w:szCs w:val="26"/>
    </w:rPr>
  </w:style>
  <w:style w:type="paragraph" w:styleId="TOC1">
    <w:name w:val="toc 1"/>
    <w:basedOn w:val="Normal"/>
    <w:next w:val="Normal"/>
    <w:autoRedefine/>
    <w:uiPriority w:val="39"/>
    <w:unhideWhenUsed/>
    <w:rsid w:val="00355265"/>
    <w:pPr>
      <w:spacing w:after="100"/>
    </w:pPr>
  </w:style>
  <w:style w:type="character" w:styleId="Hyperlink">
    <w:name w:val="Hyperlink"/>
    <w:uiPriority w:val="99"/>
    <w:unhideWhenUsed/>
    <w:rsid w:val="00355265"/>
    <w:rPr>
      <w:color w:val="0563C1"/>
      <w:u w:val="single"/>
    </w:rPr>
  </w:style>
  <w:style w:type="character" w:styleId="PlaceholderText">
    <w:name w:val="Placeholder Text"/>
    <w:uiPriority w:val="99"/>
    <w:semiHidden/>
    <w:rsid w:val="00E8519E"/>
    <w:rPr>
      <w:color w:val="808080"/>
    </w:rPr>
  </w:style>
  <w:style w:type="table" w:styleId="TableGrid">
    <w:name w:val="Table Grid"/>
    <w:basedOn w:val="TableNormal"/>
    <w:uiPriority w:val="39"/>
    <w:rsid w:val="004A6F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2C2A8C"/>
    <w:pPr>
      <w:spacing w:after="100"/>
      <w:ind w:left="220"/>
    </w:pPr>
  </w:style>
  <w:style w:type="character" w:styleId="CommentReference">
    <w:name w:val="annotation reference"/>
    <w:uiPriority w:val="99"/>
    <w:semiHidden/>
    <w:unhideWhenUsed/>
    <w:rsid w:val="00B20608"/>
    <w:rPr>
      <w:sz w:val="16"/>
      <w:szCs w:val="16"/>
    </w:rPr>
  </w:style>
  <w:style w:type="paragraph" w:styleId="CommentText">
    <w:name w:val="annotation text"/>
    <w:basedOn w:val="Normal"/>
    <w:link w:val="CommentTextChar"/>
    <w:uiPriority w:val="99"/>
    <w:semiHidden/>
    <w:unhideWhenUsed/>
    <w:rsid w:val="00B20608"/>
    <w:pPr>
      <w:spacing w:line="240" w:lineRule="auto"/>
    </w:pPr>
    <w:rPr>
      <w:sz w:val="20"/>
      <w:szCs w:val="20"/>
    </w:rPr>
  </w:style>
  <w:style w:type="character" w:customStyle="1" w:styleId="CommentTextChar">
    <w:name w:val="Comment Text Char"/>
    <w:link w:val="CommentText"/>
    <w:uiPriority w:val="99"/>
    <w:semiHidden/>
    <w:rsid w:val="00B20608"/>
    <w:rPr>
      <w:sz w:val="20"/>
      <w:szCs w:val="20"/>
    </w:rPr>
  </w:style>
  <w:style w:type="paragraph" w:styleId="CommentSubject">
    <w:name w:val="annotation subject"/>
    <w:basedOn w:val="CommentText"/>
    <w:next w:val="CommentText"/>
    <w:link w:val="CommentSubjectChar"/>
    <w:uiPriority w:val="99"/>
    <w:semiHidden/>
    <w:unhideWhenUsed/>
    <w:rsid w:val="00B20608"/>
    <w:rPr>
      <w:b/>
      <w:bCs/>
    </w:rPr>
  </w:style>
  <w:style w:type="character" w:customStyle="1" w:styleId="CommentSubjectChar">
    <w:name w:val="Comment Subject Char"/>
    <w:link w:val="CommentSubject"/>
    <w:uiPriority w:val="99"/>
    <w:semiHidden/>
    <w:rsid w:val="00B20608"/>
    <w:rPr>
      <w:b/>
      <w:bCs/>
      <w:sz w:val="20"/>
      <w:szCs w:val="20"/>
    </w:rPr>
  </w:style>
  <w:style w:type="paragraph" w:styleId="BalloonText">
    <w:name w:val="Balloon Text"/>
    <w:basedOn w:val="Normal"/>
    <w:link w:val="BalloonTextChar"/>
    <w:uiPriority w:val="99"/>
    <w:semiHidden/>
    <w:unhideWhenUsed/>
    <w:rsid w:val="00B2060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206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959848">
      <w:bodyDiv w:val="1"/>
      <w:marLeft w:val="0"/>
      <w:marRight w:val="0"/>
      <w:marTop w:val="0"/>
      <w:marBottom w:val="0"/>
      <w:divBdr>
        <w:top w:val="none" w:sz="0" w:space="0" w:color="auto"/>
        <w:left w:val="none" w:sz="0" w:space="0" w:color="auto"/>
        <w:bottom w:val="none" w:sz="0" w:space="0" w:color="auto"/>
        <w:right w:val="none" w:sz="0" w:space="0" w:color="auto"/>
      </w:divBdr>
    </w:div>
    <w:div w:id="1012955203">
      <w:bodyDiv w:val="1"/>
      <w:marLeft w:val="0"/>
      <w:marRight w:val="0"/>
      <w:marTop w:val="0"/>
      <w:marBottom w:val="0"/>
      <w:divBdr>
        <w:top w:val="none" w:sz="0" w:space="0" w:color="auto"/>
        <w:left w:val="none" w:sz="0" w:space="0" w:color="auto"/>
        <w:bottom w:val="none" w:sz="0" w:space="0" w:color="auto"/>
        <w:right w:val="none" w:sz="0" w:space="0" w:color="auto"/>
      </w:divBdr>
    </w:div>
    <w:div w:id="122047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A843C-395D-45C3-BD81-D806549DC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14</Pages>
  <Words>16582</Words>
  <Characters>94524</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110885</CharactersWithSpaces>
  <SharedDoc>false</SharedDoc>
  <HLinks>
    <vt:vector size="54" baseType="variant">
      <vt:variant>
        <vt:i4>1507383</vt:i4>
      </vt:variant>
      <vt:variant>
        <vt:i4>50</vt:i4>
      </vt:variant>
      <vt:variant>
        <vt:i4>0</vt:i4>
      </vt:variant>
      <vt:variant>
        <vt:i4>5</vt:i4>
      </vt:variant>
      <vt:variant>
        <vt:lpwstr/>
      </vt:variant>
      <vt:variant>
        <vt:lpwstr>_Toc17202364</vt:lpwstr>
      </vt:variant>
      <vt:variant>
        <vt:i4>1048631</vt:i4>
      </vt:variant>
      <vt:variant>
        <vt:i4>44</vt:i4>
      </vt:variant>
      <vt:variant>
        <vt:i4>0</vt:i4>
      </vt:variant>
      <vt:variant>
        <vt:i4>5</vt:i4>
      </vt:variant>
      <vt:variant>
        <vt:lpwstr/>
      </vt:variant>
      <vt:variant>
        <vt:lpwstr>_Toc17202363</vt:lpwstr>
      </vt:variant>
      <vt:variant>
        <vt:i4>1114167</vt:i4>
      </vt:variant>
      <vt:variant>
        <vt:i4>38</vt:i4>
      </vt:variant>
      <vt:variant>
        <vt:i4>0</vt:i4>
      </vt:variant>
      <vt:variant>
        <vt:i4>5</vt:i4>
      </vt:variant>
      <vt:variant>
        <vt:lpwstr/>
      </vt:variant>
      <vt:variant>
        <vt:lpwstr>_Toc17202362</vt:lpwstr>
      </vt:variant>
      <vt:variant>
        <vt:i4>1179703</vt:i4>
      </vt:variant>
      <vt:variant>
        <vt:i4>32</vt:i4>
      </vt:variant>
      <vt:variant>
        <vt:i4>0</vt:i4>
      </vt:variant>
      <vt:variant>
        <vt:i4>5</vt:i4>
      </vt:variant>
      <vt:variant>
        <vt:lpwstr/>
      </vt:variant>
      <vt:variant>
        <vt:lpwstr>_Toc17202361</vt:lpwstr>
      </vt:variant>
      <vt:variant>
        <vt:i4>1245239</vt:i4>
      </vt:variant>
      <vt:variant>
        <vt:i4>26</vt:i4>
      </vt:variant>
      <vt:variant>
        <vt:i4>0</vt:i4>
      </vt:variant>
      <vt:variant>
        <vt:i4>5</vt:i4>
      </vt:variant>
      <vt:variant>
        <vt:lpwstr/>
      </vt:variant>
      <vt:variant>
        <vt:lpwstr>_Toc17202360</vt:lpwstr>
      </vt:variant>
      <vt:variant>
        <vt:i4>1703988</vt:i4>
      </vt:variant>
      <vt:variant>
        <vt:i4>20</vt:i4>
      </vt:variant>
      <vt:variant>
        <vt:i4>0</vt:i4>
      </vt:variant>
      <vt:variant>
        <vt:i4>5</vt:i4>
      </vt:variant>
      <vt:variant>
        <vt:lpwstr/>
      </vt:variant>
      <vt:variant>
        <vt:lpwstr>_Toc17202359</vt:lpwstr>
      </vt:variant>
      <vt:variant>
        <vt:i4>1769524</vt:i4>
      </vt:variant>
      <vt:variant>
        <vt:i4>14</vt:i4>
      </vt:variant>
      <vt:variant>
        <vt:i4>0</vt:i4>
      </vt:variant>
      <vt:variant>
        <vt:i4>5</vt:i4>
      </vt:variant>
      <vt:variant>
        <vt:lpwstr/>
      </vt:variant>
      <vt:variant>
        <vt:lpwstr>_Toc17202358</vt:lpwstr>
      </vt:variant>
      <vt:variant>
        <vt:i4>1310772</vt:i4>
      </vt:variant>
      <vt:variant>
        <vt:i4>8</vt:i4>
      </vt:variant>
      <vt:variant>
        <vt:i4>0</vt:i4>
      </vt:variant>
      <vt:variant>
        <vt:i4>5</vt:i4>
      </vt:variant>
      <vt:variant>
        <vt:lpwstr/>
      </vt:variant>
      <vt:variant>
        <vt:lpwstr>_Toc17202357</vt:lpwstr>
      </vt:variant>
      <vt:variant>
        <vt:i4>1376308</vt:i4>
      </vt:variant>
      <vt:variant>
        <vt:i4>2</vt:i4>
      </vt:variant>
      <vt:variant>
        <vt:i4>0</vt:i4>
      </vt:variant>
      <vt:variant>
        <vt:i4>5</vt:i4>
      </vt:variant>
      <vt:variant>
        <vt:lpwstr/>
      </vt:variant>
      <vt:variant>
        <vt:lpwstr>_Toc17202356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Lan</dc:creator>
  <cp:keywords/>
  <dc:description/>
  <cp:lastModifiedBy>Lan, Kai</cp:lastModifiedBy>
  <cp:revision>23</cp:revision>
  <dcterms:created xsi:type="dcterms:W3CDTF">2021-01-23T02:01:00Z</dcterms:created>
  <dcterms:modified xsi:type="dcterms:W3CDTF">2021-09-04T21:21:00Z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http://www.zotero.org/styles/biotechnology-for-biofuels</vt:lpwstr>
  </property>
  <property fmtid="{D5CDD505-2E9C-101B-9397-08002B2CF9AE}" pid="7" name="Mendeley Recent Style Name 2_1">
    <vt:lpwstr>Biotechnology for Biofuels</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http://www.zotero.org/styles/environmental-research-letters</vt:lpwstr>
  </property>
  <property fmtid="{D5CDD505-2E9C-101B-9397-08002B2CF9AE}" pid="11" name="Mendeley Recent Style Name 4_1">
    <vt:lpwstr>Environmental Research Letters</vt:lpwstr>
  </property>
  <property fmtid="{D5CDD505-2E9C-101B-9397-08002B2CF9AE}" pid="12" name="Mendeley Recent Style Id 5_1">
    <vt:lpwstr>http://www.zotero.org/styles/journal-of-cleaner-production</vt:lpwstr>
  </property>
  <property fmtid="{D5CDD505-2E9C-101B-9397-08002B2CF9AE}" pid="13" name="Mendeley Recent Style Name 5_1">
    <vt:lpwstr>Journal of Cleaner Production</vt:lpwstr>
  </property>
  <property fmtid="{D5CDD505-2E9C-101B-9397-08002B2CF9AE}" pid="14" name="Mendeley Recent Style Id 6_1">
    <vt:lpwstr>http://www.zotero.org/styles/journal-of-the-american-chemical-society</vt:lpwstr>
  </property>
  <property fmtid="{D5CDD505-2E9C-101B-9397-08002B2CF9AE}" pid="15" name="Mendeley Recent Style Name 6_1">
    <vt:lpwstr>Journal of the American Chemical Society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http://www.zotero.org/styles/biotechnology-for-biofuels</vt:lpwstr>
  </property>
  <property fmtid="{D5CDD505-2E9C-101B-9397-08002B2CF9AE}" pid="23" name="Mendeley Document_1">
    <vt:lpwstr>True</vt:lpwstr>
  </property>
  <property fmtid="{D5CDD505-2E9C-101B-9397-08002B2CF9AE}" pid="24" name="Mendeley Unique User Id_1">
    <vt:lpwstr>e27d8196-e23c-30dc-95a1-ead89b8a1fcd</vt:lpwstr>
  </property>
</Properties>
</file>