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737735" cy="2266315"/>
            <wp:effectExtent l="0" t="0" r="0" b="0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7735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iCs/>
          <w:color w:val="00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cs="Times New Roman"/>
          <w:b/>
          <w:bCs/>
          <w:iCs/>
          <w:color w:val="000000"/>
          <w:kern w:val="2"/>
          <w:sz w:val="24"/>
          <w:szCs w:val="24"/>
          <w:highlight w:val="none"/>
          <w:lang w:val="en-US" w:eastAsia="zh-CN" w:bidi="ar-SA"/>
        </w:rPr>
        <w:t xml:space="preserve">Figure </w:t>
      </w:r>
      <w:r>
        <w:rPr>
          <w:rFonts w:hint="default" w:ascii="Times New Roman" w:hAnsi="Times New Roman" w:cs="Times New Roman"/>
          <w:b/>
          <w:bCs/>
          <w:iCs/>
          <w:color w:val="000000"/>
          <w:kern w:val="2"/>
          <w:sz w:val="24"/>
          <w:szCs w:val="24"/>
          <w:highlight w:val="none"/>
          <w:lang w:val="en-US" w:eastAsia="zh-CN" w:bidi="ar-SA"/>
        </w:rPr>
        <w:t>S</w:t>
      </w:r>
      <w:r>
        <w:rPr>
          <w:rFonts w:hint="eastAsia" w:cs="Times New Roman"/>
          <w:b/>
          <w:bCs/>
          <w:iCs/>
          <w:color w:val="000000"/>
          <w:kern w:val="2"/>
          <w:sz w:val="24"/>
          <w:szCs w:val="24"/>
          <w:highlight w:val="none"/>
          <w:lang w:val="en-US" w:eastAsia="zh-CN" w:bidi="ar-SA"/>
        </w:rPr>
        <w:t>1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iCs/>
          <w:color w:val="000000"/>
          <w:kern w:val="2"/>
          <w:sz w:val="24"/>
          <w:szCs w:val="24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cs="Times New Roman"/>
          <w:b w:val="0"/>
          <w:bCs w:val="0"/>
          <w:iCs/>
          <w:color w:val="000000"/>
          <w:kern w:val="2"/>
          <w:sz w:val="24"/>
          <w:szCs w:val="24"/>
          <w:highlight w:val="none"/>
          <w:lang w:val="en-US" w:eastAsia="zh-CN" w:bidi="ar-SA"/>
        </w:rPr>
        <w:t xml:space="preserve"> Growth assay of </w:t>
      </w:r>
      <w:r>
        <w:rPr>
          <w:rFonts w:hint="default" w:ascii="Times New Roman" w:hAnsi="Times New Roman" w:cs="Times New Roman"/>
          <w:b w:val="0"/>
          <w:bCs w:val="0"/>
          <w:i/>
          <w:iCs w:val="0"/>
          <w:color w:val="000000"/>
          <w:kern w:val="2"/>
          <w:sz w:val="24"/>
          <w:szCs w:val="24"/>
          <w:highlight w:val="none"/>
          <w:lang w:val="en-US" w:eastAsia="zh-CN" w:bidi="ar-SA"/>
        </w:rPr>
        <w:t>T. reesei</w:t>
      </w:r>
      <w:r>
        <w:rPr>
          <w:rFonts w:hint="default" w:ascii="Times New Roman" w:hAnsi="Times New Roman" w:cs="Times New Roman"/>
          <w:b w:val="0"/>
          <w:bCs w:val="0"/>
          <w:iCs/>
          <w:color w:val="000000"/>
          <w:kern w:val="2"/>
          <w:sz w:val="24"/>
          <w:szCs w:val="24"/>
          <w:highlight w:val="none"/>
          <w:lang w:val="en-US" w:eastAsia="zh-CN" w:bidi="ar-SA"/>
        </w:rPr>
        <w:t xml:space="preserve"> QEB4 and</w:t>
      </w:r>
      <w:r>
        <w:rPr>
          <w:rFonts w:hint="eastAsia" w:cs="Times New Roman"/>
          <w:b w:val="0"/>
          <w:bCs w:val="0"/>
          <w:iCs/>
          <w:color w:val="000000"/>
          <w:kern w:val="2"/>
          <w:sz w:val="24"/>
          <w:szCs w:val="24"/>
          <w:highlight w:val="none"/>
          <w:lang w:val="en-US" w:eastAsia="zh-CN" w:bidi="ar-SA"/>
        </w:rPr>
        <w:t xml:space="preserve"> the</w:t>
      </w:r>
      <w:r>
        <w:rPr>
          <w:rFonts w:hint="default" w:ascii="Times New Roman" w:hAnsi="Times New Roman" w:cs="Times New Roman"/>
          <w:b w:val="0"/>
          <w:bCs w:val="0"/>
          <w:iCs/>
          <w:color w:val="000000"/>
          <w:kern w:val="2"/>
          <w:sz w:val="24"/>
          <w:szCs w:val="24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 w:val="0"/>
          <w:color w:val="000000"/>
          <w:kern w:val="2"/>
          <w:sz w:val="24"/>
          <w:szCs w:val="24"/>
          <w:highlight w:val="none"/>
          <w:lang w:val="en-US" w:eastAsia="zh-CN" w:bidi="ar-SA"/>
        </w:rPr>
        <w:t>xyr1</w:t>
      </w:r>
      <w:r>
        <w:rPr>
          <w:rFonts w:hint="default" w:ascii="Times New Roman" w:hAnsi="Times New Roman" w:cs="Times New Roman"/>
          <w:b w:val="0"/>
          <w:bCs w:val="0"/>
          <w:iCs/>
          <w:color w:val="000000"/>
          <w:kern w:val="2"/>
          <w:sz w:val="24"/>
          <w:szCs w:val="24"/>
          <w:highlight w:val="none"/>
          <w:lang w:val="en-US" w:eastAsia="zh-CN" w:bidi="ar-SA"/>
        </w:rPr>
        <w:t xml:space="preserve"> overexpression strains. (A) Colonial phenotypes of the parental strain and three recombinant strains on MM with 2% glucose, 2% glycerol, and 2% lactose or on PDA. Plates were incubated at 30℃ and photos were taken at 48 h. Growth rates of hyphae were determined after cultivation on the MM plates wtih the following carbon sources: glucose (B), glycerol (C) and lactose (D), and on the PDA plates (E) at 30°C for 48 h. Results are means of three biological replicates and error bars indicate ± SD.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00000000"/>
    <w:rsid w:val="277B1F52"/>
    <w:rsid w:val="60C4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next w:val="1"/>
    <w:qFormat/>
    <w:uiPriority w:val="99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2022-06-14T12:49:00Z</dcterms:created>
  <dc:creator>c'c</dc:creator>
  <cp:lastModifiedBy>kuramazz</cp:lastModifiedBy>
  <dcterms:modified xsi:type="dcterms:W3CDTF">2022-06-15T14:07:01Z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47990D5740A546B3AA886F3AA200E950</vt:lpwstr>
  </property>
</Properties>
</file>