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F45C" w14:textId="77777777" w:rsidR="00463653" w:rsidRPr="00F16627" w:rsidRDefault="00463653" w:rsidP="00463653">
      <w:pPr>
        <w:spacing w:line="480" w:lineRule="auto"/>
        <w:rPr>
          <w:rFonts w:ascii="Times New Roman" w:hAnsi="Times New Roman" w:cs="Times New Roman"/>
          <w:sz w:val="24"/>
          <w:szCs w:val="24"/>
        </w:rPr>
      </w:pPr>
      <w:r w:rsidRPr="00F16627">
        <w:rPr>
          <w:rFonts w:ascii="Times New Roman" w:hAnsi="Times New Roman" w:cs="Times New Roman"/>
          <w:noProof/>
          <w:sz w:val="24"/>
          <w:szCs w:val="24"/>
        </w:rPr>
        <w:drawing>
          <wp:anchor distT="0" distB="0" distL="114300" distR="114300" simplePos="0" relativeHeight="251659264" behindDoc="0" locked="0" layoutInCell="1" allowOverlap="1" wp14:anchorId="1CA2E86D" wp14:editId="30BB4EAD">
            <wp:simplePos x="0" y="0"/>
            <wp:positionH relativeFrom="column">
              <wp:posOffset>-243840</wp:posOffset>
            </wp:positionH>
            <wp:positionV relativeFrom="paragraph">
              <wp:posOffset>205105</wp:posOffset>
            </wp:positionV>
            <wp:extent cx="6438900" cy="64465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38900" cy="6446520"/>
                    </a:xfrm>
                    <a:prstGeom prst="rect">
                      <a:avLst/>
                    </a:prstGeom>
                  </pic:spPr>
                </pic:pic>
              </a:graphicData>
            </a:graphic>
            <wp14:sizeRelH relativeFrom="margin">
              <wp14:pctWidth>0</wp14:pctWidth>
            </wp14:sizeRelH>
            <wp14:sizeRelV relativeFrom="margin">
              <wp14:pctHeight>0</wp14:pctHeight>
            </wp14:sizeRelV>
          </wp:anchor>
        </w:drawing>
      </w:r>
    </w:p>
    <w:p w14:paraId="5B34320E" w14:textId="77777777" w:rsidR="00463653" w:rsidRPr="00F16627" w:rsidRDefault="00463653" w:rsidP="00463653">
      <w:pPr>
        <w:spacing w:line="480" w:lineRule="auto"/>
        <w:rPr>
          <w:rFonts w:ascii="Times New Roman" w:hAnsi="Times New Roman" w:cs="Times New Roman"/>
          <w:sz w:val="24"/>
          <w:szCs w:val="24"/>
        </w:rPr>
      </w:pPr>
    </w:p>
    <w:p w14:paraId="57ADFBAF" w14:textId="542F0156" w:rsidR="00463653" w:rsidRPr="00F16627" w:rsidRDefault="00463653" w:rsidP="00463653">
      <w:pPr>
        <w:spacing w:line="480" w:lineRule="auto"/>
        <w:rPr>
          <w:rFonts w:ascii="Times New Roman" w:hAnsi="Times New Roman" w:cs="Times New Roman"/>
          <w:sz w:val="24"/>
          <w:szCs w:val="24"/>
        </w:rPr>
      </w:pPr>
      <w:r w:rsidRPr="00F16627">
        <w:rPr>
          <w:rFonts w:ascii="Times New Roman" w:hAnsi="Times New Roman" w:cs="Times New Roman"/>
          <w:b/>
          <w:bCs/>
          <w:sz w:val="24"/>
          <w:szCs w:val="24"/>
          <w:lang w:val="en-US"/>
        </w:rPr>
        <w:t xml:space="preserve">Figure </w:t>
      </w:r>
      <w:r w:rsidR="00C542FC">
        <w:rPr>
          <w:rFonts w:ascii="Times New Roman" w:hAnsi="Times New Roman" w:cs="Times New Roman"/>
          <w:b/>
          <w:bCs/>
          <w:sz w:val="24"/>
          <w:szCs w:val="24"/>
          <w:lang w:val="en-US"/>
        </w:rPr>
        <w:t>S</w:t>
      </w:r>
      <w:r>
        <w:rPr>
          <w:rFonts w:ascii="Times New Roman" w:hAnsi="Times New Roman" w:cs="Times New Roman"/>
          <w:b/>
          <w:bCs/>
          <w:sz w:val="24"/>
          <w:szCs w:val="24"/>
          <w:lang w:val="en-US"/>
        </w:rPr>
        <w:t>1</w:t>
      </w:r>
      <w:r w:rsidRPr="00F16627">
        <w:rPr>
          <w:rFonts w:ascii="Times New Roman" w:hAnsi="Times New Roman" w:cs="Times New Roman"/>
          <w:b/>
          <w:bCs/>
          <w:sz w:val="24"/>
          <w:szCs w:val="24"/>
          <w:lang w:val="en-US"/>
        </w:rPr>
        <w:t xml:space="preserve">- </w:t>
      </w:r>
      <w:r w:rsidRPr="00F16627">
        <w:rPr>
          <w:rFonts w:ascii="Times New Roman" w:hAnsi="Times New Roman" w:cs="Times New Roman"/>
          <w:sz w:val="24"/>
          <w:szCs w:val="24"/>
          <w:lang w:val="en-US"/>
        </w:rPr>
        <w:t>Illustrate mechanism of</w:t>
      </w:r>
      <w:r w:rsidRPr="00F16627">
        <w:rPr>
          <w:rFonts w:ascii="Times New Roman" w:hAnsi="Times New Roman" w:cs="Times New Roman"/>
          <w:sz w:val="24"/>
          <w:szCs w:val="24"/>
        </w:rPr>
        <w:t xml:space="preserve"> pretreatment techniques towards bioethanol production and its effect on feedstock with main emphasis on the size reduction, cellulose disruption along with hemicellulose and lignin depolarization </w:t>
      </w:r>
      <w:r w:rsidRPr="00F16627">
        <w:rPr>
          <w:rFonts w:ascii="Times New Roman" w:hAnsi="Times New Roman" w:cs="Times New Roman"/>
          <w:sz w:val="24"/>
          <w:szCs w:val="24"/>
        </w:rPr>
        <w:fldChar w:fldCharType="begin" w:fldLock="1"/>
      </w:r>
      <w:r w:rsidRPr="00F16627">
        <w:rPr>
          <w:rFonts w:ascii="Times New Roman" w:hAnsi="Times New Roman" w:cs="Times New Roman"/>
          <w:sz w:val="24"/>
          <w:szCs w:val="24"/>
        </w:rPr>
        <w:instrText xml:space="preserve">ADDIN CSL_CITATION {"citationItems":[{"id":"ITEM-1","itemData":{"DOI":"10.1016/j.indcrop.2020.112408","ISSN":"09266690","abstract":"Cellulosic biomass has been widely used as a feedstock for biofuel applications due to its low-cost, renewability and abundance. However, the production of liquid biofuels is still costly and inefficient mainly due to the recalcitrant structure of lignocellulosic biomass. It requires expensive pretreatment methods to break down the plant cell wall, and efficient enzymes capable of hydrolysing cellulose into glucose. One possible solution to make bioethanol production cost-effective and, at the same time, increase the energy output from the biomass is genetic engineering. Genetic modification has been reported as an effective strategy to increase productivity, biomass yields and specific traits of various agricultural plants. This paper provides an overview of the potential of cereal-based agricultural waste as a feedstock for bioethanol production. It focuses on the progress of different techniques used in genetic modification (transgenesis, cisgenesis mutagenesis and conventional breeding) to genetically engineer plant cell wall. Utilization of genetic modification of cereal plants is proposed as a solution to high costs and low yields of bioethanol production from cereal-based agricultural waste.","author":[{"dropping-particle":"","family":"Rocha-Meneses","given":"Lisandra","non-dropping-particle":"","parse-names":false,"suffix":""},{"dropping-particle":"","family":"Ferreira","given":"Jorge A.","non-dropping-particle":"","parse-names":false,"suffix":""},{"dropping-particle":"","family":"Mushtaq","given":"Maryam","non-dropping-particle":"","parse-names":false,"suffix":""},{"dropping-particle":"","family":"Karimi","given":"Sajjad","non-dropping-particle":"","parse-names":false,"suffix":""},{"dropping-particle":"","family":"Orupõld","given":"Kaja","non-dropping-particle":"","parse-names":false,"suffix":""},{"dropping-particle":"","family":"Kikas","given":"Timo","non-dropping-particle":"","parse-names":false,"suffix":""}],"container-title":"Industrial Crops and Products","id":"ITEM-1","issue":"March","issued":{"date-parts":[["2020"]]},"page":"112408","publisher":"Elsevier","title":"Genetic modification of cereal plants: A strategy to enhance bioethanol yields from agricultural waste","type":"article-journal","volume":"150"},"uris":["http://www.mendeley.com/documents/?uuid=2fe5236e-2a99-41e0-a3ec-041e28e8b53c"]},{"id":"ITEM-2","itemData":{"DOI":"10.1016/j.enconman.2016.06.081","ISSN":"01968904","abstract":"Microwave-alkali-acid pre-treated rice straw was found most suitable feedstock for ethanol production via simultaneous saccharification and fermentation (SSF). Native rice straw had 42.54% cellulose, 24.51% hemicelluloses, and 9.16% lignin. Upon microwave-alkali-acid pre-treatment, cellulose content was increased to 60.07%, whereas hemicelluloses and lignin was decreased to 14.90% and 4.52%, respectively in solid fraction of the biomass. Physico-chemical characteristics of native and pre-treated rice straw were examined using SEM, XRD, TGA, FT-IR and solid state 13C CP/MAS NMR spectroscopy. SEM of pre-treated rice straw revealed distorted surface morphology and XRD analysis showed an increase (8.97%) in the crystallinity index (CrI) as compared to native biomass. Ethanol production was optimized for microwave-alkali-acid pre-treated rice straw using Taguchi orthogonal array design. An excellent correlation between predicted (18.74 g/L) and experimental values (18.9 g/L) for ethanol production was observed under optimized SSF conditions: substrate loading, 11% (w/v); enzyme concentration, 0.5% (v/v); inoculum size, 8% (v/v); pH, 4.5 at 30 °C after 24 h. A </w:instrText>
      </w:r>
      <w:r w:rsidRPr="00F16627">
        <w:rPr>
          <w:rFonts w:ascii="Cambria Math" w:hAnsi="Cambria Math" w:cs="Cambria Math"/>
          <w:sz w:val="24"/>
          <w:szCs w:val="24"/>
        </w:rPr>
        <w:instrText>∼</w:instrText>
      </w:r>
      <w:r w:rsidRPr="00F16627">
        <w:rPr>
          <w:rFonts w:ascii="Times New Roman" w:hAnsi="Times New Roman" w:cs="Times New Roman"/>
          <w:sz w:val="24"/>
          <w:szCs w:val="24"/>
        </w:rPr>
        <w:instrText>1.3-fold gain in ethanol concentration (25.2 g/L) was obtained which corresponded to a yield of 0.38 g/g using a lab-scale bioreactor on scaling up the shake-flask SSF under optimal conditions.","author":[{"dropping-particle":"","family":"Akhtar","given":"Nadeem","non-dropping-particle":"","parse-names":false,"suffix":""},{"dropping-particle":"","family":"Goyal","given":"Dinesh","non-dropping-particle":"","parse-names":false,"suffix":""},{"dropping-particle":"","family":"Goyal","given":"Arun","non-dropping-particle":"","parse-names":false,"suffix":""}],"container-title":"Energy Conversion and Management","id":"ITEM-2","issued":{"date-parts":[["2017"]]},"page":"133-144","title":"Characterization of microwave-alkali-acid pre-treated rice straw for optimization of ethanol production via simultaneous saccharification and fermentation (SSF)","type":"article-journal","volume":"141"},"uris":["http://www.mendeley.com/documents/?uuid=a5ace655-fab6-4255-b07a-8db4ad1fd109"]},{"id":"ITEM-3","itemData":{"DOI":"10.1016/j.rser.2017.03.072","ISSN":"18790690","abstract":"Lignocellulosic biomass is the most abundant and renewable material in the world for the production of biofuels. Using lignocellulosic biomass derived biofuels could reduce reliance on fossil fuels and contribute to climate change mitigation. A profound understanding of the physicochemical properties of lignocellulosic biomass and the analytical characterization methods for those properties is essential for the design and operation of associated biomass conversion processing facilities. The present article aims to present a comprehensive review of physicochemical properties of lignocellulosic biomass, including particle size, grindability, density, flowability, moisture sorption, thermal properties, proximate analysis properties, elemental composition, energy content and chemical composition. The corresponding characterization techniques for these properties and their recent development are also presented. This review is intended to provide the readers systematic knowledge in the physicochemical properties of lignocellulosic biomass and characterization techniques for the conversion of biomass and the application of biofuels.","author":[{"dropping-particle":"","family":"Cai","given":"Junmeng","non-dropping-particle":"","parse-names":false,"suffix":""},{"dropping-particle":"","family":"He","given":"Yifeng","non-dropping-particle":"","parse-names":false,"suffix":""},{"dropping-particle":"","family":"Yu","given":"Xi","non-dropping-particle":"","parse-names":false,"suffix":""},{"dropping-particle":"","family":"Banks","given":"Scott W.","non-dropping-particle":"","parse-names":false,"suffix":""},{"dropping-particle":"","family":"Yang","given":"Yang","non-dropping-particle":"","parse-names":false,"suffix":""},{"dropping-particle":"","family":"Zhang","given":"Xingguang","non-dropping-particle":"","parse-names":false,"suffix":""},{"dropping-particle":"","family":"Yu","given":"Yang","non-dropping-particle":"","parse-names":false,"suffix":""},{"dropping-particle":"","family":"Liu","given":"Ronghou","non-dropping-particle":"","parse-names":false,"suffix":""},{"dropping-particle":"V.","family":"Bridgwater","given":"Anthony","non-dropping-particle":"","parse-names":false,"suffix":""}],"container-title":"Renewable and Sustainable Energy Reviews","id":"ITEM-3","issue":"October 2016","issued":{"date-parts":[["2017"]]},"page":"309-322","title":"Review of physicochemical properties and analytical characterization of lignocellulosic biomass","type":"article-journal","volume":"76"},"uris":["http://www.mendeley.com/documents/?uuid=8d744ce5-abcd-4899-8dfa-d959189bd61a"]}],"mendeley":{"formattedCitation":"[14,18,22]","plainTextFormattedCitation":"[14,18,22]","previouslyFormattedCitation":"[14,18,22]"},"properties":{"noteIndex":0},"schema":"https://github.com/citation-style-language/schema/raw/master/csl-citation.json"}</w:instrText>
      </w:r>
      <w:r w:rsidRPr="00F16627">
        <w:rPr>
          <w:rFonts w:ascii="Times New Roman" w:hAnsi="Times New Roman" w:cs="Times New Roman"/>
          <w:sz w:val="24"/>
          <w:szCs w:val="24"/>
        </w:rPr>
        <w:fldChar w:fldCharType="separate"/>
      </w:r>
      <w:r w:rsidRPr="00F16627">
        <w:rPr>
          <w:rFonts w:ascii="Times New Roman" w:hAnsi="Times New Roman" w:cs="Times New Roman"/>
          <w:noProof/>
          <w:sz w:val="24"/>
          <w:szCs w:val="24"/>
        </w:rPr>
        <w:t>[14,18,22]</w:t>
      </w:r>
      <w:r w:rsidRPr="00F16627">
        <w:rPr>
          <w:rFonts w:ascii="Times New Roman" w:hAnsi="Times New Roman" w:cs="Times New Roman"/>
          <w:sz w:val="24"/>
          <w:szCs w:val="24"/>
        </w:rPr>
        <w:fldChar w:fldCharType="end"/>
      </w:r>
      <w:r w:rsidRPr="00F16627">
        <w:rPr>
          <w:rFonts w:ascii="Times New Roman" w:hAnsi="Times New Roman" w:cs="Times New Roman"/>
          <w:sz w:val="24"/>
          <w:szCs w:val="24"/>
        </w:rPr>
        <w:t>.</w:t>
      </w:r>
    </w:p>
    <w:p w14:paraId="5B3855BF" w14:textId="77777777" w:rsidR="00463653" w:rsidRDefault="00463653" w:rsidP="00463653">
      <w:pPr>
        <w:spacing w:line="480" w:lineRule="auto"/>
        <w:rPr>
          <w:rFonts w:ascii="Times New Roman" w:hAnsi="Times New Roman" w:cs="Times New Roman"/>
          <w:sz w:val="24"/>
          <w:szCs w:val="24"/>
        </w:rPr>
      </w:pPr>
    </w:p>
    <w:p w14:paraId="4BBFA834" w14:textId="2D27641C" w:rsidR="00463653" w:rsidRPr="00F16627" w:rsidRDefault="00463653" w:rsidP="00463653">
      <w:pPr>
        <w:spacing w:line="480" w:lineRule="auto"/>
        <w:rPr>
          <w:rFonts w:ascii="Times New Roman" w:eastAsia="CharisSIL" w:hAnsi="Times New Roman" w:cs="Times New Roman"/>
          <w:sz w:val="24"/>
          <w:szCs w:val="24"/>
        </w:rPr>
      </w:pPr>
      <w:r w:rsidRPr="00F16627">
        <w:rPr>
          <w:rFonts w:ascii="Times New Roman" w:hAnsi="Times New Roman" w:cs="Times New Roman"/>
          <w:b/>
          <w:bCs/>
          <w:sz w:val="24"/>
          <w:szCs w:val="24"/>
        </w:rPr>
        <w:lastRenderedPageBreak/>
        <w:t xml:space="preserve"> </w:t>
      </w:r>
    </w:p>
    <w:p w14:paraId="12A4B2F4" w14:textId="77777777" w:rsidR="00463653" w:rsidRPr="00F16627" w:rsidRDefault="00463653" w:rsidP="00463653">
      <w:pPr>
        <w:spacing w:line="480" w:lineRule="auto"/>
        <w:rPr>
          <w:rFonts w:ascii="Times New Roman" w:hAnsi="Times New Roman" w:cs="Times New Roman"/>
        </w:rPr>
      </w:pPr>
      <w:r w:rsidRPr="00F16627">
        <w:rPr>
          <w:rFonts w:ascii="Times New Roman" w:hAnsi="Times New Roman" w:cs="Times New Roman"/>
          <w:b/>
          <w:bCs/>
          <w:noProof/>
          <w:sz w:val="24"/>
          <w:szCs w:val="24"/>
        </w:rPr>
        <w:drawing>
          <wp:anchor distT="0" distB="0" distL="114300" distR="114300" simplePos="0" relativeHeight="251661312" behindDoc="0" locked="0" layoutInCell="1" allowOverlap="1" wp14:anchorId="5371E8DF" wp14:editId="53FF8F9F">
            <wp:simplePos x="0" y="0"/>
            <wp:positionH relativeFrom="column">
              <wp:posOffset>-388620</wp:posOffset>
            </wp:positionH>
            <wp:positionV relativeFrom="paragraph">
              <wp:posOffset>377190</wp:posOffset>
            </wp:positionV>
            <wp:extent cx="6882130" cy="3336290"/>
            <wp:effectExtent l="0" t="0" r="0" b="0"/>
            <wp:wrapTopAndBottom/>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phical user interfac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882130" cy="3336290"/>
                    </a:xfrm>
                    <a:prstGeom prst="rect">
                      <a:avLst/>
                    </a:prstGeom>
                  </pic:spPr>
                </pic:pic>
              </a:graphicData>
            </a:graphic>
            <wp14:sizeRelH relativeFrom="margin">
              <wp14:pctWidth>0</wp14:pctWidth>
            </wp14:sizeRelH>
            <wp14:sizeRelV relativeFrom="margin">
              <wp14:pctHeight>0</wp14:pctHeight>
            </wp14:sizeRelV>
          </wp:anchor>
        </w:drawing>
      </w:r>
    </w:p>
    <w:p w14:paraId="5D777B3D" w14:textId="0335751B" w:rsidR="00463653" w:rsidRDefault="00463653"/>
    <w:p w14:paraId="1B3E567B" w14:textId="065A605A" w:rsidR="00463653" w:rsidRPr="00F16627" w:rsidRDefault="00463653" w:rsidP="00463653">
      <w:pPr>
        <w:spacing w:line="480" w:lineRule="auto"/>
        <w:jc w:val="both"/>
        <w:rPr>
          <w:rFonts w:ascii="Times New Roman" w:eastAsia="CharisSIL" w:hAnsi="Times New Roman" w:cs="Times New Roman"/>
          <w:sz w:val="24"/>
          <w:szCs w:val="24"/>
        </w:rPr>
      </w:pPr>
      <w:r w:rsidRPr="00F16627">
        <w:rPr>
          <w:rFonts w:ascii="Times New Roman" w:eastAsia="CharisSIL" w:hAnsi="Times New Roman" w:cs="Times New Roman"/>
          <w:b/>
          <w:bCs/>
          <w:sz w:val="24"/>
          <w:szCs w:val="24"/>
        </w:rPr>
        <w:t xml:space="preserve">Figure </w:t>
      </w:r>
      <w:r w:rsidR="00C542FC">
        <w:rPr>
          <w:rFonts w:ascii="Times New Roman" w:eastAsia="CharisSIL" w:hAnsi="Times New Roman" w:cs="Times New Roman"/>
          <w:b/>
          <w:bCs/>
          <w:sz w:val="24"/>
          <w:szCs w:val="24"/>
        </w:rPr>
        <w:t>S</w:t>
      </w:r>
      <w:r>
        <w:rPr>
          <w:rFonts w:ascii="Times New Roman" w:eastAsia="CharisSIL" w:hAnsi="Times New Roman" w:cs="Times New Roman"/>
          <w:b/>
          <w:bCs/>
          <w:sz w:val="24"/>
          <w:szCs w:val="24"/>
        </w:rPr>
        <w:t>2</w:t>
      </w:r>
      <w:r w:rsidRPr="00F16627">
        <w:rPr>
          <w:rFonts w:ascii="Times New Roman" w:eastAsia="CharisSIL" w:hAnsi="Times New Roman" w:cs="Times New Roman"/>
          <w:sz w:val="24"/>
          <w:szCs w:val="24"/>
        </w:rPr>
        <w:t xml:space="preserve">- Depicts diagrammatic representation showing effect of acid pretreatment on feedstock </w:t>
      </w:r>
      <w:r w:rsidRPr="00F16627">
        <w:rPr>
          <w:rStyle w:val="FootnoteReference"/>
          <w:rFonts w:ascii="Times New Roman" w:hAnsi="Times New Roman" w:cs="Times New Roman"/>
          <w:sz w:val="24"/>
          <w:szCs w:val="24"/>
        </w:rPr>
        <w:fldChar w:fldCharType="begin" w:fldLock="1"/>
      </w:r>
      <w:r w:rsidRPr="00F16627">
        <w:rPr>
          <w:rFonts w:ascii="Times New Roman" w:hAnsi="Times New Roman" w:cs="Times New Roman"/>
          <w:sz w:val="24"/>
          <w:szCs w:val="24"/>
        </w:rPr>
        <w:instrText>ADDIN CSL_CITATION {"citationItems":[{"id":"ITEM-1","itemData":{"DOI":"10.1016/j.indcrop.2018.06.012","ISSN":"09266690","abstract":"Non-centrifugal cane sugar (NCS) is a high carbohydrate-content food obtained by boil evaporation of the sugarcane juice. In the manufacturing process, the by-product of NCS called bagasse is used as foul for the boilers, underestimating its potential as a lignocellulosic source for second-generation bioethanol. In order to assess the bioethanol potential of the by-product resulting from the NCS production, pretreatments were applied to breakdown the lignocellulosic structure for the study in hand. Therefore, this study carried out a comparison of two pretreatment methods steam explosion (SE) and acid hydrolysis (AH) applied to the sugarcane bagasse to produce second-generation bioethanol. It was evidenced that both pretreatments redistribute lignin and hemicelluloses and enhances the accessible surface area of the biomass which further benefitted the subsequent fermentation process as the reducing sugars were available enough to foster the production of bioethanol. The study found that the SE pretreatment was likely to obtain more bioethanol as the reducing sugars (glucose) production outperformed other pretreatments under different residence times and concentrations. Considering the necessity to develop second-generation biofuel production, this study presented the sugarcane bagasse as a promising and abundance lignocellulosic substrate to be investigated more in depth in the Colombian context.","author":[{"dropping-particle":"","family":"Bernier-Oviedo","given":"Daniel José","non-dropping-particle":"","parse-names":false,"suffix":""},{"dropping-particle":"","family":"Rincón-Moreno","given":"John Anderson","non-dropping-particle":"","parse-names":false,"suffix":""},{"dropping-particle":"","family":"Solanilla-Duqué","given":"José Fernando","non-dropping-particle":"","parse-names":false,"suffix":""},{"dropping-particle":"","family":"Muñoz-Hernández","given":"José Aldemar","non-dropping-particle":"","parse-names":false,"suffix":""},{"dropping-particle":"","family":"Váquiro-Herrera","given":"Henry Alexander","non-dropping-particle":"","parse-names":false,"suffix":""}],"container-title":"Industrial Crops and Products","id":"ITEM-1","issue":"May","issued":{"date-parts":[["2018"]]},"page":"414-421","publisher":"Elsevier","title":"Comparison of two pretreatments methods to produce second-generation bioethanol resulting from sugarcane bagasse","type":"article-journal","volume":"122"},"uris":["http://www.mendeley.com/documents/?uuid=36152d9c-b41d-4d93-afeb-25b609080ea8"]},{"id":"ITEM-2","itemData":{"DOI":"10.1016/j.biortech.2013.09.020","ISSN":"0960-8524","author":[{"dropping-particle":"","family":"Du","given":"Shuang-kui","non-dropping-particle":"","parse-names":false,"suffix":""},{"dropping-particle":"","family":"Zhu","given":"Xinna","non-dropping-particle":"","parse-names":false,"suffix":""},{"dropping-particle":"","family":"Wang","given":"Hua","non-dropping-particle":"","parse-names":false,"suffix":""},{"dropping-particle":"","family":"Zhou","given":"Dayun","non-dropping-particle":"","parse-names":false,"suffix":""},{"dropping-particle":"","family":"Yang","given":"Weihua","non-dropping-particle":"","parse-names":false,"suffix":""},{"dropping-particle":"","family":"Xu","given":"Hongxia","non-dropping-particle":"","parse-names":false,"suffix":""}],"container-title":"BIORESOURCE TECHNOLOGY","id":"ITEM-2","issued":{"date-parts":[["2013"]]},"publisher":"Elsevier Ltd","title":"High pressure assist-alkali pretreatment of cotton stalk and","type":"article-journal"},"uris":["http://www.mendeley.com/documents/?uuid=537d5762-3d7a-4e62-9175-359108efb18b"]}],"mendeley":{"formattedCitation":"[55,56]","plainTextFormattedCitation":"[55,56]","previouslyFormattedCitation":"[55,56]"},"properties":{"noteIndex":0},"schema":"https://github.com/citation-style-language/schema/raw/master/csl-citation.json"}</w:instrText>
      </w:r>
      <w:r w:rsidRPr="00F16627">
        <w:rPr>
          <w:rStyle w:val="FootnoteReference"/>
          <w:rFonts w:ascii="Times New Roman" w:hAnsi="Times New Roman" w:cs="Times New Roman"/>
          <w:sz w:val="24"/>
          <w:szCs w:val="24"/>
        </w:rPr>
        <w:fldChar w:fldCharType="separate"/>
      </w:r>
      <w:r w:rsidRPr="00F16627">
        <w:rPr>
          <w:rFonts w:ascii="Times New Roman" w:hAnsi="Times New Roman" w:cs="Times New Roman"/>
          <w:noProof/>
          <w:sz w:val="24"/>
          <w:szCs w:val="24"/>
        </w:rPr>
        <w:t>[55,56]</w:t>
      </w:r>
      <w:r w:rsidRPr="00F16627">
        <w:rPr>
          <w:rStyle w:val="FootnoteReference"/>
          <w:rFonts w:ascii="Times New Roman" w:hAnsi="Times New Roman" w:cs="Times New Roman"/>
          <w:sz w:val="24"/>
          <w:szCs w:val="24"/>
        </w:rPr>
        <w:fldChar w:fldCharType="end"/>
      </w:r>
      <w:r w:rsidRPr="00F16627">
        <w:rPr>
          <w:rFonts w:ascii="Times New Roman" w:eastAsia="CharisSIL" w:hAnsi="Times New Roman" w:cs="Times New Roman"/>
          <w:sz w:val="24"/>
          <w:szCs w:val="24"/>
        </w:rPr>
        <w:t>.</w:t>
      </w:r>
    </w:p>
    <w:p w14:paraId="34DA2EFA" w14:textId="31490012" w:rsidR="00463653" w:rsidRDefault="00463653"/>
    <w:p w14:paraId="58947573" w14:textId="526A9E7C" w:rsidR="00463653" w:rsidRDefault="00463653"/>
    <w:p w14:paraId="5F4ECF7D" w14:textId="6D7AE372" w:rsidR="00463653" w:rsidRDefault="00463653"/>
    <w:p w14:paraId="1E7481FB" w14:textId="76AB2D82" w:rsidR="00463653" w:rsidRDefault="00463653"/>
    <w:p w14:paraId="1FFDBE54" w14:textId="647B57C8" w:rsidR="00463653" w:rsidRDefault="00463653"/>
    <w:p w14:paraId="6AE3877E" w14:textId="35D1E5EF" w:rsidR="00463653" w:rsidRDefault="00463653"/>
    <w:p w14:paraId="506ED0B9" w14:textId="464A2D50" w:rsidR="00463653" w:rsidRDefault="00463653"/>
    <w:p w14:paraId="26B92351" w14:textId="278C9852" w:rsidR="00463653" w:rsidRDefault="00463653"/>
    <w:p w14:paraId="57BC369D" w14:textId="6A88010B" w:rsidR="00463653" w:rsidRDefault="00463653"/>
    <w:p w14:paraId="7E9D054B" w14:textId="68E10993" w:rsidR="00463653" w:rsidRDefault="00463653"/>
    <w:p w14:paraId="1C394C02" w14:textId="5D25A903" w:rsidR="00463653" w:rsidRDefault="00463653"/>
    <w:p w14:paraId="08D1D274" w14:textId="74835101" w:rsidR="00463653" w:rsidRDefault="00463653"/>
    <w:p w14:paraId="6CC77B49" w14:textId="3BD19D53" w:rsidR="00463653" w:rsidRDefault="00463653"/>
    <w:p w14:paraId="738D5217" w14:textId="0F932D80" w:rsidR="00463653" w:rsidRDefault="00463653"/>
    <w:p w14:paraId="1C4545C5" w14:textId="289247DF" w:rsidR="00463653" w:rsidRDefault="00463653"/>
    <w:p w14:paraId="2895CFAF" w14:textId="21D986AB" w:rsidR="00463653" w:rsidRPr="00F16627" w:rsidRDefault="00463653" w:rsidP="00463653">
      <w:pPr>
        <w:spacing w:line="480" w:lineRule="auto"/>
        <w:rPr>
          <w:rFonts w:ascii="Times New Roman" w:hAnsi="Times New Roman" w:cs="Times New Roman"/>
          <w:sz w:val="24"/>
          <w:szCs w:val="24"/>
        </w:rPr>
      </w:pPr>
      <w:r w:rsidRPr="00F16627">
        <w:rPr>
          <w:rFonts w:ascii="Times New Roman" w:hAnsi="Times New Roman" w:cs="Times New Roman"/>
          <w:b/>
          <w:bCs/>
          <w:sz w:val="24"/>
          <w:szCs w:val="24"/>
        </w:rPr>
        <w:t xml:space="preserve"> </w:t>
      </w:r>
    </w:p>
    <w:p w14:paraId="164D2FF0" w14:textId="77777777" w:rsidR="00463653" w:rsidRPr="00F16627" w:rsidRDefault="00463653" w:rsidP="00463653">
      <w:pPr>
        <w:spacing w:line="480" w:lineRule="auto"/>
        <w:rPr>
          <w:rFonts w:ascii="Times New Roman" w:hAnsi="Times New Roman" w:cs="Times New Roman"/>
        </w:rPr>
      </w:pPr>
      <w:r w:rsidRPr="00F16627">
        <w:rPr>
          <w:rFonts w:ascii="Times New Roman" w:hAnsi="Times New Roman" w:cs="Times New Roman"/>
          <w:b/>
          <w:bCs/>
          <w:noProof/>
          <w:sz w:val="24"/>
          <w:szCs w:val="24"/>
        </w:rPr>
        <w:drawing>
          <wp:anchor distT="0" distB="0" distL="114300" distR="114300" simplePos="0" relativeHeight="251663360" behindDoc="0" locked="0" layoutInCell="1" allowOverlap="1" wp14:anchorId="48A26ED7" wp14:editId="1A830E8A">
            <wp:simplePos x="0" y="0"/>
            <wp:positionH relativeFrom="column">
              <wp:posOffset>-796925</wp:posOffset>
            </wp:positionH>
            <wp:positionV relativeFrom="paragraph">
              <wp:posOffset>430530</wp:posOffset>
            </wp:positionV>
            <wp:extent cx="6863715" cy="4138295"/>
            <wp:effectExtent l="0" t="0" r="0" b="0"/>
            <wp:wrapTopAndBottom/>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63715" cy="4138295"/>
                    </a:xfrm>
                    <a:prstGeom prst="rect">
                      <a:avLst/>
                    </a:prstGeom>
                  </pic:spPr>
                </pic:pic>
              </a:graphicData>
            </a:graphic>
            <wp14:sizeRelH relativeFrom="margin">
              <wp14:pctWidth>0</wp14:pctWidth>
            </wp14:sizeRelH>
          </wp:anchor>
        </w:drawing>
      </w:r>
    </w:p>
    <w:p w14:paraId="2A34C8FB" w14:textId="77777777" w:rsidR="00463653" w:rsidRPr="00F16627" w:rsidRDefault="00463653" w:rsidP="00463653">
      <w:pPr>
        <w:spacing w:line="480" w:lineRule="auto"/>
        <w:rPr>
          <w:rFonts w:ascii="Times New Roman" w:hAnsi="Times New Roman" w:cs="Times New Roman"/>
          <w:sz w:val="24"/>
          <w:szCs w:val="24"/>
        </w:rPr>
      </w:pPr>
    </w:p>
    <w:p w14:paraId="2B3AFBDA" w14:textId="2A531344" w:rsidR="00463653" w:rsidRPr="00F16627" w:rsidRDefault="00463653" w:rsidP="00463653">
      <w:pPr>
        <w:spacing w:line="480" w:lineRule="auto"/>
        <w:jc w:val="both"/>
        <w:rPr>
          <w:rFonts w:ascii="Times New Roman" w:eastAsia="CharisSIL" w:hAnsi="Times New Roman" w:cs="Times New Roman"/>
          <w:sz w:val="24"/>
          <w:szCs w:val="24"/>
        </w:rPr>
      </w:pPr>
      <w:r w:rsidRPr="00F16627">
        <w:rPr>
          <w:rFonts w:ascii="Times New Roman" w:eastAsia="CharisSIL" w:hAnsi="Times New Roman" w:cs="Times New Roman"/>
          <w:b/>
          <w:bCs/>
          <w:sz w:val="24"/>
          <w:szCs w:val="24"/>
        </w:rPr>
        <w:t xml:space="preserve">Figure </w:t>
      </w:r>
      <w:r w:rsidR="00C542FC">
        <w:rPr>
          <w:rFonts w:ascii="Times New Roman" w:eastAsia="CharisSIL" w:hAnsi="Times New Roman" w:cs="Times New Roman"/>
          <w:b/>
          <w:bCs/>
          <w:sz w:val="24"/>
          <w:szCs w:val="24"/>
        </w:rPr>
        <w:t>S</w:t>
      </w:r>
      <w:r>
        <w:rPr>
          <w:rFonts w:ascii="Times New Roman" w:eastAsia="CharisSIL" w:hAnsi="Times New Roman" w:cs="Times New Roman"/>
          <w:b/>
          <w:bCs/>
          <w:sz w:val="24"/>
          <w:szCs w:val="24"/>
        </w:rPr>
        <w:t>3</w:t>
      </w:r>
      <w:r w:rsidRPr="00F16627">
        <w:rPr>
          <w:rFonts w:ascii="Times New Roman" w:eastAsia="CharisSIL" w:hAnsi="Times New Roman" w:cs="Times New Roman"/>
          <w:sz w:val="24"/>
          <w:szCs w:val="24"/>
        </w:rPr>
        <w:t xml:space="preserve">- Depicts the diagrammatical representation of combined pretreatment using chemical along with steam explosion process </w:t>
      </w:r>
      <w:r w:rsidRPr="00F16627">
        <w:rPr>
          <w:rFonts w:ascii="Times New Roman" w:eastAsia="CharisSIL" w:hAnsi="Times New Roman" w:cs="Times New Roman"/>
          <w:sz w:val="24"/>
          <w:szCs w:val="24"/>
        </w:rPr>
        <w:fldChar w:fldCharType="begin" w:fldLock="1"/>
      </w:r>
      <w:r w:rsidRPr="00F16627">
        <w:rPr>
          <w:rFonts w:ascii="Times New Roman" w:eastAsia="CharisSIL" w:hAnsi="Times New Roman" w:cs="Times New Roman"/>
          <w:sz w:val="24"/>
          <w:szCs w:val="24"/>
        </w:rPr>
        <w:instrText>ADDIN CSL_CITATION {"citationItems":[{"id":"ITEM-1","itemData":{"DOI":"10.1016/j.enconman.2019.04.078","ISSN":"01968904","abstract":"Achieving the capacity to produce fermentable sugars from lignocelluloses via green and efficient approaches is of strategic significance to an environmentally sustainable society. In this work, a novel wet-mechanochemical pretreatment approach was proposed using small amount of dilute alkali-assisted ball milling and subsequently hydrothermal pretreatment at mild conditions to enhance the enzymatic saccharification efficiency of bagasse and pennisetum. Effects of pretreatment conditions, such as NaOH concentration, hydrothermal reaction temperature and time, on the reducing sugars production were systematically evaluated. Parameters were optimized by statistical analysis and response surface methodology. Results showed that the existence of small amount of dilute alkali during ball milling can greatly facilitate the subsequent saccharification of bagasse and pennisetum, which can reduce the alkali dosage in comparison with traditional biomass pretreatment approach. The highest reducing sugars yield of 40.75% could be obtained from bagasse after pretreated by final concentration of 0.4% alkali in hydrothermal pretreatment process at 100 °C for 40 min. 55.74% of reducing sugars could be obtained from pennisetum treated by final concentration of 0.4% alkali in hydrothermal pretreatment process at 80 °C for 60 min. Compared with pretreatment temperature and time, NaOH concentration had more impact on the reducing sugars yield. Chemical composition of lignocelluloses also showed great influences on their saccharification efficiency. This work provides feasible theoretical basis and method for the efficient utilization of lignocelluloses.","author":[{"dropping-particle":"","family":"Huang","given":"Jiawei","non-dropping-particle":"","parse-names":false,"suffix":""},{"dropping-particle":"","family":"Zhu","given":"Yikui","non-dropping-particle":"","parse-names":false,"suffix":""},{"dropping-particle":"","family":"Liu","given":"Tianyi","non-dropping-particle":"","parse-names":false,"suffix":""},{"dropping-particle":"","family":"Sun","given":"Shaolong","non-dropping-particle":"","parse-names":false,"suffix":""},{"dropping-particle":"","family":"Ren","given":"Junli","non-dropping-particle":"","parse-names":false,"suffix":""},{"dropping-particle":"","family":"Wu","given":"Aimin","non-dropping-particle":"","parse-names":false,"suffix":""},{"dropping-particle":"","family":"Li","given":"Huiling","non-dropping-particle":"","parse-names":false,"suffix":""}],"container-title":"Energy Conversion and Management","id":"ITEM-1","issue":"March","issued":{"date-parts":[["2019"]]},"page":"46-54","publisher":"Elsevier","title":"A novel wet-mechanochemical pretreatment for the efficient enzymatic saccharification of lignocelluloses: Small dosage dilute alkali assisted ball milling","type":"article-journal","volume":"194"},"uris":["http://www.mendeley.com/documents/?uuid=da43c364-fccd-4cec-9148-77ddebc5b6a6"]},{"id":"ITEM-2","itemData":{"DOI":"10.1016/j.biortech.2019.02.006","ISSN":"18732976","PMID":"30754002","abstract":"In this study, mechanical pretreatment was applied to six different lignocelluloses in two different treatment phases and the prediction of their methane yield was done from biomass chemical composition. Physicochemical, proximate and microbial analyses were carried out on both pretreated and untreated biomass using standard methods. Mechanical pretreatments caused the breakdown of structural materials in all the used biomass which was characterized by reduction of the lagging time during anaerobic digestion and the subsequent increase in methane yield up to 22%. The different loading rate of biomass had no effect on the overall methane yield increase. Both single and multiple linear regressions models were used in order to correlate the chemical composition of the biomass with their methane potentials and a fairly high correlation (R2 = 0.63) was obtained. The study also showed that the pretreatments are economically feasible. Therefore, its further application to other biomass is encouraged.","author":[{"dropping-particle":"","family":"Dahunsi","given":"S. O.","non-dropping-particle":"","parse-names":false,"suffix":""}],"container-title":"Bioresource Technology","id":"ITEM-2","issue":"January","issued":{"date-parts":[["2019"]]},"page":"18-26","publisher":"Elsevier","title":"Mechanical pretreatment of lignocelluloses for enhanced biogas production: Methane yield prediction from biomass structural components","type":"article-journal","volume":"280"},"uris":["http://www.mendeley.com/documents/?uuid=fb61318b-53a3-4edf-902a-332162888f30"]}],"mendeley":{"formattedCitation":"[32,34]","plainTextFormattedCitation":"[32,34]","previouslyFormattedCitation":"[32,34]"},"properties":{"noteIndex":0},"schema":"https://github.com/citation-style-language/schema/raw/master/csl-citation.json"}</w:instrText>
      </w:r>
      <w:r w:rsidRPr="00F16627">
        <w:rPr>
          <w:rFonts w:ascii="Times New Roman" w:eastAsia="CharisSIL" w:hAnsi="Times New Roman" w:cs="Times New Roman"/>
          <w:sz w:val="24"/>
          <w:szCs w:val="24"/>
        </w:rPr>
        <w:fldChar w:fldCharType="separate"/>
      </w:r>
      <w:r w:rsidRPr="00F16627">
        <w:rPr>
          <w:rFonts w:ascii="Times New Roman" w:eastAsia="CharisSIL" w:hAnsi="Times New Roman" w:cs="Times New Roman"/>
          <w:noProof/>
          <w:sz w:val="24"/>
          <w:szCs w:val="24"/>
        </w:rPr>
        <w:t>[32,34]</w:t>
      </w:r>
      <w:r w:rsidRPr="00F16627">
        <w:rPr>
          <w:rFonts w:ascii="Times New Roman" w:eastAsia="CharisSIL" w:hAnsi="Times New Roman" w:cs="Times New Roman"/>
          <w:sz w:val="24"/>
          <w:szCs w:val="24"/>
        </w:rPr>
        <w:fldChar w:fldCharType="end"/>
      </w:r>
      <w:r w:rsidRPr="00F16627">
        <w:rPr>
          <w:rFonts w:ascii="Times New Roman" w:eastAsia="CharisSIL" w:hAnsi="Times New Roman" w:cs="Times New Roman"/>
          <w:sz w:val="24"/>
          <w:szCs w:val="24"/>
        </w:rPr>
        <w:t>.</w:t>
      </w:r>
    </w:p>
    <w:p w14:paraId="460F00E7" w14:textId="77777777" w:rsidR="00463653" w:rsidRPr="00F16627" w:rsidRDefault="00463653" w:rsidP="00463653">
      <w:pPr>
        <w:spacing w:line="480" w:lineRule="auto"/>
        <w:rPr>
          <w:rFonts w:ascii="Times New Roman" w:hAnsi="Times New Roman" w:cs="Times New Roman"/>
          <w:sz w:val="24"/>
          <w:szCs w:val="24"/>
        </w:rPr>
      </w:pPr>
    </w:p>
    <w:p w14:paraId="0EDBFD6C" w14:textId="77777777" w:rsidR="00463653" w:rsidRDefault="00463653"/>
    <w:sectPr w:rsidR="00463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harisSIL">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zMDA2MzG1tDQwNDFR0lEKTi0uzszPAykwrAUAih5iQCwAAAA="/>
  </w:docVars>
  <w:rsids>
    <w:rsidRoot w:val="00463653"/>
    <w:rsid w:val="00463653"/>
    <w:rsid w:val="00814FA0"/>
    <w:rsid w:val="00932C5E"/>
    <w:rsid w:val="00C542FC"/>
    <w:rsid w:val="00DF4C60"/>
    <w:rsid w:val="00F154AF"/>
    <w:rsid w:val="00F73D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9665"/>
  <w15:chartTrackingRefBased/>
  <w15:docId w15:val="{56DBFF58-9582-450C-875F-5C1F39FD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4636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2562</Words>
  <Characters>14604</Characters>
  <Application>Microsoft Office Word</Application>
  <DocSecurity>0</DocSecurity>
  <Lines>121</Lines>
  <Paragraphs>34</Paragraphs>
  <ScaleCrop>false</ScaleCrop>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AKANKSHA SHUKLA</dc:creator>
  <cp:keywords/>
  <dc:description/>
  <cp:lastModifiedBy>AKANKSHA SHUKLA</cp:lastModifiedBy>
  <cp:revision>4</cp:revision>
  <dcterms:created xsi:type="dcterms:W3CDTF">2023-01-17T15:51:00Z</dcterms:created>
  <dcterms:modified xsi:type="dcterms:W3CDTF">2023-01-20T10:08:00Z</dcterms:modified>
</cp:coreProperties>
</file>