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59FF1D" w14:textId="435D14EE" w:rsidR="00942C32" w:rsidRDefault="00942C32" w:rsidP="00942C32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942C32">
        <w:rPr>
          <w:rFonts w:ascii="Times New Roman" w:hAnsi="Times New Roman" w:cs="Times New Roman"/>
          <w:b/>
          <w:bCs/>
          <w:color w:val="000000" w:themeColor="text1"/>
          <w:lang w:val="en-US"/>
        </w:rPr>
        <w:t>Supporting Information</w:t>
      </w:r>
    </w:p>
    <w:p w14:paraId="64F8C5AD" w14:textId="77777777" w:rsidR="00180BFA" w:rsidRPr="00942C32" w:rsidRDefault="00180BFA" w:rsidP="00942C32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2ABB7898" w14:textId="360B08B6" w:rsidR="00942C32" w:rsidRPr="00180BFA" w:rsidRDefault="00942C32" w:rsidP="00942C32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180BFA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Stoichiometric balance ratio of cellobiose and gentiobiose induces cellulase production in </w:t>
      </w:r>
      <w:r w:rsidRPr="00180BFA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Talaromyces </w:t>
      </w:r>
      <w:proofErr w:type="spellStart"/>
      <w:r w:rsidRPr="00180BFA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cellulolyticus</w:t>
      </w:r>
      <w:proofErr w:type="spellEnd"/>
    </w:p>
    <w:p w14:paraId="750E25A6" w14:textId="77777777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</w:p>
    <w:p w14:paraId="3AC7479E" w14:textId="77777777" w:rsidR="00942C32" w:rsidRPr="006F0655" w:rsidRDefault="00942C32" w:rsidP="00942C32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6F0655">
        <w:rPr>
          <w:rFonts w:ascii="Times New Roman" w:hAnsi="Times New Roman" w:cs="Times New Roman"/>
          <w:b/>
          <w:bCs/>
        </w:rPr>
        <w:t>Authors &amp; Affiliation:</w:t>
      </w:r>
    </w:p>
    <w:p w14:paraId="0A134B0C" w14:textId="77777777" w:rsidR="00942C32" w:rsidRPr="008E5089" w:rsidRDefault="00942C32" w:rsidP="00942C32">
      <w:pPr>
        <w:spacing w:line="48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Shivam</w:t>
      </w:r>
      <w:proofErr w:type="spellEnd"/>
      <w:r>
        <w:rPr>
          <w:rFonts w:ascii="Times New Roman" w:hAnsi="Times New Roman" w:cs="Times New Roman"/>
        </w:rPr>
        <w:t xml:space="preserve"> Aggarwal</w:t>
      </w:r>
      <w:r w:rsidRPr="008E5089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Sathish </w:t>
      </w:r>
      <w:proofErr w:type="spellStart"/>
      <w:r>
        <w:rPr>
          <w:rFonts w:ascii="Times New Roman" w:hAnsi="Times New Roman" w:cs="Times New Roman"/>
        </w:rPr>
        <w:t>Dorairaj</w:t>
      </w:r>
      <w:proofErr w:type="spellEnd"/>
      <w:r w:rsidRPr="008E5089">
        <w:rPr>
          <w:rFonts w:ascii="Times New Roman" w:hAnsi="Times New Roman" w:cs="Times New Roman"/>
        </w:rPr>
        <w:t xml:space="preserve"> and Nidhi Adlakha*</w:t>
      </w:r>
    </w:p>
    <w:p w14:paraId="2132CC40" w14:textId="77329EF6" w:rsidR="00942C32" w:rsidRPr="008E5089" w:rsidRDefault="00942C32" w:rsidP="00942C32">
      <w:pPr>
        <w:spacing w:line="480" w:lineRule="auto"/>
        <w:jc w:val="both"/>
        <w:rPr>
          <w:rFonts w:ascii="Times New Roman" w:hAnsi="Times New Roman" w:cs="Times New Roman"/>
        </w:rPr>
      </w:pPr>
      <w:r w:rsidRPr="008E5089">
        <w:rPr>
          <w:rFonts w:ascii="Times New Roman" w:hAnsi="Times New Roman" w:cs="Times New Roman"/>
        </w:rPr>
        <w:t xml:space="preserve">Synthetic Biology and Bioprocessing group, Regional Centre for Biotechnology, NCR-Biotech </w:t>
      </w:r>
      <w:r>
        <w:rPr>
          <w:rFonts w:ascii="Times New Roman" w:hAnsi="Times New Roman" w:cs="Times New Roman"/>
        </w:rPr>
        <w:t xml:space="preserve">Science </w:t>
      </w:r>
      <w:r w:rsidRPr="008E5089">
        <w:rPr>
          <w:rFonts w:ascii="Times New Roman" w:hAnsi="Times New Roman" w:cs="Times New Roman"/>
        </w:rPr>
        <w:t>Cluster, Faridabad, India</w:t>
      </w:r>
    </w:p>
    <w:p w14:paraId="34D27244" w14:textId="779CE2EF" w:rsidR="00942C32" w:rsidRDefault="00942C32" w:rsidP="00942C32">
      <w:pPr>
        <w:spacing w:line="480" w:lineRule="auto"/>
        <w:jc w:val="both"/>
        <w:rPr>
          <w:rStyle w:val="Hyperlink"/>
          <w:rFonts w:ascii="Times New Roman" w:hAnsi="Times New Roman" w:cs="Times New Roman"/>
          <w:b/>
          <w:bCs/>
        </w:rPr>
      </w:pPr>
      <w:r w:rsidRPr="008E5089">
        <w:rPr>
          <w:rFonts w:ascii="Times New Roman" w:hAnsi="Times New Roman" w:cs="Times New Roman"/>
        </w:rPr>
        <w:t>*Any correspondence should be made to</w:t>
      </w:r>
      <w:r w:rsidRPr="006F0655">
        <w:rPr>
          <w:rFonts w:ascii="Times New Roman" w:hAnsi="Times New Roman" w:cs="Times New Roman"/>
          <w:b/>
          <w:bCs/>
        </w:rPr>
        <w:t xml:space="preserve"> </w:t>
      </w:r>
      <w:hyperlink r:id="rId4" w:history="1">
        <w:r w:rsidRPr="00763ED1">
          <w:rPr>
            <w:rStyle w:val="Hyperlink"/>
            <w:rFonts w:ascii="Times New Roman" w:hAnsi="Times New Roman" w:cs="Times New Roman"/>
            <w:b/>
            <w:bCs/>
          </w:rPr>
          <w:t>nidhi.adlakha@rcb.res.in</w:t>
        </w:r>
      </w:hyperlink>
    </w:p>
    <w:p w14:paraId="58BADE23" w14:textId="35DBCCB7" w:rsidR="00942C32" w:rsidRDefault="00942C32">
      <w:pPr>
        <w:spacing w:after="160" w:line="259" w:lineRule="auto"/>
        <w:rPr>
          <w:rStyle w:val="Hyperlink"/>
          <w:rFonts w:ascii="Times New Roman" w:hAnsi="Times New Roman" w:cs="Times New Roman"/>
          <w:b/>
          <w:bCs/>
        </w:rPr>
      </w:pPr>
      <w:r>
        <w:rPr>
          <w:rStyle w:val="Hyperlink"/>
          <w:rFonts w:ascii="Times New Roman" w:hAnsi="Times New Roman" w:cs="Times New Roman"/>
          <w:b/>
          <w:bCs/>
        </w:rPr>
        <w:br w:type="page"/>
      </w:r>
    </w:p>
    <w:p w14:paraId="6F996C47" w14:textId="36C4682C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:lang w:val="en-GB"/>
        </w:rPr>
      </w:pPr>
      <w:r w:rsidRPr="00942C32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:lang w:val="en-GB"/>
        </w:rPr>
        <w:lastRenderedPageBreak/>
        <w:t>Figures</w:t>
      </w:r>
    </w:p>
    <w:p w14:paraId="27DD3029" w14:textId="77777777" w:rsidR="00180BFA" w:rsidRPr="00942C32" w:rsidRDefault="00180BFA" w:rsidP="00942C32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  <w:lang w:val="en-GB"/>
        </w:rPr>
      </w:pPr>
    </w:p>
    <w:p w14:paraId="6CE80E7C" w14:textId="375BC07E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</w:pPr>
      <w:r>
        <w:rPr>
          <w:rFonts w:ascii="Times New Roman" w:hAnsi="Times New Roman" w:cs="Times New Roman"/>
          <w:b/>
          <w:bCs/>
          <w:i/>
          <w:iCs/>
          <w:noProof/>
          <w:color w:val="000000" w:themeColor="text1"/>
          <w:lang w:val="en-GB"/>
        </w:rPr>
        <w:drawing>
          <wp:inline distT="0" distB="0" distL="0" distR="0" wp14:anchorId="55F46D73" wp14:editId="400A6422">
            <wp:extent cx="5731510" cy="57003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0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BA78D" w14:textId="6BDBDE32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</w:pPr>
      <w:r w:rsidRPr="003237B4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Fig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. </w:t>
      </w:r>
      <w:r w:rsidRPr="003237B4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S1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 </w:t>
      </w:r>
      <w:r w:rsidRPr="003237B4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Screening of hypercellulolytic fungi </w:t>
      </w:r>
    </w:p>
    <w:p w14:paraId="1E9788FE" w14:textId="77777777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lang w:val="en-GB"/>
        </w:rPr>
      </w:pPr>
      <w:r w:rsidRPr="003237B4">
        <w:rPr>
          <w:rFonts w:ascii="Times New Roman" w:hAnsi="Times New Roman" w:cs="Times New Roman"/>
          <w:i/>
          <w:iCs/>
          <w:color w:val="000000" w:themeColor="text1"/>
          <w:lang w:val="en-GB"/>
        </w:rPr>
        <w:t>Various fungal strains with cellulolytic potential were collected from Culture collection centres such as ATCC, NCIM and ITCC and were used for comparison</w:t>
      </w:r>
    </w:p>
    <w:p w14:paraId="366F37AA" w14:textId="69B04C08" w:rsidR="00942C32" w:rsidRDefault="00942C32">
      <w:pPr>
        <w:spacing w:after="160" w:line="259" w:lineRule="auto"/>
        <w:rPr>
          <w:rFonts w:ascii="Times New Roman" w:hAnsi="Times New Roman" w:cs="Times New Roman"/>
          <w:i/>
          <w:iCs/>
          <w:color w:val="000000" w:themeColor="text1"/>
          <w:lang w:val="en-GB"/>
        </w:rPr>
      </w:pPr>
      <w:r>
        <w:rPr>
          <w:rFonts w:ascii="Times New Roman" w:hAnsi="Times New Roman" w:cs="Times New Roman"/>
          <w:i/>
          <w:iCs/>
          <w:color w:val="000000" w:themeColor="text1"/>
          <w:lang w:val="en-GB"/>
        </w:rPr>
        <w:br w:type="page"/>
      </w:r>
    </w:p>
    <w:p w14:paraId="2B61CD63" w14:textId="4518525F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lang w:val="en-GB"/>
        </w:rPr>
      </w:pPr>
      <w:r>
        <w:rPr>
          <w:rFonts w:ascii="Times New Roman" w:hAnsi="Times New Roman" w:cs="Times New Roman"/>
          <w:i/>
          <w:iCs/>
          <w:noProof/>
          <w:color w:val="000000" w:themeColor="text1"/>
          <w:lang w:val="en-GB"/>
        </w:rPr>
        <w:lastRenderedPageBreak/>
        <w:drawing>
          <wp:inline distT="0" distB="0" distL="0" distR="0" wp14:anchorId="511CF27C" wp14:editId="63774578">
            <wp:extent cx="5731510" cy="2871470"/>
            <wp:effectExtent l="0" t="0" r="254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7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66B3E" w14:textId="01566083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lang w:val="en-US"/>
        </w:rPr>
      </w:pP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Fig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. </w:t>
      </w: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S2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 </w:t>
      </w: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Phylogenetic analysis of Talaromyces </w:t>
      </w:r>
      <w:proofErr w:type="spellStart"/>
      <w:r w:rsidR="00180BFA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cellulolyticus</w:t>
      </w:r>
      <w:proofErr w:type="spellEnd"/>
      <w:r w:rsidR="00180BFA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 MTCC25456</w:t>
      </w:r>
    </w:p>
    <w:p w14:paraId="5C2CE697" w14:textId="33124AE1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lang w:val="en-US"/>
        </w:rPr>
      </w:pPr>
      <w:r w:rsidRPr="0075069D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Phylogenetic relationships of Talaromyces sp. NA01 were predicted using Maximum likelihood Mega7 with JTT model and 1000 bootstrap value using Maximum Likelihood algorithm. The phylogenetic analysis performed based on (A) </w:t>
      </w:r>
      <w:proofErr w:type="spellStart"/>
      <w:r w:rsidRPr="0075069D">
        <w:rPr>
          <w:rFonts w:ascii="Times New Roman" w:hAnsi="Times New Roman" w:cs="Times New Roman"/>
          <w:i/>
          <w:iCs/>
          <w:color w:val="000000" w:themeColor="text1"/>
          <w:lang w:val="en-US"/>
        </w:rPr>
        <w:t>Interspacer</w:t>
      </w:r>
      <w:proofErr w:type="spellEnd"/>
      <w:r w:rsidRPr="0075069D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Transcribed Sequences (ITS2) and (B) beta tubulin (BT2) predicted that the isolate is closely related to Talaromyces </w:t>
      </w:r>
      <w:proofErr w:type="spellStart"/>
      <w:r w:rsidRPr="0075069D">
        <w:rPr>
          <w:rFonts w:ascii="Times New Roman" w:hAnsi="Times New Roman" w:cs="Times New Roman"/>
          <w:i/>
          <w:iCs/>
          <w:color w:val="000000" w:themeColor="text1"/>
          <w:lang w:val="en-US"/>
        </w:rPr>
        <w:t>cellul</w:t>
      </w:r>
      <w:r w:rsidR="00180BFA">
        <w:rPr>
          <w:rFonts w:ascii="Times New Roman" w:hAnsi="Times New Roman" w:cs="Times New Roman"/>
          <w:i/>
          <w:iCs/>
          <w:color w:val="000000" w:themeColor="text1"/>
          <w:lang w:val="en-US"/>
        </w:rPr>
        <w:t>ol</w:t>
      </w:r>
      <w:r w:rsidRPr="0075069D">
        <w:rPr>
          <w:rFonts w:ascii="Times New Roman" w:hAnsi="Times New Roman" w:cs="Times New Roman"/>
          <w:i/>
          <w:iCs/>
          <w:color w:val="000000" w:themeColor="text1"/>
          <w:lang w:val="en-US"/>
        </w:rPr>
        <w:t>yticus</w:t>
      </w:r>
      <w:proofErr w:type="spellEnd"/>
      <w:r w:rsidRPr="0075069D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and </w:t>
      </w:r>
      <w:proofErr w:type="spellStart"/>
      <w:r w:rsidRPr="0075069D">
        <w:rPr>
          <w:rFonts w:ascii="Times New Roman" w:hAnsi="Times New Roman" w:cs="Times New Roman"/>
          <w:i/>
          <w:iCs/>
          <w:color w:val="000000" w:themeColor="text1"/>
          <w:lang w:val="en-US"/>
        </w:rPr>
        <w:t>Taloromyces</w:t>
      </w:r>
      <w:proofErr w:type="spellEnd"/>
      <w:r w:rsidRPr="0075069D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</w:t>
      </w:r>
      <w:proofErr w:type="spellStart"/>
      <w:r w:rsidRPr="0075069D">
        <w:rPr>
          <w:rFonts w:ascii="Times New Roman" w:hAnsi="Times New Roman" w:cs="Times New Roman"/>
          <w:i/>
          <w:iCs/>
          <w:color w:val="000000" w:themeColor="text1"/>
          <w:lang w:val="en-US"/>
        </w:rPr>
        <w:t>marneffei</w:t>
      </w:r>
      <w:proofErr w:type="spellEnd"/>
      <w:r w:rsidRPr="0075069D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ATCC 18224.</w:t>
      </w:r>
    </w:p>
    <w:p w14:paraId="41970A1E" w14:textId="2E4DB66A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lang w:val="en-US"/>
        </w:rPr>
      </w:pPr>
      <w:r>
        <w:rPr>
          <w:rFonts w:ascii="Times New Roman" w:hAnsi="Times New Roman" w:cs="Times New Roman"/>
          <w:i/>
          <w:iCs/>
          <w:noProof/>
          <w:color w:val="000000" w:themeColor="text1"/>
          <w:lang w:val="en-US"/>
        </w:rPr>
        <w:lastRenderedPageBreak/>
        <w:drawing>
          <wp:inline distT="0" distB="0" distL="0" distR="0" wp14:anchorId="765BD240" wp14:editId="167D584A">
            <wp:extent cx="5731510" cy="5401310"/>
            <wp:effectExtent l="0" t="0" r="2540" b="889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401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DA68D" w14:textId="7A84A1D9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Fig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. </w:t>
      </w: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S3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 </w:t>
      </w: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Synteny plot of assembled contigs of Talaromyces </w:t>
      </w:r>
      <w:proofErr w:type="spellStart"/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cellulolyticus</w:t>
      </w:r>
      <w:proofErr w:type="spellEnd"/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 </w:t>
      </w:r>
      <w:r w:rsidR="00180BFA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MTCC25456</w:t>
      </w: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 </w:t>
      </w:r>
      <w:r w:rsidRPr="0075069D">
        <w:rPr>
          <w:rFonts w:ascii="Times New Roman" w:hAnsi="Times New Roman" w:cs="Times New Roman"/>
          <w:color w:val="000000" w:themeColor="text1"/>
          <w:lang w:val="en-US"/>
        </w:rPr>
        <w:t xml:space="preserve">(blue circle) with </w:t>
      </w:r>
      <w:r w:rsidRPr="0075069D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Talaromyces </w:t>
      </w:r>
      <w:hyperlink r:id="rId8" w:history="1">
        <w:proofErr w:type="spellStart"/>
        <w:r w:rsidRPr="0075069D">
          <w:rPr>
            <w:rStyle w:val="Hyperlink"/>
            <w:rFonts w:ascii="Times New Roman" w:hAnsi="Times New Roman" w:cs="Times New Roman"/>
            <w:i/>
            <w:iCs/>
            <w:lang w:val="en-US"/>
          </w:rPr>
          <w:t>pinophilus</w:t>
        </w:r>
        <w:proofErr w:type="spellEnd"/>
      </w:hyperlink>
      <w:r w:rsidRPr="0075069D">
        <w:rPr>
          <w:rFonts w:ascii="Times New Roman" w:hAnsi="Times New Roman" w:cs="Times New Roman"/>
          <w:color w:val="000000" w:themeColor="text1"/>
          <w:lang w:val="en-US"/>
        </w:rPr>
        <w:t xml:space="preserve"> Strain: 1-95 chromosomes (1–8).</w:t>
      </w:r>
    </w:p>
    <w:p w14:paraId="5E4B6AEE" w14:textId="58F148FE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lang w:val="en-US"/>
        </w:rPr>
        <w:lastRenderedPageBreak/>
        <w:drawing>
          <wp:inline distT="0" distB="0" distL="0" distR="0" wp14:anchorId="3B8A1FD3" wp14:editId="1070B7FA">
            <wp:extent cx="5731510" cy="38798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7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C9645" w14:textId="77777777" w:rsidR="00180BFA" w:rsidRDefault="00180BFA" w:rsidP="00942C32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</w:pPr>
    </w:p>
    <w:p w14:paraId="06C831C6" w14:textId="4D420A93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Fig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. </w:t>
      </w: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S4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 </w:t>
      </w: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Representation of top 15 hits of Gene Ontology</w:t>
      </w:r>
      <w:r w:rsidRPr="0075069D">
        <w:rPr>
          <w:rFonts w:ascii="Times New Roman" w:hAnsi="Times New Roman" w:cs="Times New Roman"/>
          <w:color w:val="000000" w:themeColor="text1"/>
          <w:lang w:val="en-US"/>
        </w:rPr>
        <w:t xml:space="preserve"> </w:t>
      </w:r>
    </w:p>
    <w:p w14:paraId="492A1D6B" w14:textId="77777777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t>in</w:t>
      </w:r>
      <w:r w:rsidRPr="0075069D">
        <w:rPr>
          <w:rFonts w:ascii="Times New Roman" w:hAnsi="Times New Roman" w:cs="Times New Roman"/>
          <w:color w:val="000000" w:themeColor="text1"/>
          <w:lang w:val="en-US"/>
        </w:rPr>
        <w:t xml:space="preserve">(A) Biological (B) Cellular and (C) Molecular functions </w:t>
      </w:r>
    </w:p>
    <w:p w14:paraId="6FB77D51" w14:textId="1A33233D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lang w:val="en-US"/>
        </w:rPr>
        <w:lastRenderedPageBreak/>
        <w:drawing>
          <wp:inline distT="0" distB="0" distL="0" distR="0" wp14:anchorId="36DB89EB" wp14:editId="5477A002">
            <wp:extent cx="5731510" cy="456501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65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AB128" w14:textId="572B5563" w:rsidR="00942C32" w:rsidRPr="0075069D" w:rsidRDefault="00942C32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Fig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. </w:t>
      </w: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S5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 D</w:t>
      </w: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ifferentially expressed </w:t>
      </w:r>
      <w:proofErr w:type="spellStart"/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CAZYmes</w:t>
      </w:r>
      <w:proofErr w:type="spellEnd"/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 during cultivation on </w:t>
      </w:r>
      <w:proofErr w:type="spellStart"/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avicel</w:t>
      </w:r>
      <w:proofErr w:type="spellEnd"/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 and </w:t>
      </w:r>
      <w:proofErr w:type="spellStart"/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Pretreated</w:t>
      </w:r>
      <w:proofErr w:type="spellEnd"/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 biomass (PTB). </w:t>
      </w:r>
    </w:p>
    <w:p w14:paraId="26FB05C1" w14:textId="77777777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lang w:val="en-GB"/>
        </w:rPr>
      </w:pP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(A) </w:t>
      </w:r>
      <w:r w:rsidRPr="0075069D">
        <w:rPr>
          <w:rFonts w:ascii="Times New Roman" w:hAnsi="Times New Roman" w:cs="Times New Roman"/>
          <w:i/>
          <w:iCs/>
          <w:color w:val="000000" w:themeColor="text1"/>
        </w:rPr>
        <w:t xml:space="preserve">Comparative transcriptome analysis of Talaromyces sp. in Avicel treatment and Glucose treatment. The volcano plot shows the differential gene expression in Avicel when compared with that in Glucose medium. </w:t>
      </w: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(B) </w:t>
      </w:r>
      <w:r w:rsidRPr="0075069D">
        <w:rPr>
          <w:rFonts w:ascii="Times New Roman" w:hAnsi="Times New Roman" w:cs="Times New Roman"/>
          <w:i/>
          <w:iCs/>
          <w:color w:val="000000" w:themeColor="text1"/>
          <w:lang w:val="en-GB"/>
        </w:rPr>
        <w:t xml:space="preserve">Heat map indicating common differentially upregulated </w:t>
      </w:r>
      <w:proofErr w:type="spellStart"/>
      <w:r w:rsidRPr="0075069D">
        <w:rPr>
          <w:rFonts w:ascii="Times New Roman" w:hAnsi="Times New Roman" w:cs="Times New Roman"/>
          <w:i/>
          <w:iCs/>
          <w:color w:val="000000" w:themeColor="text1"/>
          <w:lang w:val="en-GB"/>
        </w:rPr>
        <w:t>CAZYmes</w:t>
      </w:r>
      <w:proofErr w:type="spellEnd"/>
      <w:r w:rsidRPr="0075069D">
        <w:rPr>
          <w:rFonts w:ascii="Times New Roman" w:hAnsi="Times New Roman" w:cs="Times New Roman"/>
          <w:i/>
          <w:iCs/>
          <w:color w:val="000000" w:themeColor="text1"/>
          <w:lang w:val="en-GB"/>
        </w:rPr>
        <w:t xml:space="preserve"> 36h Avicel and 36h PTB induced compared to 24h </w:t>
      </w:r>
      <w:proofErr w:type="spellStart"/>
      <w:r w:rsidRPr="0075069D">
        <w:rPr>
          <w:rFonts w:ascii="Times New Roman" w:hAnsi="Times New Roman" w:cs="Times New Roman"/>
          <w:i/>
          <w:iCs/>
          <w:color w:val="000000" w:themeColor="text1"/>
          <w:lang w:val="en-GB"/>
        </w:rPr>
        <w:t>Glc</w:t>
      </w:r>
      <w:proofErr w:type="spellEnd"/>
      <w:r w:rsidRPr="0075069D">
        <w:rPr>
          <w:rFonts w:ascii="Times New Roman" w:hAnsi="Times New Roman" w:cs="Times New Roman"/>
          <w:i/>
          <w:iCs/>
          <w:color w:val="000000" w:themeColor="text1"/>
          <w:lang w:val="en-GB"/>
        </w:rPr>
        <w:t xml:space="preserve"> in Talaromyces sp. Shading is lighter for higher fold changes for all cases. Transcripts were considered significantly differentially expressed when fold change was at least two (p ≤ 0.05).</w:t>
      </w:r>
    </w:p>
    <w:p w14:paraId="071875C3" w14:textId="0C42569B" w:rsidR="00942C32" w:rsidRDefault="00942C32">
      <w:pPr>
        <w:spacing w:after="160" w:line="259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br w:type="page"/>
      </w:r>
    </w:p>
    <w:p w14:paraId="68011EAB" w14:textId="11E7EFD4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09E84B0C" wp14:editId="56363EC2">
            <wp:extent cx="3207130" cy="4533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2594" cy="4541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D1D58" w14:textId="12643F84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</w:pP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Fig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. </w:t>
      </w: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S6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 </w:t>
      </w:r>
      <w:r w:rsidRPr="0075069D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Biochemical assay for membrane protein. </w:t>
      </w:r>
    </w:p>
    <w:p w14:paraId="37BB81A6" w14:textId="77777777" w:rsidR="00942C32" w:rsidRPr="0075069D" w:rsidRDefault="00942C32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75069D">
        <w:rPr>
          <w:rFonts w:ascii="Times New Roman" w:hAnsi="Times New Roman" w:cs="Times New Roman"/>
          <w:i/>
          <w:iCs/>
          <w:color w:val="000000" w:themeColor="text1"/>
          <w:lang w:val="en-GB"/>
        </w:rPr>
        <w:t>The membrane protein was extracted according to standard protocol and assayed for endoglucanase and glucosidase type activity. The experiment was done in triplicate and standard deviation was calculated accordingly.</w:t>
      </w:r>
    </w:p>
    <w:p w14:paraId="2F699E7D" w14:textId="143F8047" w:rsidR="00942C32" w:rsidRDefault="00942C32">
      <w:pPr>
        <w:spacing w:after="160" w:line="259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6328D2B2" w14:textId="068747B9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lang w:val="en-US"/>
        </w:rPr>
        <w:lastRenderedPageBreak/>
        <w:drawing>
          <wp:inline distT="0" distB="0" distL="0" distR="0" wp14:anchorId="0ED73B95" wp14:editId="554771BD">
            <wp:extent cx="3497193" cy="3657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01507" cy="3662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E21336" w14:textId="7571F0F8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</w:pPr>
      <w:r w:rsidRPr="00673F50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Fig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. </w:t>
      </w:r>
      <w:r w:rsidRPr="00673F50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S7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 </w:t>
      </w:r>
      <w:r w:rsidRPr="00673F50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Selection of optimum temperature for production of inducer molecules. </w:t>
      </w:r>
    </w:p>
    <w:p w14:paraId="5407CB32" w14:textId="77777777" w:rsidR="00942C32" w:rsidRPr="00673F50" w:rsidRDefault="00942C32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>The 1X10</w:t>
      </w:r>
      <w:r w:rsidRPr="00673F50">
        <w:rPr>
          <w:rFonts w:ascii="Times New Roman" w:hAnsi="Times New Roman" w:cs="Times New Roman"/>
          <w:i/>
          <w:iCs/>
          <w:color w:val="000000" w:themeColor="text1"/>
          <w:vertAlign w:val="superscript"/>
          <w:lang w:val="en-GB"/>
        </w:rPr>
        <w:t>9</w:t>
      </w:r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 xml:space="preserve">spore were incubated with 1% avicel at 50ºC and 28ºC separately for 72h. The supernatant was supplemented in the growth media containing 1% avicel. The active Talaromyces mycelium were inoculated and supernatant was withdrawn after 36h for enzyme assays. </w:t>
      </w:r>
    </w:p>
    <w:p w14:paraId="559AC5F7" w14:textId="77777777" w:rsidR="00B23C99" w:rsidRDefault="00B23C99">
      <w:pPr>
        <w:spacing w:after="160" w:line="259" w:lineRule="auto"/>
        <w:rPr>
          <w:rFonts w:ascii="Times New Roman" w:hAnsi="Times New Roman" w:cs="Times New Roman"/>
          <w:color w:val="000000" w:themeColor="text1"/>
          <w:lang w:val="en-US"/>
        </w:rPr>
      </w:pPr>
    </w:p>
    <w:p w14:paraId="4A0B2012" w14:textId="51D0E2D4" w:rsidR="00942C32" w:rsidRDefault="00942C32">
      <w:pPr>
        <w:spacing w:after="160" w:line="259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5B50C2B0" w14:textId="77777777" w:rsidR="00B23C99" w:rsidRDefault="00B23C99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5CD89010" w14:textId="77777777" w:rsidR="00B23C99" w:rsidRDefault="00B23C99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127D070C" w14:textId="4449C35D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noProof/>
          <w:color w:val="000000" w:themeColor="text1"/>
          <w:lang w:val="en-US"/>
        </w:rPr>
        <w:drawing>
          <wp:inline distT="0" distB="0" distL="0" distR="0" wp14:anchorId="227C61E1" wp14:editId="459921FC">
            <wp:extent cx="5731510" cy="179641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C666D" w14:textId="7B1BA860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</w:pPr>
      <w:r w:rsidRPr="00673F50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Fig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. </w:t>
      </w:r>
      <w:r w:rsidRPr="00673F50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S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8 </w:t>
      </w:r>
      <w:proofErr w:type="spellStart"/>
      <w:r w:rsidRPr="00673F50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Plackett</w:t>
      </w:r>
      <w:proofErr w:type="spellEnd"/>
      <w:r w:rsidRPr="00673F50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 Burman analysis. </w:t>
      </w:r>
    </w:p>
    <w:p w14:paraId="03425F29" w14:textId="55D02067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lang w:val="en-GB"/>
        </w:rPr>
      </w:pPr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 xml:space="preserve">Actual by predicted model of </w:t>
      </w:r>
      <w:proofErr w:type="spellStart"/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>pNPCase</w:t>
      </w:r>
      <w:proofErr w:type="spellEnd"/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 xml:space="preserve"> (A); </w:t>
      </w:r>
      <w:proofErr w:type="spellStart"/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>CMCase</w:t>
      </w:r>
      <w:proofErr w:type="spellEnd"/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 xml:space="preserve"> (B); </w:t>
      </w:r>
      <w:proofErr w:type="spellStart"/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>pNPGase</w:t>
      </w:r>
      <w:proofErr w:type="spellEnd"/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 xml:space="preserve"> (C) shows that the data is significant </w:t>
      </w:r>
    </w:p>
    <w:p w14:paraId="2C77F27A" w14:textId="109DEABF" w:rsidR="00B23C99" w:rsidRDefault="00B23C99" w:rsidP="00942C32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lang w:val="en-GB"/>
        </w:rPr>
      </w:pPr>
    </w:p>
    <w:p w14:paraId="15434C40" w14:textId="77777777" w:rsidR="00B23C99" w:rsidRDefault="00B23C99" w:rsidP="00942C32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lang w:val="en-GB"/>
        </w:rPr>
      </w:pPr>
    </w:p>
    <w:p w14:paraId="2449493D" w14:textId="4FE92AB5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lang w:val="en-GB"/>
        </w:rPr>
      </w:pPr>
      <w:r>
        <w:rPr>
          <w:rFonts w:ascii="Times New Roman" w:hAnsi="Times New Roman" w:cs="Times New Roman"/>
          <w:i/>
          <w:iCs/>
          <w:noProof/>
          <w:color w:val="000000" w:themeColor="text1"/>
          <w:lang w:val="en-GB"/>
        </w:rPr>
        <w:drawing>
          <wp:inline distT="0" distB="0" distL="0" distR="0" wp14:anchorId="3F18420A" wp14:editId="1C1F7787">
            <wp:extent cx="5731510" cy="2810510"/>
            <wp:effectExtent l="0" t="0" r="2540" b="889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10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36AED" w14:textId="6EE421E9" w:rsidR="00942C32" w:rsidRDefault="00942C32" w:rsidP="00942C32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lang w:val="en-GB"/>
        </w:rPr>
      </w:pPr>
      <w:r w:rsidRPr="00673F50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Fig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. </w:t>
      </w:r>
      <w:r w:rsidRPr="00673F50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S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9 </w:t>
      </w:r>
      <w:r w:rsidRPr="00E669BC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Effect summary</w:t>
      </w:r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 xml:space="preserve"> </w:t>
      </w:r>
      <w:r w:rsidRPr="00E669BC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of </w:t>
      </w:r>
      <w:proofErr w:type="spellStart"/>
      <w:r w:rsidRPr="00E669BC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>Plackett</w:t>
      </w:r>
      <w:proofErr w:type="spellEnd"/>
      <w:r w:rsidRPr="00E669BC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 Burman design</w:t>
      </w:r>
    </w:p>
    <w:p w14:paraId="41C08565" w14:textId="345946C1" w:rsidR="00942C32" w:rsidRDefault="00942C32" w:rsidP="00B23C99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 xml:space="preserve">(A) Effect summary report of </w:t>
      </w:r>
      <w:proofErr w:type="spellStart"/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>Plackett</w:t>
      </w:r>
      <w:proofErr w:type="spellEnd"/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 xml:space="preserve"> Burman design.</w:t>
      </w:r>
      <w:r w:rsidRPr="00673F50">
        <w:rPr>
          <w:rFonts w:ascii="Times New Roman" w:hAnsi="Times New Roman" w:cs="Times New Roman"/>
          <w:b/>
          <w:bCs/>
          <w:i/>
          <w:iCs/>
          <w:color w:val="000000" w:themeColor="text1"/>
          <w:lang w:val="en-GB"/>
        </w:rPr>
        <w:t xml:space="preserve"> </w:t>
      </w:r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 xml:space="preserve">(B)Effect test result and scaled estimate results of </w:t>
      </w:r>
      <w:proofErr w:type="spellStart"/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>Plackett</w:t>
      </w:r>
      <w:proofErr w:type="spellEnd"/>
      <w:r w:rsidRPr="00673F50">
        <w:rPr>
          <w:rFonts w:ascii="Times New Roman" w:hAnsi="Times New Roman" w:cs="Times New Roman"/>
          <w:i/>
          <w:iCs/>
          <w:color w:val="000000" w:themeColor="text1"/>
          <w:lang w:val="en-GB"/>
        </w:rPr>
        <w:t xml:space="preserve"> Burman design</w:t>
      </w:r>
      <w:r>
        <w:rPr>
          <w:rFonts w:ascii="Times New Roman" w:hAnsi="Times New Roman" w:cs="Times New Roman"/>
          <w:color w:val="000000" w:themeColor="text1"/>
        </w:rPr>
        <w:br w:type="page"/>
      </w:r>
    </w:p>
    <w:p w14:paraId="748CE75F" w14:textId="5DA09193" w:rsidR="00942C32" w:rsidRPr="00673F50" w:rsidRDefault="00942C32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73FDA88A" wp14:editId="3F099A2D">
            <wp:extent cx="4713739" cy="4229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6023" cy="4231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9C56E" w14:textId="7F5538B6" w:rsidR="00942C32" w:rsidRPr="00E669BC" w:rsidRDefault="00942C32" w:rsidP="00942C32">
      <w:pPr>
        <w:spacing w:line="48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</w:pPr>
      <w:r w:rsidRPr="00E669BC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Fig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. </w:t>
      </w:r>
      <w:r w:rsidRPr="00E669BC"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S1</w:t>
      </w:r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0 </w:t>
      </w:r>
      <w:proofErr w:type="spellStart"/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>CreA</w:t>
      </w:r>
      <w:proofErr w:type="spellEnd"/>
      <w:r>
        <w:rPr>
          <w:rFonts w:ascii="Times New Roman" w:hAnsi="Times New Roman" w:cs="Times New Roman"/>
          <w:b/>
          <w:bCs/>
          <w:i/>
          <w:iCs/>
          <w:color w:val="000000" w:themeColor="text1"/>
          <w:lang w:val="en-US"/>
        </w:rPr>
        <w:t xml:space="preserve"> knock out</w:t>
      </w:r>
    </w:p>
    <w:p w14:paraId="3B77C216" w14:textId="6D64B541" w:rsidR="00DE7E01" w:rsidRDefault="00942C32" w:rsidP="00942C32">
      <w:pPr>
        <w:spacing w:line="480" w:lineRule="auto"/>
        <w:jc w:val="both"/>
        <w:rPr>
          <w:rFonts w:ascii="Times New Roman" w:hAnsi="Times New Roman" w:cs="Times New Roman"/>
          <w:i/>
          <w:iCs/>
          <w:color w:val="000000" w:themeColor="text1"/>
          <w:lang w:val="en-US"/>
        </w:rPr>
      </w:pPr>
      <w:r w:rsidRPr="00E669BC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1% Agarose gel. </w:t>
      </w:r>
      <w:proofErr w:type="spellStart"/>
      <w:r w:rsidRPr="00E669BC">
        <w:rPr>
          <w:rFonts w:ascii="Times New Roman" w:hAnsi="Times New Roman" w:cs="Times New Roman"/>
          <w:i/>
          <w:iCs/>
          <w:color w:val="000000" w:themeColor="text1"/>
          <w:lang w:val="en-US"/>
        </w:rPr>
        <w:t>CreA</w:t>
      </w:r>
      <w:proofErr w:type="spellEnd"/>
      <w:r w:rsidRPr="00E669BC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knock out in Lane 2 shows a shift in the band. primers– </w:t>
      </w:r>
      <w:proofErr w:type="spellStart"/>
      <w:r w:rsidRPr="00E669BC">
        <w:rPr>
          <w:rFonts w:ascii="Times New Roman" w:hAnsi="Times New Roman" w:cs="Times New Roman"/>
          <w:i/>
          <w:iCs/>
          <w:color w:val="000000" w:themeColor="text1"/>
          <w:lang w:val="en-US"/>
        </w:rPr>
        <w:t>Fwd</w:t>
      </w:r>
      <w:proofErr w:type="spellEnd"/>
      <w:r w:rsidRPr="00E669BC">
        <w:rPr>
          <w:rFonts w:ascii="Times New Roman" w:hAnsi="Times New Roman" w:cs="Times New Roman"/>
          <w:i/>
          <w:iCs/>
          <w:color w:val="000000" w:themeColor="text1"/>
          <w:lang w:val="en-US"/>
        </w:rPr>
        <w:t xml:space="preserve"> 5’GTCTGTCTGTCGCTGCTAAACTC3’ and Rev 5’ACTTGGTTCTGGATGTATATTGCC3’</w:t>
      </w:r>
    </w:p>
    <w:p w14:paraId="4B8A7706" w14:textId="77777777" w:rsidR="00DE7E01" w:rsidRDefault="00DE7E01">
      <w:pPr>
        <w:spacing w:after="160" w:line="259" w:lineRule="auto"/>
        <w:rPr>
          <w:rFonts w:ascii="Times New Roman" w:hAnsi="Times New Roman" w:cs="Times New Roman"/>
          <w:i/>
          <w:iCs/>
          <w:color w:val="000000" w:themeColor="text1"/>
          <w:lang w:val="en-US"/>
        </w:rPr>
      </w:pPr>
      <w:r>
        <w:rPr>
          <w:rFonts w:ascii="Times New Roman" w:hAnsi="Times New Roman" w:cs="Times New Roman"/>
          <w:i/>
          <w:iCs/>
          <w:color w:val="000000" w:themeColor="text1"/>
          <w:lang w:val="en-US"/>
        </w:rPr>
        <w:br w:type="page"/>
      </w:r>
    </w:p>
    <w:p w14:paraId="605D1111" w14:textId="6BA0844E" w:rsidR="00942C32" w:rsidRDefault="00DE7E01" w:rsidP="00942C32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>
        <w:rPr>
          <w:rFonts w:ascii="Times New Roman" w:hAnsi="Times New Roman" w:cs="Times New Roman"/>
          <w:b/>
          <w:bCs/>
          <w:color w:val="000000" w:themeColor="text1"/>
          <w:lang w:val="en-US"/>
        </w:rPr>
        <w:lastRenderedPageBreak/>
        <w:t>Tables</w:t>
      </w:r>
    </w:p>
    <w:p w14:paraId="02C5F75A" w14:textId="77777777" w:rsidR="00DE7E01" w:rsidRPr="00DE7E01" w:rsidRDefault="00DE7E01" w:rsidP="00DE7E01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DE7E01">
        <w:rPr>
          <w:rFonts w:ascii="Times New Roman" w:hAnsi="Times New Roman" w:cs="Times New Roman"/>
          <w:b/>
          <w:bCs/>
          <w:color w:val="000000" w:themeColor="text1"/>
          <w:lang w:val="en-US"/>
        </w:rPr>
        <w:t>Table S1: Assembly statics for contigs</w:t>
      </w:r>
      <w:r w:rsidRPr="00DE7E01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tbl>
      <w:tblPr>
        <w:tblW w:w="9223" w:type="dxa"/>
        <w:jc w:val="center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733"/>
        <w:gridCol w:w="1492"/>
        <w:gridCol w:w="1736"/>
        <w:gridCol w:w="1537"/>
        <w:gridCol w:w="1725"/>
      </w:tblGrid>
      <w:tr w:rsidR="00DE7E01" w14:paraId="39086738" w14:textId="77777777" w:rsidTr="00DE7E01">
        <w:trPr>
          <w:trHeight w:val="716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81FA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Assembly              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2C6BE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proofErr w:type="spellStart"/>
            <w:r>
              <w:rPr>
                <w:rFonts w:ascii="Times New Roman" w:hAnsi="SimSun"/>
                <w:color w:val="000000"/>
              </w:rPr>
              <w:t>MaSuRCa</w:t>
            </w:r>
            <w:proofErr w:type="spellEnd"/>
            <w:r>
              <w:rPr>
                <w:rFonts w:ascii="Times New Roman" w:hAnsi="SimSun"/>
                <w:color w:val="000000"/>
              </w:rPr>
              <w:t xml:space="preserve"> 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F641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proofErr w:type="spellStart"/>
            <w:r>
              <w:rPr>
                <w:rFonts w:ascii="Times New Roman" w:hAnsi="SimSun"/>
                <w:color w:val="000000"/>
              </w:rPr>
              <w:t>Soap</w:t>
            </w:r>
            <w:r>
              <w:rPr>
                <w:rFonts w:ascii="Times New Roman" w:hAnsi="SimSun"/>
                <w:i/>
                <w:iCs/>
                <w:color w:val="000000"/>
              </w:rPr>
              <w:t>denovo</w:t>
            </w:r>
            <w:proofErr w:type="spellEnd"/>
            <w:r>
              <w:rPr>
                <w:rFonts w:ascii="Times New Roman" w:hAnsi="SimSun"/>
                <w:color w:val="000000"/>
              </w:rPr>
              <w:t xml:space="preserve"> k67 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332D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proofErr w:type="spellStart"/>
            <w:r>
              <w:rPr>
                <w:rFonts w:ascii="Times New Roman" w:hAnsi="SimSun"/>
                <w:color w:val="000000"/>
              </w:rPr>
              <w:t>Soapdenovo</w:t>
            </w:r>
            <w:proofErr w:type="spellEnd"/>
            <w:r>
              <w:rPr>
                <w:rFonts w:ascii="Times New Roman" w:hAnsi="SimSun"/>
                <w:color w:val="000000"/>
              </w:rPr>
              <w:t xml:space="preserve"> k78  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B0C0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Spades</w:t>
            </w:r>
          </w:p>
        </w:tc>
      </w:tr>
      <w:tr w:rsidR="00DE7E01" w14:paraId="0C7CA008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C958E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# contigs (&gt;= 0 bp)   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223A1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887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DB66C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3,861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C2C6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3,975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FEC6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1,595</w:t>
            </w:r>
          </w:p>
        </w:tc>
      </w:tr>
      <w:tr w:rsidR="00DE7E01" w14:paraId="41161B05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4155F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# contigs (&gt;= 1000 bp)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49569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676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4A3F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1,164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2941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1,250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73480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577</w:t>
            </w:r>
          </w:p>
        </w:tc>
      </w:tr>
      <w:tr w:rsidR="00DE7E01" w14:paraId="0C7CF2C9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66DC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# contigs (&gt;= 5000 bp)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1C9D0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323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7D367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670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6020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760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82700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292</w:t>
            </w:r>
          </w:p>
        </w:tc>
      </w:tr>
      <w:tr w:rsidR="00DE7E01" w14:paraId="5F67B5E8" w14:textId="77777777" w:rsidTr="00DE7E01">
        <w:trPr>
          <w:trHeight w:val="330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ABCF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# contigs (&gt;= 10000 bp)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F6508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230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CAEF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502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0360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583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73777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213</w:t>
            </w:r>
          </w:p>
        </w:tc>
      </w:tr>
      <w:tr w:rsidR="00DE7E01" w14:paraId="29B01F51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A71DB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# contigs (&gt;= 25000 bp)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E999B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160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87E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346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A1E6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392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3C24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150</w:t>
            </w:r>
          </w:p>
        </w:tc>
      </w:tr>
      <w:tr w:rsidR="00DE7E01" w14:paraId="3F75D926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E28E3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# contigs (&gt;= 50000 bp)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6ABA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116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22860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219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DDAB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227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A716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112</w:t>
            </w:r>
          </w:p>
        </w:tc>
      </w:tr>
      <w:tr w:rsidR="00DE7E01" w14:paraId="1EF03816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5EB3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Total length (&gt;= 0 bp)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5AEF9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38,561,598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67E45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37,974,115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E1A0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37,927,754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A98AF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37,859,397</w:t>
            </w:r>
          </w:p>
        </w:tc>
      </w:tr>
      <w:tr w:rsidR="00DE7E01" w14:paraId="71D3E6D5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4548D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Total length (&gt;= 1000 bp)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4D4F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38,424,840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B05B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37,040,070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0847F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36,981,725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7FCA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37,460,920</w:t>
            </w:r>
          </w:p>
        </w:tc>
      </w:tr>
      <w:tr w:rsidR="00DE7E01" w14:paraId="2DEBDC21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B6F9D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Total length (&gt;= 5000 bp)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5CC28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37,690,310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5C026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35,934,868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92C53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35,882,673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640AB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36,783,097</w:t>
            </w:r>
          </w:p>
        </w:tc>
      </w:tr>
      <w:tr w:rsidR="00DE7E01" w14:paraId="591AA61C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8A92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Total length (&gt;= 10000 bp)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DAB09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37,027,337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753C3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34,780,149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50B00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34,655,443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3CA7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36,204,023</w:t>
            </w:r>
          </w:p>
        </w:tc>
      </w:tr>
      <w:tr w:rsidR="00DE7E01" w14:paraId="0EDA6F29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359C9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Total length (&gt;= 25000 bp)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85726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35,875,216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432A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32,232,579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44FE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31,518,356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EC3CE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35,195,785</w:t>
            </w:r>
          </w:p>
        </w:tc>
      </w:tr>
      <w:tr w:rsidR="00DE7E01" w14:paraId="7D2D9758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729A5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Total length (&gt;= 50000 bp)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59028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34,336,277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83A0D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27,626,758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7F7BC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25,416,776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7E087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33,800,349</w:t>
            </w:r>
          </w:p>
        </w:tc>
      </w:tr>
      <w:tr w:rsidR="00DE7E01" w14:paraId="38BCDBE3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41848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# contigs             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722C" w14:textId="3097E1AD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8</w:t>
            </w:r>
            <w:r w:rsidR="007E709F">
              <w:rPr>
                <w:rFonts w:ascii="Times New Roman" w:hAnsi="SimSun"/>
                <w:color w:val="000000"/>
              </w:rPr>
              <w:t>28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CF108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1,664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77AE1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1,736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1BB58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830</w:t>
            </w:r>
          </w:p>
        </w:tc>
      </w:tr>
      <w:tr w:rsidR="00DE7E01" w14:paraId="62B0C8D7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C60CB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Largest contig        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109B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1,633,654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BE160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394,282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1FC4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371,764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76EC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2,804,526</w:t>
            </w:r>
          </w:p>
        </w:tc>
      </w:tr>
      <w:tr w:rsidR="00DE7E01" w14:paraId="2F80BDA4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5BB1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Total length          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68A5" w14:textId="3AF04279" w:rsidR="00DE7E01" w:rsidRDefault="007E709F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 w:rsidRPr="007E709F">
              <w:rPr>
                <w:rFonts w:ascii="Times New Roman" w:hAnsi="SimSun"/>
                <w:color w:val="000000"/>
              </w:rPr>
              <w:t>38,535,829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96A3D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37,389,315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DA05F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37,317,952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E19CD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37,646,110</w:t>
            </w:r>
          </w:p>
        </w:tc>
      </w:tr>
      <w:tr w:rsidR="00DE7E01" w14:paraId="4D585D5D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81331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GC (%)                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53E1A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47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C5CA9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47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BAAD7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47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E615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47</w:t>
            </w:r>
          </w:p>
        </w:tc>
      </w:tr>
      <w:tr w:rsidR="00DE7E01" w14:paraId="21BB55C0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2994B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N50                   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FAA49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391,761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49CC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112,808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EFAC5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84,868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7433E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382,360</w:t>
            </w:r>
          </w:p>
        </w:tc>
      </w:tr>
      <w:tr w:rsidR="00DE7E01" w14:paraId="23FDD6CB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57161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N75                   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B6CC7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192,766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906A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48,035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01D63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40,989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4431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194,981</w:t>
            </w:r>
          </w:p>
        </w:tc>
      </w:tr>
      <w:tr w:rsidR="00DE7E01" w14:paraId="2023F2C6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5E7A3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L50                   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43367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30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4D26E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101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9A1E7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124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4C986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26</w:t>
            </w:r>
          </w:p>
        </w:tc>
      </w:tr>
      <w:tr w:rsidR="00DE7E01" w14:paraId="367B5EB1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4849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L75                   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2CE65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66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C32B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228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3797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284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17611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60</w:t>
            </w:r>
          </w:p>
        </w:tc>
      </w:tr>
      <w:tr w:rsidR="00DE7E01" w14:paraId="1C756688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7129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 xml:space="preserve"># N's per 100 </w:t>
            </w:r>
            <w:proofErr w:type="spellStart"/>
            <w:r>
              <w:rPr>
                <w:rFonts w:ascii="Times New Roman" w:hAnsi="SimSun"/>
                <w:color w:val="000000"/>
              </w:rPr>
              <w:t>kbp</w:t>
            </w:r>
            <w:proofErr w:type="spellEnd"/>
            <w:r>
              <w:rPr>
                <w:rFonts w:ascii="Times New Roman" w:hAnsi="SimSun"/>
                <w:color w:val="000000"/>
              </w:rPr>
              <w:t xml:space="preserve">           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E08F6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0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A1C0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0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C4187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0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BEC5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0</w:t>
            </w:r>
          </w:p>
        </w:tc>
      </w:tr>
      <w:tr w:rsidR="00DE7E01" w14:paraId="1CA57DEF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B3683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Complete BUSCOs (C)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27E5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1294 (98.4%)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229AC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1288 (97.9%)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58F25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1285 (97.7%)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12D58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1294 (98.4%)</w:t>
            </w:r>
          </w:p>
        </w:tc>
      </w:tr>
      <w:tr w:rsidR="00DE7E01" w14:paraId="758AD947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022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Fragmented BUSCOs (F)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90B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7 (0.5%)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B4EF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11 (0.8%)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1E7A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12 (0.9%)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5E62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7 (0.5%)</w:t>
            </w:r>
          </w:p>
        </w:tc>
      </w:tr>
      <w:tr w:rsidR="00DE7E01" w14:paraId="01F7AC0E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6FB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Missing BUSCOs (M)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0306C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14 (1.1%)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E6585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16 (1.3%)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9615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18 (1.4%)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AE5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14 (1.1%)</w:t>
            </w:r>
          </w:p>
        </w:tc>
      </w:tr>
      <w:tr w:rsidR="00DE7E01" w14:paraId="04207120" w14:textId="77777777" w:rsidTr="00DE7E01">
        <w:trPr>
          <w:trHeight w:val="285"/>
          <w:jc w:val="center"/>
        </w:trPr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038E8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Total BUSCO groups searched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3C90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1,315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379CB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1,315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42454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1,315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2A492" w14:textId="77777777" w:rsidR="00DE7E01" w:rsidRDefault="00DE7E01" w:rsidP="000F528D">
            <w:pPr>
              <w:autoSpaceDN w:val="0"/>
              <w:spacing w:line="260" w:lineRule="auto"/>
              <w:jc w:val="center"/>
              <w:textAlignment w:val="center"/>
              <w:rPr>
                <w:rFonts w:ascii="Times New Roman" w:hAnsi="SimSun"/>
                <w:color w:val="000000"/>
              </w:rPr>
            </w:pPr>
            <w:r>
              <w:rPr>
                <w:rFonts w:ascii="Times New Roman" w:hAnsi="SimSun"/>
                <w:color w:val="000000"/>
              </w:rPr>
              <w:t>1,315</w:t>
            </w:r>
          </w:p>
        </w:tc>
      </w:tr>
    </w:tbl>
    <w:p w14:paraId="16202FD1" w14:textId="7AB2487A" w:rsidR="00DE7E01" w:rsidRDefault="00DE7E01" w:rsidP="00942C32">
      <w:pPr>
        <w:spacing w:line="480" w:lineRule="auto"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14:paraId="24936B48" w14:textId="77777777" w:rsidR="00DE7E01" w:rsidRDefault="00DE7E01">
      <w:pPr>
        <w:spacing w:after="160" w:line="259" w:lineRule="auto"/>
        <w:rPr>
          <w:rFonts w:ascii="Times New Roman" w:hAnsi="Times New Roman" w:cs="Times New Roman"/>
          <w:color w:val="000000" w:themeColor="text1"/>
          <w:lang w:val="en-US"/>
        </w:rPr>
      </w:pPr>
      <w:r>
        <w:rPr>
          <w:rFonts w:ascii="Times New Roman" w:hAnsi="Times New Roman" w:cs="Times New Roman"/>
          <w:color w:val="000000" w:themeColor="text1"/>
          <w:lang w:val="en-US"/>
        </w:rPr>
        <w:br w:type="page"/>
      </w:r>
    </w:p>
    <w:p w14:paraId="1BC7A971" w14:textId="77777777" w:rsidR="00DE7E01" w:rsidRPr="00180BFA" w:rsidRDefault="00DE7E01" w:rsidP="00DE7E01">
      <w:pPr>
        <w:spacing w:line="480" w:lineRule="auto"/>
        <w:jc w:val="both"/>
        <w:rPr>
          <w:rFonts w:ascii="Times New Roman" w:hAnsi="Times New Roman" w:cs="Times New Roman"/>
          <w:color w:val="000000" w:themeColor="text1"/>
        </w:rPr>
      </w:pPr>
      <w:r w:rsidRPr="00180BFA">
        <w:rPr>
          <w:rFonts w:ascii="Times New Roman" w:hAnsi="Times New Roman" w:cs="Times New Roman"/>
          <w:b/>
          <w:bCs/>
          <w:color w:val="000000" w:themeColor="text1"/>
          <w:lang w:val="en-US"/>
        </w:rPr>
        <w:lastRenderedPageBreak/>
        <w:t>Table S2</w:t>
      </w:r>
      <w:r w:rsidRPr="00180BFA">
        <w:rPr>
          <w:rFonts w:ascii="Times New Roman" w:hAnsi="Times New Roman" w:cs="Times New Roman"/>
          <w:color w:val="000000" w:themeColor="text1"/>
          <w:lang w:val="en-US"/>
        </w:rPr>
        <w:t>: Membrane Bound cellulases</w:t>
      </w:r>
    </w:p>
    <w:tbl>
      <w:tblPr>
        <w:tblW w:w="7740" w:type="dxa"/>
        <w:tblLook w:val="04A0" w:firstRow="1" w:lastRow="0" w:firstColumn="1" w:lastColumn="0" w:noHBand="0" w:noVBand="1"/>
      </w:tblPr>
      <w:tblGrid>
        <w:gridCol w:w="1592"/>
        <w:gridCol w:w="1793"/>
        <w:gridCol w:w="4620"/>
      </w:tblGrid>
      <w:tr w:rsidR="00DE7E01" w:rsidRPr="00180BFA" w14:paraId="7C982B4E" w14:textId="77777777" w:rsidTr="000F528D">
        <w:trPr>
          <w:trHeight w:val="588"/>
        </w:trPr>
        <w:tc>
          <w:tcPr>
            <w:tcW w:w="1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660C6" w14:textId="77777777" w:rsidR="00DE7E01" w:rsidRPr="00180BFA" w:rsidRDefault="00DE7E01" w:rsidP="000F52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  <w:t>Protein NCBI ID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3B77C0" w14:textId="77777777" w:rsidR="00DE7E01" w:rsidRPr="00180BFA" w:rsidRDefault="00DE7E01" w:rsidP="000F52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  <w:t>Transmembrane Helices</w:t>
            </w:r>
          </w:p>
        </w:tc>
        <w:tc>
          <w:tcPr>
            <w:tcW w:w="4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DE932" w14:textId="77777777" w:rsidR="00DE7E01" w:rsidRPr="00180BFA" w:rsidRDefault="00DE7E01" w:rsidP="000F528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  <w:t>Putative Function</w:t>
            </w:r>
          </w:p>
        </w:tc>
      </w:tr>
      <w:tr w:rsidR="00DE7E01" w:rsidRPr="00180BFA" w14:paraId="29B2C785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2512F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KAI7971606.1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17008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15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23DBC3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1,3-beta-glucan synthase component FKS1</w:t>
            </w:r>
          </w:p>
        </w:tc>
      </w:tr>
      <w:tr w:rsidR="00DE7E01" w:rsidRPr="00180BFA" w14:paraId="7A402918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D0093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KAI7970451.1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BD748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13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E8A66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alpha-1,4-glucan synthase</w:t>
            </w:r>
          </w:p>
        </w:tc>
      </w:tr>
      <w:tr w:rsidR="00DE7E01" w:rsidRPr="00180BFA" w14:paraId="24D2FCA6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566D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KAI7969028.1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74050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12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6B20B8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Vacuolar membrane protein</w:t>
            </w:r>
          </w:p>
        </w:tc>
      </w:tr>
      <w:tr w:rsidR="00DE7E01" w:rsidRPr="00180BFA" w14:paraId="65A8099A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342EC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KAI7973501.1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B30AD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11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A727A0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1,4-alpha-glucan-branching enzyme</w:t>
            </w:r>
          </w:p>
        </w:tc>
      </w:tr>
      <w:tr w:rsidR="00DE7E01" w:rsidRPr="00180BFA" w14:paraId="65AB2D9E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5490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KAI7968906.1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FD448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10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8FAB4B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proofErr w:type="spellStart"/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Oligosaccharyl</w:t>
            </w:r>
            <w:proofErr w:type="spellEnd"/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 xml:space="preserve"> transferase, STT3 subunit</w:t>
            </w:r>
          </w:p>
        </w:tc>
      </w:tr>
      <w:tr w:rsidR="00DE7E01" w:rsidRPr="00180BFA" w14:paraId="749F3FF6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1EA46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KAI7971961.1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58481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9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9131E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Concanavalin A-like lectin/</w:t>
            </w:r>
            <w:proofErr w:type="spellStart"/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glucanases</w:t>
            </w:r>
            <w:proofErr w:type="spellEnd"/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 xml:space="preserve"> superfamily</w:t>
            </w:r>
          </w:p>
        </w:tc>
      </w:tr>
      <w:tr w:rsidR="00DE7E01" w:rsidRPr="00180BFA" w14:paraId="794552FF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5A6F2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KAI7970707.1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25F05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8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C3F2C4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Uncharacterized protein</w:t>
            </w:r>
          </w:p>
        </w:tc>
      </w:tr>
      <w:tr w:rsidR="00DE7E01" w:rsidRPr="00180BFA" w14:paraId="56A73BD8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DF2E6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KAI7977301.1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C61E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6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34E0F8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Cellobiose dehydrogenase, cytochrome</w:t>
            </w:r>
          </w:p>
        </w:tc>
      </w:tr>
      <w:tr w:rsidR="00DE7E01" w:rsidRPr="00180BFA" w14:paraId="3B6FF768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FBEAF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KAI7971353.1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2B06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6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064AC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Concanavalin A-like lectin/</w:t>
            </w:r>
            <w:proofErr w:type="spellStart"/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glucanase</w:t>
            </w:r>
            <w:proofErr w:type="spellEnd"/>
          </w:p>
        </w:tc>
      </w:tr>
      <w:tr w:rsidR="00DE7E01" w:rsidRPr="00180BFA" w14:paraId="6E9507E4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32A52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KAI7977641.1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B67F3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6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3FBF26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Chitin synthase (EC 2.4.1.16)</w:t>
            </w:r>
          </w:p>
        </w:tc>
      </w:tr>
      <w:tr w:rsidR="00DE7E01" w:rsidRPr="00180BFA" w14:paraId="1B1173A6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B607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KAI7978342.1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022A8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5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FE4107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Fungal chitin synthase</w:t>
            </w:r>
          </w:p>
        </w:tc>
      </w:tr>
      <w:tr w:rsidR="00DE7E01" w:rsidRPr="00180BFA" w14:paraId="22CC545E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7370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KAI7978312.1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F31C7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5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5591EF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Cellobiose dehydrogenase, cytochrome</w:t>
            </w:r>
          </w:p>
        </w:tc>
      </w:tr>
      <w:tr w:rsidR="00DE7E01" w:rsidRPr="00180BFA" w14:paraId="57084240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6C1F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KAI7975560.1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B02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A7F8FF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chitin synthase</w:t>
            </w:r>
          </w:p>
        </w:tc>
      </w:tr>
      <w:tr w:rsidR="00DE7E01" w:rsidRPr="00180BFA" w14:paraId="1AAAB72F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27580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KAI7971960.1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2B10C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0F1BCF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 xml:space="preserve">putative glycosyltransferase </w:t>
            </w:r>
            <w:proofErr w:type="spellStart"/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YdaM</w:t>
            </w:r>
            <w:proofErr w:type="spellEnd"/>
          </w:p>
        </w:tc>
      </w:tr>
      <w:tr w:rsidR="00DE7E01" w:rsidRPr="00180BFA" w14:paraId="73E55E14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379B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KAI7973107.1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BEB41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4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5D146D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Glycosyl transferase, family 39</w:t>
            </w:r>
          </w:p>
        </w:tc>
      </w:tr>
      <w:tr w:rsidR="00DE7E01" w:rsidRPr="00180BFA" w14:paraId="435042DD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72638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KAI7977060.1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1FD0C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3592DF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Chitin Synthase</w:t>
            </w:r>
          </w:p>
        </w:tc>
      </w:tr>
      <w:tr w:rsidR="00DE7E01" w:rsidRPr="00180BFA" w14:paraId="785AA981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1E78E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KAI7969626.1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D398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54F57E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 xml:space="preserve">Cell wall acid </w:t>
            </w:r>
            <w:proofErr w:type="spellStart"/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trehalase</w:t>
            </w:r>
            <w:proofErr w:type="spellEnd"/>
          </w:p>
        </w:tc>
      </w:tr>
      <w:tr w:rsidR="00DE7E01" w:rsidRPr="00180BFA" w14:paraId="527B58AB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5A5AF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KAI7973529.1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2131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B38ED6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Fungal chitin synthase</w:t>
            </w:r>
          </w:p>
        </w:tc>
      </w:tr>
      <w:tr w:rsidR="00DE7E01" w:rsidRPr="00180BFA" w14:paraId="7A60B4DE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5896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KAI7974022.1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757390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DF1CCD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D-lactate dehydrogenase</w:t>
            </w:r>
          </w:p>
        </w:tc>
      </w:tr>
      <w:tr w:rsidR="00DE7E01" w:rsidRPr="00180BFA" w14:paraId="24BABD64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A507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KAI7977256.1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2EB77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FF9B0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Mannan endo-1,6-alpha-mannosidase DCW1</w:t>
            </w:r>
          </w:p>
        </w:tc>
      </w:tr>
      <w:tr w:rsidR="00DE7E01" w:rsidRPr="00180BFA" w14:paraId="29F31D1E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060BF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KAI7971355.1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C5ACD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843507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Glucans biosynthesis glucosyltransferase H</w:t>
            </w:r>
          </w:p>
        </w:tc>
      </w:tr>
      <w:tr w:rsidR="00DE7E01" w:rsidRPr="00180BFA" w14:paraId="75DCA226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DDFD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KAI7976887.1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127CD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A0A4BC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Cellulose synthase catalytic subunit [UDP-forming]</w:t>
            </w:r>
          </w:p>
        </w:tc>
      </w:tr>
      <w:tr w:rsidR="00DE7E01" w:rsidRPr="00180BFA" w14:paraId="6CD2A8A5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5948D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KAF3388267.1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0ABBC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A8FBDB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Chitin synthase G</w:t>
            </w:r>
          </w:p>
        </w:tc>
      </w:tr>
      <w:tr w:rsidR="00DE7E01" w:rsidRPr="00180BFA" w14:paraId="0975DCBE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CA29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KAI7973657.1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ADB5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3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12E8B2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Chitin synthase C</w:t>
            </w:r>
          </w:p>
        </w:tc>
      </w:tr>
      <w:tr w:rsidR="00DE7E01" w:rsidRPr="00180BFA" w14:paraId="56E3F553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2240B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KAI7973455.1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D6442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0BFC8A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Glycoside hydrolase, family 2</w:t>
            </w:r>
          </w:p>
        </w:tc>
      </w:tr>
      <w:tr w:rsidR="00DE7E01" w:rsidRPr="00180BFA" w14:paraId="1139CD0F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75E07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KAI7972919.1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EE31A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8B048A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Beta-xylanase (EC 3.2.1.8)</w:t>
            </w:r>
          </w:p>
        </w:tc>
      </w:tr>
      <w:tr w:rsidR="00DE7E01" w:rsidRPr="00180BFA" w14:paraId="12F46E09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C861C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KAI7978317.1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1D792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27D3C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Sterol esterase 2</w:t>
            </w:r>
          </w:p>
        </w:tc>
      </w:tr>
      <w:tr w:rsidR="00DE7E01" w:rsidRPr="00180BFA" w14:paraId="714B696D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E029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KAI7972733.1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679AF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171347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Glycosyl transferase, family 54</w:t>
            </w:r>
          </w:p>
        </w:tc>
      </w:tr>
      <w:tr w:rsidR="00DE7E01" w:rsidRPr="00180BFA" w14:paraId="0E64303A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8643E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KAI7976986.1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A33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E48F8F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 xml:space="preserve">putative glucan endo-1,3-beta-glucosidase </w:t>
            </w:r>
            <w:proofErr w:type="spellStart"/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btgC</w:t>
            </w:r>
            <w:proofErr w:type="spellEnd"/>
          </w:p>
        </w:tc>
      </w:tr>
      <w:tr w:rsidR="00DE7E01" w:rsidRPr="00180BFA" w14:paraId="3B78F496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ADB4A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KAI7974623.1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B84E5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8604F6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Uncharacterized protein</w:t>
            </w:r>
          </w:p>
        </w:tc>
      </w:tr>
      <w:tr w:rsidR="00DE7E01" w:rsidRPr="00180BFA" w14:paraId="07BD9BF9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E035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KAI7977059.1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1032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AB17D1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Chitin synthase 6</w:t>
            </w:r>
          </w:p>
        </w:tc>
      </w:tr>
      <w:tr w:rsidR="00DE7E01" w:rsidRPr="00180BFA" w14:paraId="21964624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55A47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KAI7968742.1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51FD3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12A6CF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Glucosidase</w:t>
            </w:r>
          </w:p>
        </w:tc>
      </w:tr>
      <w:tr w:rsidR="00DE7E01" w:rsidRPr="00180BFA" w14:paraId="41608EE2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9F22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KAI7971201.1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E9CD7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F3B482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Uncharacterized protein</w:t>
            </w:r>
          </w:p>
        </w:tc>
      </w:tr>
      <w:tr w:rsidR="00DE7E01" w:rsidRPr="00180BFA" w14:paraId="19A797E9" w14:textId="77777777" w:rsidTr="000F528D">
        <w:trPr>
          <w:trHeight w:val="288"/>
        </w:trPr>
        <w:tc>
          <w:tcPr>
            <w:tcW w:w="152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63BA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KAI7976937.1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B87C6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D4BEC6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Chitin synthase (EC 2.4.1.16)</w:t>
            </w:r>
          </w:p>
        </w:tc>
      </w:tr>
      <w:tr w:rsidR="00DE7E01" w:rsidRPr="00180BFA" w14:paraId="0041F750" w14:textId="77777777" w:rsidTr="000F528D">
        <w:trPr>
          <w:trHeight w:val="300"/>
        </w:trPr>
        <w:tc>
          <w:tcPr>
            <w:tcW w:w="152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B8149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KAI7977684.1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1BBDD7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2</w:t>
            </w:r>
          </w:p>
        </w:tc>
        <w:tc>
          <w:tcPr>
            <w:tcW w:w="4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4E9F4C" w14:textId="77777777" w:rsidR="00DE7E01" w:rsidRPr="00180BFA" w:rsidRDefault="00DE7E01" w:rsidP="000F528D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Cellulose synthase catalytic subunit [UDP-forming]</w:t>
            </w:r>
          </w:p>
        </w:tc>
      </w:tr>
    </w:tbl>
    <w:p w14:paraId="2306EB87" w14:textId="0D6E3B40" w:rsidR="00DE7E01" w:rsidRPr="00180BFA" w:rsidRDefault="00DE7E01" w:rsidP="00942C32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58E3B887" w14:textId="77777777" w:rsidR="00DE7E01" w:rsidRPr="00180BFA" w:rsidRDefault="00DE7E01">
      <w:pPr>
        <w:spacing w:after="160" w:line="259" w:lineRule="auto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180BFA">
        <w:rPr>
          <w:rFonts w:ascii="Times New Roman" w:hAnsi="Times New Roman" w:cs="Times New Roman"/>
          <w:b/>
          <w:bCs/>
          <w:color w:val="000000" w:themeColor="text1"/>
          <w:lang w:val="en-US"/>
        </w:rPr>
        <w:br w:type="page"/>
      </w:r>
    </w:p>
    <w:p w14:paraId="7FC39669" w14:textId="685FF96A" w:rsidR="00DE7E01" w:rsidRPr="00180BFA" w:rsidRDefault="00DE7E01" w:rsidP="00942C32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80BFA">
        <w:rPr>
          <w:rFonts w:ascii="Times New Roman" w:hAnsi="Times New Roman" w:cs="Times New Roman"/>
          <w:b/>
          <w:bCs/>
          <w:color w:val="000000" w:themeColor="text1"/>
        </w:rPr>
        <w:lastRenderedPageBreak/>
        <w:t>Table S3: Composition Analysis for different biomass</w:t>
      </w:r>
    </w:p>
    <w:tbl>
      <w:tblPr>
        <w:tblW w:w="9425" w:type="dxa"/>
        <w:tblLook w:val="04A0" w:firstRow="1" w:lastRow="0" w:firstColumn="1" w:lastColumn="0" w:noHBand="0" w:noVBand="1"/>
      </w:tblPr>
      <w:tblGrid>
        <w:gridCol w:w="1418"/>
        <w:gridCol w:w="1001"/>
        <w:gridCol w:w="1002"/>
        <w:gridCol w:w="1001"/>
        <w:gridCol w:w="1001"/>
        <w:gridCol w:w="1000"/>
        <w:gridCol w:w="1001"/>
        <w:gridCol w:w="1000"/>
        <w:gridCol w:w="1001"/>
      </w:tblGrid>
      <w:tr w:rsidR="00DE7E01" w:rsidRPr="00180BFA" w14:paraId="369F2CF7" w14:textId="77777777" w:rsidTr="00DE7E01">
        <w:trPr>
          <w:trHeight w:val="304"/>
        </w:trPr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8C1115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  <w:t>Composition</w:t>
            </w:r>
          </w:p>
        </w:tc>
        <w:tc>
          <w:tcPr>
            <w:tcW w:w="20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7781C49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  <w:t>Cellulose (%)</w:t>
            </w:r>
          </w:p>
        </w:tc>
        <w:tc>
          <w:tcPr>
            <w:tcW w:w="200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5E1E534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  <w:t>Hemicellulose (%)</w:t>
            </w:r>
          </w:p>
        </w:tc>
        <w:tc>
          <w:tcPr>
            <w:tcW w:w="20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622B6B6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  <w:t>Lignin (%)</w:t>
            </w:r>
          </w:p>
        </w:tc>
        <w:tc>
          <w:tcPr>
            <w:tcW w:w="20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CC82E25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  <w:t>Ash (%)</w:t>
            </w:r>
          </w:p>
        </w:tc>
      </w:tr>
      <w:tr w:rsidR="00DE7E01" w:rsidRPr="00180BFA" w14:paraId="18E0E0D2" w14:textId="77777777" w:rsidTr="00DE7E01">
        <w:trPr>
          <w:trHeight w:val="595"/>
        </w:trPr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8CCC4F" w14:textId="77777777" w:rsidR="00DE7E01" w:rsidRPr="00180BFA" w:rsidRDefault="00DE7E01" w:rsidP="00DE7E01">
            <w:pPr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6BE9B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  <w:t>Raw   biomass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4AF3DD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  <w:t>Treated   biomass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A1790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  <w:t>Raw   biomass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E6C494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  <w:t>Treated   biomass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1056BA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  <w:t>Raw   biomass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C0C2A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  <w:t>Treated   biomass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84FF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  <w:t>Raw   biomass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B9E708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eastAsia="en-IN"/>
              </w:rPr>
              <w:t>Treated   biomass</w:t>
            </w:r>
          </w:p>
        </w:tc>
      </w:tr>
      <w:tr w:rsidR="00DE7E01" w:rsidRPr="00180BFA" w14:paraId="6667217F" w14:textId="77777777" w:rsidTr="00DE7E01">
        <w:trPr>
          <w:trHeight w:val="887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1D93A3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  <w:t>Sugarcane Bagasse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B5824C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36.77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546C49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66.675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CAFBB8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19.11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279B75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17.465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3BAA3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23.9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9BBEAF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14.25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EED49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1.82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11B55A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1.2</w:t>
            </w:r>
          </w:p>
        </w:tc>
      </w:tr>
      <w:tr w:rsidR="00DE7E01" w:rsidRPr="00180BFA" w14:paraId="7E483AD7" w14:textId="77777777" w:rsidTr="00DE7E01">
        <w:trPr>
          <w:trHeight w:val="595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7D033E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  <w:t>Wheat Straw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F22FE6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 35.11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24643E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68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26889F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18.78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541D65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8792B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21.98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D396B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/>
              </w:rPr>
              <w:t>11.51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08CB2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1.77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4265CD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en-IN"/>
              </w:rPr>
              <w:t>0.98</w:t>
            </w:r>
          </w:p>
        </w:tc>
      </w:tr>
      <w:tr w:rsidR="00DE7E01" w:rsidRPr="00180BFA" w14:paraId="35AAC2F5" w14:textId="77777777" w:rsidTr="00DE7E01">
        <w:trPr>
          <w:trHeight w:val="595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065459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  <w:t>Napier Grass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DEB91D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22.34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708520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59.01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AFCC34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18.21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39CDD7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20.98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AA0FA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29.37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11E51A4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18.64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ECA9C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3.32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F87D4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0.62</w:t>
            </w:r>
          </w:p>
        </w:tc>
      </w:tr>
      <w:tr w:rsidR="00DE7E01" w:rsidRPr="00180BFA" w14:paraId="18B82717" w14:textId="77777777" w:rsidTr="00DE7E01">
        <w:trPr>
          <w:trHeight w:val="304"/>
        </w:trPr>
        <w:tc>
          <w:tcPr>
            <w:tcW w:w="14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305FCE7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b/>
                <w:bCs/>
                <w:color w:val="222222"/>
                <w:sz w:val="22"/>
                <w:szCs w:val="22"/>
                <w:lang w:eastAsia="en-IN"/>
              </w:rPr>
              <w:t>Sorghum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C42A32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31.59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398CE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74.61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59EC1A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20.78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C39669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13.5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E0273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27.35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60DA7C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lang w:eastAsia="en-IN"/>
              </w:rPr>
              <w:t>10.52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A7F52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1.92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33014" w14:textId="77777777" w:rsidR="00DE7E01" w:rsidRPr="00180BFA" w:rsidRDefault="00DE7E01" w:rsidP="00DE7E0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0.67</w:t>
            </w:r>
          </w:p>
        </w:tc>
      </w:tr>
    </w:tbl>
    <w:p w14:paraId="44F04D4C" w14:textId="50CCCB87" w:rsidR="00DE7E01" w:rsidRPr="00180BFA" w:rsidRDefault="00DE7E01" w:rsidP="00942C32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p w14:paraId="5BA8E497" w14:textId="0C4465DF" w:rsidR="00DE7E01" w:rsidRPr="00180BFA" w:rsidRDefault="00837092" w:rsidP="00942C32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180BFA">
        <w:rPr>
          <w:rFonts w:ascii="Times New Roman" w:hAnsi="Times New Roman" w:cs="Times New Roman"/>
          <w:b/>
          <w:bCs/>
          <w:color w:val="000000" w:themeColor="text1"/>
          <w:lang w:val="en-US"/>
        </w:rPr>
        <w:t>Table S4: Primers used for RT-PCR</w:t>
      </w:r>
    </w:p>
    <w:tbl>
      <w:tblPr>
        <w:tblStyle w:val="TableGrid"/>
        <w:tblW w:w="6927" w:type="dxa"/>
        <w:tblLook w:val="04A0" w:firstRow="1" w:lastRow="0" w:firstColumn="1" w:lastColumn="0" w:noHBand="0" w:noVBand="1"/>
      </w:tblPr>
      <w:tblGrid>
        <w:gridCol w:w="960"/>
        <w:gridCol w:w="3541"/>
        <w:gridCol w:w="3577"/>
      </w:tblGrid>
      <w:tr w:rsidR="00837092" w:rsidRPr="00180BFA" w14:paraId="41C67809" w14:textId="77777777" w:rsidTr="00837092">
        <w:trPr>
          <w:trHeight w:val="476"/>
        </w:trPr>
        <w:tc>
          <w:tcPr>
            <w:tcW w:w="960" w:type="dxa"/>
            <w:noWrap/>
            <w:vAlign w:val="center"/>
            <w:hideMark/>
          </w:tcPr>
          <w:p w14:paraId="0BB5F7F5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Gene</w:t>
            </w:r>
          </w:p>
        </w:tc>
        <w:tc>
          <w:tcPr>
            <w:tcW w:w="2980" w:type="dxa"/>
            <w:noWrap/>
            <w:vAlign w:val="center"/>
            <w:hideMark/>
          </w:tcPr>
          <w:p w14:paraId="5EF618BE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Forward 5' to 3'</w:t>
            </w:r>
          </w:p>
        </w:tc>
        <w:tc>
          <w:tcPr>
            <w:tcW w:w="2987" w:type="dxa"/>
            <w:noWrap/>
            <w:vAlign w:val="center"/>
            <w:hideMark/>
          </w:tcPr>
          <w:p w14:paraId="22200758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Reverse 5' to 3'</w:t>
            </w:r>
          </w:p>
        </w:tc>
      </w:tr>
      <w:tr w:rsidR="00837092" w:rsidRPr="00180BFA" w14:paraId="2848FB4E" w14:textId="77777777" w:rsidTr="00837092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18D6D55B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egl1</w:t>
            </w:r>
          </w:p>
        </w:tc>
        <w:tc>
          <w:tcPr>
            <w:tcW w:w="2980" w:type="dxa"/>
            <w:noWrap/>
            <w:vAlign w:val="center"/>
            <w:hideMark/>
          </w:tcPr>
          <w:p w14:paraId="04C3B84A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TGAACTGGCTGGATAGTGGTAG</w:t>
            </w:r>
          </w:p>
        </w:tc>
        <w:tc>
          <w:tcPr>
            <w:tcW w:w="2987" w:type="dxa"/>
            <w:noWrap/>
            <w:vAlign w:val="center"/>
            <w:hideMark/>
          </w:tcPr>
          <w:p w14:paraId="63819325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CGAAGTTGACGACGATGATGAA</w:t>
            </w:r>
          </w:p>
        </w:tc>
      </w:tr>
      <w:tr w:rsidR="00837092" w:rsidRPr="00180BFA" w14:paraId="7680724C" w14:textId="77777777" w:rsidTr="00837092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12DDAE63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cbh1</w:t>
            </w:r>
          </w:p>
        </w:tc>
        <w:tc>
          <w:tcPr>
            <w:tcW w:w="2980" w:type="dxa"/>
            <w:noWrap/>
            <w:vAlign w:val="center"/>
            <w:hideMark/>
          </w:tcPr>
          <w:p w14:paraId="5D77D7A4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CTGATGCCTGCGGTGGTA</w:t>
            </w:r>
          </w:p>
        </w:tc>
        <w:tc>
          <w:tcPr>
            <w:tcW w:w="2987" w:type="dxa"/>
            <w:noWrap/>
            <w:vAlign w:val="center"/>
            <w:hideMark/>
          </w:tcPr>
          <w:p w14:paraId="599899F3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TGGTGGTGTCAACGGTCTT</w:t>
            </w:r>
          </w:p>
        </w:tc>
      </w:tr>
      <w:tr w:rsidR="00837092" w:rsidRPr="00180BFA" w14:paraId="40FED356" w14:textId="77777777" w:rsidTr="00837092">
        <w:trPr>
          <w:trHeight w:val="288"/>
        </w:trPr>
        <w:tc>
          <w:tcPr>
            <w:tcW w:w="960" w:type="dxa"/>
            <w:noWrap/>
            <w:vAlign w:val="center"/>
            <w:hideMark/>
          </w:tcPr>
          <w:p w14:paraId="38ADCD23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cbh2</w:t>
            </w:r>
          </w:p>
        </w:tc>
        <w:tc>
          <w:tcPr>
            <w:tcW w:w="2980" w:type="dxa"/>
            <w:noWrap/>
            <w:vAlign w:val="center"/>
            <w:hideMark/>
          </w:tcPr>
          <w:p w14:paraId="7EA3978B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GGCTCAACTCTTCGCAACAG</w:t>
            </w:r>
          </w:p>
        </w:tc>
        <w:tc>
          <w:tcPr>
            <w:tcW w:w="2987" w:type="dxa"/>
            <w:noWrap/>
            <w:vAlign w:val="center"/>
            <w:hideMark/>
          </w:tcPr>
          <w:p w14:paraId="64F9BBE9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GGAGTCGCCAGATGTGTATGA</w:t>
            </w:r>
          </w:p>
        </w:tc>
      </w:tr>
      <w:tr w:rsidR="00837092" w:rsidRPr="00180BFA" w14:paraId="75486EDC" w14:textId="77777777" w:rsidTr="00837092">
        <w:trPr>
          <w:trHeight w:val="300"/>
        </w:trPr>
        <w:tc>
          <w:tcPr>
            <w:tcW w:w="960" w:type="dxa"/>
            <w:noWrap/>
            <w:vAlign w:val="center"/>
            <w:hideMark/>
          </w:tcPr>
          <w:p w14:paraId="0AFE66EF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proofErr w:type="spellStart"/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bgl</w:t>
            </w:r>
            <w:proofErr w:type="spellEnd"/>
          </w:p>
        </w:tc>
        <w:tc>
          <w:tcPr>
            <w:tcW w:w="2980" w:type="dxa"/>
            <w:noWrap/>
            <w:vAlign w:val="center"/>
            <w:hideMark/>
          </w:tcPr>
          <w:p w14:paraId="5CBF8663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CTGGCAAAGTGGGATTGAAGTT</w:t>
            </w:r>
          </w:p>
        </w:tc>
        <w:tc>
          <w:tcPr>
            <w:tcW w:w="2987" w:type="dxa"/>
            <w:noWrap/>
            <w:vAlign w:val="center"/>
            <w:hideMark/>
          </w:tcPr>
          <w:p w14:paraId="3A935A35" w14:textId="77777777" w:rsidR="00837092" w:rsidRPr="00180BFA" w:rsidRDefault="00837092" w:rsidP="00837092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</w:pPr>
            <w:r w:rsidRPr="00180BF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en-IN"/>
              </w:rPr>
              <w:t>TGGCACCTGGAAGAGTATCG</w:t>
            </w:r>
          </w:p>
        </w:tc>
      </w:tr>
    </w:tbl>
    <w:p w14:paraId="00C500F1" w14:textId="77777777" w:rsidR="00DE7E01" w:rsidRPr="00180BFA" w:rsidRDefault="00DE7E01" w:rsidP="00942C32">
      <w:pPr>
        <w:spacing w:line="480" w:lineRule="auto"/>
        <w:jc w:val="both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sectPr w:rsidR="00DE7E01" w:rsidRPr="00180B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C32"/>
    <w:rsid w:val="00033F68"/>
    <w:rsid w:val="00180BFA"/>
    <w:rsid w:val="00671D2B"/>
    <w:rsid w:val="007E709F"/>
    <w:rsid w:val="00837092"/>
    <w:rsid w:val="00942C32"/>
    <w:rsid w:val="00B23C99"/>
    <w:rsid w:val="00DE7E01"/>
    <w:rsid w:val="00E84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46CB4"/>
  <w15:chartTrackingRefBased/>
  <w15:docId w15:val="{98AB984E-8212-4450-A582-DFDED89C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C32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942C3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7E0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370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0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7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Taxonomy/Browser/wwwtax.cgi?mode=Info&amp;id=128442&amp;lvl=3&amp;lin=f&amp;keep=1&amp;srchmode=1&amp;unlock" TargetMode="External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6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hyperlink" Target="mailto:nidhi.adlakha@rcb.res.in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1096</Words>
  <Characters>6250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Shivam Aggarwal</dc:creator>
  <cp:keywords/>
  <dc:description/>
  <cp:lastModifiedBy>Microsoft Office User</cp:lastModifiedBy>
  <cp:revision>2</cp:revision>
  <dcterms:created xsi:type="dcterms:W3CDTF">2023-01-13T06:00:00Z</dcterms:created>
  <dcterms:modified xsi:type="dcterms:W3CDTF">2023-01-13T06:00:00Z</dcterms:modified>
</cp:coreProperties>
</file>