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654E70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654E70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654E70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654E70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654E70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654E70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54E70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654E70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654E70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654E70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654E70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654E70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E70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654E70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E70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654E70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654E70">
        <w:rPr>
          <w:rFonts w:ascii="Times New Roman" w:hAnsi="Times New Roman" w:cs="Times New Roman"/>
          <w:sz w:val="24"/>
          <w:szCs w:val="24"/>
        </w:rPr>
        <w:t>, Neal N. Hengge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65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E70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654E70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654E70">
        <w:rPr>
          <w:rFonts w:ascii="Times New Roman" w:hAnsi="Times New Roman" w:cs="Times New Roman"/>
          <w:sz w:val="24"/>
          <w:szCs w:val="24"/>
        </w:rPr>
        <w:t>, Paul E. Abraham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54E70">
        <w:rPr>
          <w:rFonts w:ascii="Times New Roman" w:hAnsi="Times New Roman" w:cs="Times New Roman"/>
          <w:sz w:val="24"/>
          <w:szCs w:val="24"/>
        </w:rPr>
        <w:t xml:space="preserve">, </w:t>
      </w:r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54E70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654E70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654E70">
        <w:rPr>
          <w:rFonts w:ascii="Times New Roman" w:hAnsi="Times New Roman" w:cs="Times New Roman"/>
          <w:sz w:val="24"/>
          <w:szCs w:val="24"/>
        </w:rPr>
        <w:t>, Ian M. Black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5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54E70">
        <w:rPr>
          <w:rFonts w:ascii="Times New Roman" w:hAnsi="Times New Roman" w:cs="Times New Roman"/>
          <w:sz w:val="24"/>
          <w:szCs w:val="24"/>
        </w:rPr>
        <w:t>David Ryno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65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E70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654E70">
        <w:rPr>
          <w:rFonts w:ascii="Times New Roman" w:hAnsi="Times New Roman" w:cs="Times New Roman"/>
          <w:sz w:val="24"/>
          <w:szCs w:val="24"/>
        </w:rPr>
        <w:t xml:space="preserve"> Azadi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54E70">
        <w:rPr>
          <w:rFonts w:ascii="Times New Roman" w:hAnsi="Times New Roman" w:cs="Times New Roman"/>
          <w:sz w:val="24"/>
          <w:szCs w:val="24"/>
        </w:rPr>
        <w:t>, Timothy J. Tschaplinski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54E70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654E70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654E70">
        <w:rPr>
          <w:rFonts w:ascii="Times New Roman" w:hAnsi="Times New Roman" w:cs="Times New Roman"/>
          <w:sz w:val="24"/>
          <w:szCs w:val="24"/>
        </w:rPr>
        <w:t>, and Debra Mohnen</w:t>
      </w:r>
      <w:r w:rsidRPr="00654E70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654E70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654E70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654E70">
        <w:rPr>
          <w:rFonts w:ascii="Times New Roman" w:hAnsi="Times New Roman" w:cs="Times New Roman"/>
          <w:b/>
          <w:vertAlign w:val="superscript"/>
        </w:rPr>
        <w:t>1</w:t>
      </w:r>
      <w:r w:rsidRPr="00654E70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654E70">
        <w:rPr>
          <w:rFonts w:ascii="Times New Roman" w:hAnsi="Times New Roman" w:cs="Times New Roman"/>
          <w:b/>
          <w:vertAlign w:val="superscript"/>
        </w:rPr>
        <w:t>2</w:t>
      </w:r>
      <w:r w:rsidRPr="00654E70">
        <w:rPr>
          <w:rFonts w:ascii="Times New Roman" w:hAnsi="Times New Roman" w:cs="Times New Roman"/>
        </w:rPr>
        <w:t>Complex Carbohydrate Research Center,</w:t>
      </w:r>
      <w:r w:rsidRPr="00654E70">
        <w:rPr>
          <w:rFonts w:ascii="Times New Roman" w:hAnsi="Times New Roman" w:cs="Times New Roman"/>
          <w:b/>
          <w:vertAlign w:val="superscript"/>
        </w:rPr>
        <w:t xml:space="preserve"> </w:t>
      </w:r>
      <w:r w:rsidRPr="00654E70">
        <w:rPr>
          <w:rFonts w:ascii="Times New Roman" w:hAnsi="Times New Roman" w:cs="Times New Roman"/>
        </w:rPr>
        <w:t>University of Georgia, Athens, GA-30602, USA;</w:t>
      </w:r>
      <w:r w:rsidRPr="00654E70" w:rsidDel="0005149F">
        <w:rPr>
          <w:rFonts w:ascii="Times New Roman" w:hAnsi="Times New Roman" w:cs="Times New Roman"/>
        </w:rPr>
        <w:t xml:space="preserve"> </w:t>
      </w:r>
      <w:r w:rsidRPr="00654E70">
        <w:rPr>
          <w:rFonts w:ascii="Times New Roman" w:hAnsi="Times New Roman" w:cs="Times New Roman"/>
          <w:b/>
          <w:vertAlign w:val="superscript"/>
        </w:rPr>
        <w:t>3</w:t>
      </w:r>
      <w:r w:rsidRPr="00654E70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654E70">
        <w:rPr>
          <w:rFonts w:ascii="Times New Roman" w:hAnsi="Times New Roman" w:cs="Times New Roman"/>
          <w:vertAlign w:val="superscript"/>
        </w:rPr>
        <w:t>4</w:t>
      </w:r>
      <w:r w:rsidRPr="00654E70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654E70">
        <w:rPr>
          <w:rFonts w:ascii="Times New Roman" w:hAnsi="Times New Roman" w:cs="Times New Roman"/>
          <w:vertAlign w:val="superscript"/>
        </w:rPr>
        <w:t>5</w:t>
      </w:r>
      <w:r w:rsidRPr="00654E70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654E70" w:rsidRDefault="00532CEB"/>
    <w:p w14:paraId="1E4E9ABA" w14:textId="77777777" w:rsidR="003B356D" w:rsidRPr="00654E70" w:rsidRDefault="003B356D" w:rsidP="003B356D">
      <w:pPr>
        <w:pStyle w:val="NoteLevel11"/>
        <w:spacing w:line="480" w:lineRule="auto"/>
      </w:pPr>
      <w:r w:rsidRPr="00654E70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654E70">
        <w:rPr>
          <w:rFonts w:ascii="Times New Roman" w:hAnsi="Times New Roman"/>
          <w:b/>
          <w:bCs/>
          <w:sz w:val="24"/>
          <w:szCs w:val="24"/>
        </w:rPr>
        <w:t>:</w:t>
      </w:r>
    </w:p>
    <w:p w14:paraId="01DDC6AC" w14:textId="77777777" w:rsidR="00F0279E" w:rsidRPr="00654E70" w:rsidRDefault="00F0279E"/>
    <w:p w14:paraId="2D29786C" w14:textId="7DC78EA0" w:rsidR="00F0279E" w:rsidRPr="00654E70" w:rsidRDefault="00325940" w:rsidP="00F0279E">
      <w:pPr>
        <w:pStyle w:val="NormalWeb"/>
      </w:pPr>
      <w:r w:rsidRPr="00654E70">
        <w:rPr>
          <w:noProof/>
          <w:lang w:val="en-IN" w:eastAsia="en-IN"/>
        </w:rPr>
        <w:lastRenderedPageBreak/>
        <w:drawing>
          <wp:inline distT="0" distB="0" distL="0" distR="0" wp14:anchorId="6BB78443" wp14:editId="30B4BBA4">
            <wp:extent cx="5943600" cy="4554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-Workflow CB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14F6A" w14:textId="4BACDD74" w:rsidR="00AA2AC8" w:rsidRPr="00654E70" w:rsidRDefault="00F0279E" w:rsidP="00D3657C">
      <w:pPr>
        <w:pStyle w:val="NormalWeb"/>
        <w:jc w:val="both"/>
      </w:pPr>
      <w:r w:rsidRPr="00654E70">
        <w:t xml:space="preserve">Additional File 3: Fig. S3. </w:t>
      </w:r>
      <w:r w:rsidRPr="00654E70">
        <w:rPr>
          <w:rStyle w:val="Strong"/>
        </w:rPr>
        <w:t>Schematic workflow for consolidated bioprocessing (CBP) of milled, extractives-washed BESC standard switchgrass biomass.</w:t>
      </w:r>
      <w:r w:rsidRPr="00654E70">
        <w:t xml:space="preserve"> Fermentation vessels containing 7.39 g of switchgrass biomass and 200 mL of water were autoclaved before adding 250 mL of sterilized 2× MTC medium stock. CBP reactors were inoculated with 50 mL of </w:t>
      </w:r>
      <w:r w:rsidRPr="00654E70">
        <w:rPr>
          <w:rStyle w:val="Emphasis"/>
        </w:rPr>
        <w:t xml:space="preserve">C. </w:t>
      </w:r>
      <w:proofErr w:type="spellStart"/>
      <w:r w:rsidRPr="00654E70">
        <w:rPr>
          <w:rStyle w:val="Emphasis"/>
        </w:rPr>
        <w:t>thermocellum</w:t>
      </w:r>
      <w:proofErr w:type="spellEnd"/>
      <w:r w:rsidRPr="00654E70">
        <w:t xml:space="preserve"> culture, and fermentations were conducted following the protocol described by </w:t>
      </w:r>
      <w:proofErr w:type="spellStart"/>
      <w:r w:rsidRPr="00654E70">
        <w:t>Biswal</w:t>
      </w:r>
      <w:proofErr w:type="spellEnd"/>
      <w:r w:rsidRPr="00654E70">
        <w:t xml:space="preserve"> et al. (2022). Control and fermented samples were harvested in duplicates at 24 and 120 hours. Residual solids from post-CBP processing were separated from the fermentation liquor by centrifugation and dried at 60°C for five days.</w:t>
      </w:r>
    </w:p>
    <w:bookmarkEnd w:id="0"/>
    <w:p w14:paraId="35006EE6" w14:textId="77777777" w:rsidR="004438B8" w:rsidRPr="00654E70" w:rsidRDefault="004438B8" w:rsidP="00AA2AC8">
      <w:pPr>
        <w:pStyle w:val="NoSpacing"/>
        <w:rPr>
          <w:rFonts w:ascii="Times New Roman" w:hAnsi="Times New Roman" w:cs="Times New Roman"/>
        </w:rPr>
      </w:pPr>
    </w:p>
    <w:sectPr w:rsidR="004438B8" w:rsidRPr="00654E70" w:rsidSect="003B356D"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E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5362A"/>
    <w:rsid w:val="00363BF6"/>
    <w:rsid w:val="0038528A"/>
    <w:rsid w:val="00385D5E"/>
    <w:rsid w:val="003A3234"/>
    <w:rsid w:val="003B356D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54E70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3657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2025-09-20T13:29:00Z</dcterms:modified>
</cp:coreProperties>
</file>