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EC4" w:rsidRDefault="00116EC4">
      <w:bookmarkStart w:id="0" w:name="_GoBack"/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  <w:b/>
          <w:bCs/>
        </w:rPr>
      </w:pPr>
      <w:r w:rsidRPr="00F162EA">
        <w:rPr>
          <w:rFonts w:ascii="Arial" w:eastAsia="Yu Gothic" w:hAnsi="Arial" w:cs="Arial"/>
          <w:b/>
          <w:bCs/>
        </w:rPr>
        <w:t>Supplementary material</w:t>
      </w:r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  <w:b/>
          <w:bCs/>
        </w:rPr>
      </w:pPr>
      <w:r w:rsidRPr="00F162EA">
        <w:rPr>
          <w:rFonts w:ascii="Arial" w:eastAsia="Yu Gothic" w:hAnsi="Arial" w:cs="Arial"/>
          <w:b/>
          <w:bCs/>
          <w:noProof/>
        </w:rPr>
        <w:drawing>
          <wp:inline distT="0" distB="0" distL="0" distR="0" wp14:anchorId="0D77DC23" wp14:editId="4A44F4E5">
            <wp:extent cx="5396230" cy="4047490"/>
            <wp:effectExtent l="0" t="0" r="1270" b="3810"/>
            <wp:docPr id="191488734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887340" name="図 191488734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04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  <w:b/>
          <w:bCs/>
        </w:rPr>
      </w:pPr>
      <w:r w:rsidRPr="00F162EA">
        <w:rPr>
          <w:rFonts w:ascii="Arial" w:eastAsia="Yu Gothic" w:hAnsi="Arial" w:cs="Arial"/>
          <w:b/>
          <w:bCs/>
        </w:rPr>
        <w:t>Fig. S1. A graphic illustration summarizing the effects of the gene modifications on the metabolism of S.7942.</w:t>
      </w:r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</w:rPr>
      </w:pPr>
      <w:r w:rsidRPr="00F162EA">
        <w:rPr>
          <w:rFonts w:ascii="Arial" w:eastAsia="Yu Gothic" w:hAnsi="Arial" w:cs="Arial"/>
        </w:rPr>
        <w:t xml:space="preserve">(1) Inactivation of the </w:t>
      </w:r>
      <w:proofErr w:type="spellStart"/>
      <w:r w:rsidRPr="00F162EA">
        <w:rPr>
          <w:rFonts w:ascii="Arial" w:eastAsia="Yu Gothic" w:hAnsi="Arial" w:cs="Arial"/>
          <w:i/>
          <w:iCs/>
        </w:rPr>
        <w:t>aas</w:t>
      </w:r>
      <w:proofErr w:type="spellEnd"/>
      <w:r w:rsidRPr="00F162EA">
        <w:rPr>
          <w:rFonts w:ascii="Arial" w:eastAsia="Yu Gothic" w:hAnsi="Arial" w:cs="Arial"/>
        </w:rPr>
        <w:t xml:space="preserve"> gene, which codes for acyl-ACP </w:t>
      </w:r>
      <w:proofErr w:type="spellStart"/>
      <w:r w:rsidRPr="00F162EA">
        <w:rPr>
          <w:rFonts w:ascii="Arial" w:eastAsia="Yu Gothic" w:hAnsi="Arial" w:cs="Arial"/>
        </w:rPr>
        <w:t>synthetase</w:t>
      </w:r>
      <w:proofErr w:type="spellEnd"/>
      <w:r w:rsidRPr="00F162EA">
        <w:rPr>
          <w:rFonts w:ascii="Arial" w:eastAsia="Yu Gothic" w:hAnsi="Arial" w:cs="Arial"/>
        </w:rPr>
        <w:t xml:space="preserve">, prevents the recycling of free fatty acids (FFAs). </w:t>
      </w:r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</w:rPr>
      </w:pPr>
      <w:r w:rsidRPr="00F162EA">
        <w:rPr>
          <w:rFonts w:ascii="Arial" w:eastAsia="Yu Gothic" w:hAnsi="Arial" w:cs="Arial"/>
        </w:rPr>
        <w:t xml:space="preserve">(2) Expression of a foreign </w:t>
      </w:r>
      <w:proofErr w:type="spellStart"/>
      <w:r w:rsidRPr="00F162EA">
        <w:rPr>
          <w:rFonts w:ascii="Arial" w:eastAsia="Yu Gothic" w:hAnsi="Arial" w:cs="Arial"/>
        </w:rPr>
        <w:t>thioesterase</w:t>
      </w:r>
      <w:proofErr w:type="spellEnd"/>
      <w:r w:rsidRPr="00F162EA">
        <w:rPr>
          <w:rFonts w:ascii="Arial" w:eastAsia="Yu Gothic" w:hAnsi="Arial" w:cs="Arial"/>
        </w:rPr>
        <w:t xml:space="preserve"> leads to generation of FFAs from acyl-ACP.</w:t>
      </w:r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</w:rPr>
      </w:pPr>
      <w:r w:rsidRPr="00F162EA">
        <w:rPr>
          <w:rFonts w:ascii="Arial" w:eastAsia="Yu Gothic" w:hAnsi="Arial" w:cs="Arial"/>
        </w:rPr>
        <w:t xml:space="preserve">(3) Deletion of the </w:t>
      </w:r>
      <w:proofErr w:type="spellStart"/>
      <w:r w:rsidRPr="00F162EA">
        <w:rPr>
          <w:rFonts w:ascii="Arial" w:eastAsia="Yu Gothic" w:hAnsi="Arial" w:cs="Arial"/>
          <w:i/>
          <w:iCs/>
        </w:rPr>
        <w:t>nrtABCD</w:t>
      </w:r>
      <w:proofErr w:type="spellEnd"/>
      <w:r w:rsidRPr="00F162EA">
        <w:rPr>
          <w:rFonts w:ascii="Arial" w:eastAsia="Yu Gothic" w:hAnsi="Arial" w:cs="Arial"/>
        </w:rPr>
        <w:t xml:space="preserve"> genes inhibits the active uptake of nitrate into the cell.</w:t>
      </w:r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</w:rPr>
      </w:pPr>
      <w:r w:rsidRPr="00F162EA">
        <w:rPr>
          <w:rFonts w:ascii="Arial" w:eastAsia="Yu Gothic" w:hAnsi="Arial" w:cs="Arial"/>
        </w:rPr>
        <w:t xml:space="preserve">(4) Overexpression of the </w:t>
      </w:r>
      <w:r w:rsidRPr="00F162EA">
        <w:rPr>
          <w:rFonts w:ascii="Arial" w:eastAsia="Yu Gothic" w:hAnsi="Arial" w:cs="Arial"/>
          <w:i/>
          <w:iCs/>
        </w:rPr>
        <w:t>rndA1B1</w:t>
      </w:r>
      <w:r w:rsidRPr="00F162EA">
        <w:rPr>
          <w:rFonts w:ascii="Arial" w:eastAsia="Yu Gothic" w:hAnsi="Arial" w:cs="Arial"/>
        </w:rPr>
        <w:t xml:space="preserve"> genes enhances the extrusion of FFAs from the cell.</w:t>
      </w:r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</w:rPr>
      </w:pPr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</w:rPr>
      </w:pPr>
      <w:r w:rsidRPr="00F162EA">
        <w:rPr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273C849" wp14:editId="3ED78338">
            <wp:simplePos x="0" y="0"/>
            <wp:positionH relativeFrom="column">
              <wp:posOffset>1199535</wp:posOffset>
            </wp:positionH>
            <wp:positionV relativeFrom="paragraph">
              <wp:posOffset>382905</wp:posOffset>
            </wp:positionV>
            <wp:extent cx="3015615" cy="3252470"/>
            <wp:effectExtent l="0" t="0" r="0" b="0"/>
            <wp:wrapTopAndBottom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5615" cy="3252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</w:rPr>
      </w:pPr>
    </w:p>
    <w:p w:rsidR="00C14968" w:rsidRPr="00F162EA" w:rsidRDefault="00C14968" w:rsidP="00C14968">
      <w:pPr>
        <w:spacing w:line="360" w:lineRule="auto"/>
        <w:rPr>
          <w:rFonts w:ascii="Arial" w:eastAsia="Yu Gothic" w:hAnsi="Arial" w:cs="Arial"/>
        </w:rPr>
      </w:pPr>
    </w:p>
    <w:p w:rsidR="00C14968" w:rsidRPr="00F162EA" w:rsidRDefault="00C14968" w:rsidP="00C14968">
      <w:pPr>
        <w:spacing w:line="360" w:lineRule="auto"/>
        <w:rPr>
          <w:rFonts w:ascii="Arial" w:hAnsi="Arial" w:cs="Arial"/>
        </w:rPr>
      </w:pPr>
      <w:r w:rsidRPr="00F162EA">
        <w:rPr>
          <w:rFonts w:ascii="Arial" w:hAnsi="Arial" w:cs="Arial"/>
          <w:b/>
          <w:bCs/>
        </w:rPr>
        <w:t>Fig S2. The relationship between OD</w:t>
      </w:r>
      <w:r w:rsidRPr="00F162EA">
        <w:rPr>
          <w:rFonts w:ascii="Arial" w:hAnsi="Arial" w:cs="Arial"/>
          <w:b/>
          <w:bCs/>
          <w:vertAlign w:val="subscript"/>
        </w:rPr>
        <w:t>730</w:t>
      </w:r>
      <w:r w:rsidRPr="00F162EA">
        <w:rPr>
          <w:rFonts w:ascii="Arial" w:hAnsi="Arial" w:cs="Arial"/>
          <w:b/>
          <w:bCs/>
        </w:rPr>
        <w:t xml:space="preserve"> and the dry cell matter content of the cyanobacterial culture</w:t>
      </w:r>
      <w:r w:rsidRPr="00F162EA">
        <w:rPr>
          <w:rFonts w:ascii="Arial" w:hAnsi="Arial" w:cs="Arial"/>
        </w:rPr>
        <w:t>s.</w:t>
      </w:r>
      <w:r w:rsidRPr="00F162EA">
        <w:rPr>
          <w:rFonts w:ascii="Arial" w:hAnsi="Arial" w:cs="Arial"/>
        </w:rPr>
        <w:br/>
        <w:t>The dry cell weight (DCW) per L of cyanobacterial cultures (</w:t>
      </w:r>
      <w:r w:rsidRPr="00F162EA">
        <w:rPr>
          <w:rFonts w:ascii="Arial" w:hAnsi="Arial" w:cs="Arial"/>
          <w:i/>
          <w:iCs/>
        </w:rPr>
        <w:t>Y</w:t>
      </w:r>
      <w:r w:rsidRPr="00F162EA">
        <w:rPr>
          <w:rFonts w:ascii="Arial" w:hAnsi="Arial" w:cs="Arial"/>
        </w:rPr>
        <w:t>-axis) and the optical density at 730 nm (OD</w:t>
      </w:r>
      <w:r w:rsidRPr="00F162EA">
        <w:rPr>
          <w:rFonts w:ascii="Arial" w:hAnsi="Arial" w:cs="Arial"/>
          <w:vertAlign w:val="subscript"/>
        </w:rPr>
        <w:t>730</w:t>
      </w:r>
      <w:r w:rsidRPr="00F162EA">
        <w:rPr>
          <w:rFonts w:ascii="Arial" w:hAnsi="Arial" w:cs="Arial"/>
        </w:rPr>
        <w:t>) of the cultures (</w:t>
      </w:r>
      <w:r w:rsidRPr="00F162EA">
        <w:rPr>
          <w:rFonts w:ascii="Arial" w:hAnsi="Arial" w:cs="Arial"/>
          <w:i/>
          <w:iCs/>
        </w:rPr>
        <w:t>X</w:t>
      </w:r>
      <w:r w:rsidRPr="00F162EA">
        <w:rPr>
          <w:rFonts w:ascii="Arial" w:hAnsi="Arial" w:cs="Arial"/>
        </w:rPr>
        <w:t>-axis) were determined as described in Methods section. The data from 17 biological replicates of the dAS2T and dAS2T/pRND1 cultures were fitted to the following linear relationship: y = 0.218x + 0.014 (</w:t>
      </w:r>
      <w:r w:rsidRPr="00F162EA">
        <w:rPr>
          <w:rFonts w:ascii="Arial" w:hAnsi="Arial" w:cs="Arial"/>
          <w:i/>
          <w:iCs/>
        </w:rPr>
        <w:t>r</w:t>
      </w:r>
      <w:r w:rsidRPr="00F162EA">
        <w:rPr>
          <w:rFonts w:ascii="Arial" w:hAnsi="Arial" w:cs="Arial"/>
          <w:i/>
          <w:iCs/>
          <w:vertAlign w:val="superscript"/>
        </w:rPr>
        <w:t>2</w:t>
      </w:r>
      <w:r w:rsidRPr="00F162EA">
        <w:rPr>
          <w:rFonts w:ascii="Arial" w:hAnsi="Arial" w:cs="Arial"/>
          <w:i/>
          <w:iCs/>
        </w:rPr>
        <w:t xml:space="preserve"> </w:t>
      </w:r>
      <w:r w:rsidRPr="00F162EA">
        <w:rPr>
          <w:rFonts w:ascii="Arial" w:hAnsi="Arial" w:cs="Arial"/>
        </w:rPr>
        <w:t>= 0.979).</w:t>
      </w:r>
    </w:p>
    <w:p w:rsidR="00C14968" w:rsidRPr="00F162EA" w:rsidRDefault="00C14968" w:rsidP="00C14968">
      <w:pPr>
        <w:spacing w:line="360" w:lineRule="auto"/>
        <w:rPr>
          <w:rFonts w:ascii="Arial" w:hAnsi="Arial" w:cs="Arial"/>
        </w:rPr>
      </w:pPr>
    </w:p>
    <w:p w:rsidR="00C14968" w:rsidRPr="00F162EA" w:rsidRDefault="00C14968" w:rsidP="00C14968">
      <w:pPr>
        <w:spacing w:line="360" w:lineRule="auto"/>
        <w:rPr>
          <w:rFonts w:ascii="Arial" w:hAnsi="Arial" w:cs="Arial"/>
        </w:rPr>
      </w:pPr>
      <w:r w:rsidRPr="00F162EA">
        <w:rPr>
          <w:rFonts w:ascii="Arial" w:hAnsi="Arial" w:cs="Arial" w:hint="eastAsia"/>
          <w:noProof/>
        </w:rPr>
        <w:drawing>
          <wp:inline distT="0" distB="0" distL="0" distR="0" wp14:anchorId="6CD1C7FE" wp14:editId="46F25482">
            <wp:extent cx="5396230" cy="2608580"/>
            <wp:effectExtent l="0" t="0" r="1270" b="0"/>
            <wp:docPr id="143915090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150902" name="図 143915090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60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968" w:rsidRPr="00F162EA" w:rsidRDefault="00C14968" w:rsidP="00C14968">
      <w:pPr>
        <w:spacing w:line="360" w:lineRule="auto"/>
        <w:rPr>
          <w:rFonts w:ascii="Arial" w:hAnsi="Arial" w:cs="Arial"/>
        </w:rPr>
      </w:pPr>
      <w:r w:rsidRPr="00F162EA">
        <w:rPr>
          <w:rFonts w:ascii="Arial" w:hAnsi="Arial" w:cs="Arial"/>
          <w:b/>
          <w:bCs/>
        </w:rPr>
        <w:lastRenderedPageBreak/>
        <w:t xml:space="preserve">Fig. S3. Distribution of extracellular FFA between aqueous and organic phases during the two-phase cultivation experiment shown in </w:t>
      </w:r>
      <w:r w:rsidRPr="00F162EA">
        <w:rPr>
          <w:rFonts w:ascii="Arial" w:hAnsi="Arial" w:cs="Arial"/>
        </w:rPr>
        <w:t>Fig. 3.</w:t>
      </w:r>
    </w:p>
    <w:p w:rsidR="00C14968" w:rsidRPr="00F162EA" w:rsidRDefault="00C14968" w:rsidP="00C14968">
      <w:pPr>
        <w:spacing w:line="360" w:lineRule="auto"/>
        <w:rPr>
          <w:rFonts w:ascii="Arial" w:hAnsi="Arial" w:cs="Arial"/>
          <w:b/>
          <w:bCs/>
        </w:rPr>
      </w:pPr>
      <w:r w:rsidRPr="00F162EA">
        <w:rPr>
          <w:rFonts w:ascii="Arial" w:hAnsi="Arial" w:cs="Arial"/>
        </w:rPr>
        <w:t xml:space="preserve">Time-course analysis of extracellular free fatty acid (FFA) production in (a) dAS1T, (b) dAS2T, and (c) dAS2T/pRND1 during 0–240 h cultivation in an aqueous–organic two-phase system overlaid with isopropyl </w:t>
      </w:r>
      <w:proofErr w:type="spellStart"/>
      <w:r w:rsidRPr="00F162EA">
        <w:rPr>
          <w:rFonts w:ascii="Arial" w:hAnsi="Arial" w:cs="Arial"/>
        </w:rPr>
        <w:t>myristate</w:t>
      </w:r>
      <w:proofErr w:type="spellEnd"/>
      <w:r w:rsidRPr="00F162EA">
        <w:rPr>
          <w:rFonts w:ascii="Arial" w:hAnsi="Arial" w:cs="Arial"/>
        </w:rPr>
        <w:t xml:space="preserve"> (IM). FFA concentrations recovered from the aqueous phase and the IM layer at 144, 192, and 240 h are shown</w:t>
      </w:r>
      <w:r w:rsidRPr="00F162EA">
        <w:rPr>
          <w:rFonts w:ascii="Arial" w:hAnsi="Arial" w:cs="Arial"/>
          <w:b/>
          <w:bCs/>
        </w:rPr>
        <w:t>.</w:t>
      </w:r>
    </w:p>
    <w:p w:rsidR="00C14968" w:rsidRPr="00F162EA" w:rsidRDefault="00C14968" w:rsidP="00C14968">
      <w:pPr>
        <w:spacing w:line="360" w:lineRule="auto"/>
        <w:rPr>
          <w:rFonts w:ascii="Arial" w:hAnsi="Arial" w:cs="Arial"/>
          <w:b/>
          <w:bCs/>
        </w:rPr>
      </w:pPr>
    </w:p>
    <w:p w:rsidR="00C14968" w:rsidRPr="00F162EA" w:rsidRDefault="00C14968" w:rsidP="00C14968">
      <w:pPr>
        <w:spacing w:line="360" w:lineRule="auto"/>
        <w:rPr>
          <w:rFonts w:ascii="Arial" w:hAnsi="Arial" w:cs="Arial"/>
          <w:b/>
          <w:bCs/>
        </w:rPr>
      </w:pPr>
    </w:p>
    <w:p w:rsidR="00C14968" w:rsidRPr="00F162EA" w:rsidRDefault="00C14968" w:rsidP="00C14968">
      <w:pPr>
        <w:spacing w:line="360" w:lineRule="auto"/>
        <w:rPr>
          <w:rFonts w:ascii="Arial" w:hAnsi="Arial" w:cs="Arial"/>
          <w:b/>
          <w:bCs/>
        </w:rPr>
      </w:pPr>
      <w:r w:rsidRPr="00F162EA">
        <w:rPr>
          <w:rFonts w:ascii="Arial" w:hAnsi="Arial" w:cs="Arial"/>
          <w:b/>
          <w:bCs/>
          <w:noProof/>
        </w:rPr>
        <w:drawing>
          <wp:inline distT="0" distB="0" distL="0" distR="0" wp14:anchorId="59A0D52B" wp14:editId="0A1EB994">
            <wp:extent cx="5396230" cy="2642870"/>
            <wp:effectExtent l="0" t="0" r="1270" b="0"/>
            <wp:docPr id="166353274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532745" name="図 166353274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264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968" w:rsidRPr="00F162EA" w:rsidRDefault="00C14968" w:rsidP="00C14968">
      <w:pPr>
        <w:spacing w:line="360" w:lineRule="auto"/>
        <w:rPr>
          <w:rFonts w:ascii="Arial" w:hAnsi="Arial" w:cs="Arial"/>
          <w:b/>
          <w:bCs/>
        </w:rPr>
      </w:pPr>
      <w:r w:rsidRPr="00F162EA">
        <w:rPr>
          <w:rFonts w:ascii="Arial" w:hAnsi="Arial" w:cs="Arial"/>
          <w:b/>
          <w:bCs/>
        </w:rPr>
        <w:t>Fig S4. Distribution of extracellular FFA between aqueous and organic phases under different nitrate concentrations.</w:t>
      </w:r>
    </w:p>
    <w:p w:rsidR="00C14968" w:rsidRPr="00F162EA" w:rsidRDefault="00C14968" w:rsidP="00C14968">
      <w:pPr>
        <w:spacing w:line="360" w:lineRule="auto"/>
        <w:rPr>
          <w:rFonts w:ascii="Arial" w:hAnsi="Arial" w:cs="Arial"/>
        </w:rPr>
      </w:pPr>
      <w:r w:rsidRPr="00F162EA">
        <w:rPr>
          <w:rFonts w:ascii="Arial" w:hAnsi="Arial" w:cs="Arial"/>
        </w:rPr>
        <w:t xml:space="preserve">Time-course analysis of extracellular free fatty acid (FFA) distribution in dAS2T/pRND1 cultivated in an aqueous–organic two-phase system supplemented with (a) 30 </w:t>
      </w:r>
      <w:proofErr w:type="spellStart"/>
      <w:r w:rsidRPr="00F162EA">
        <w:rPr>
          <w:rFonts w:ascii="Arial" w:hAnsi="Arial" w:cs="Arial"/>
        </w:rPr>
        <w:t>mM</w:t>
      </w:r>
      <w:proofErr w:type="spellEnd"/>
      <w:r w:rsidRPr="00F162EA">
        <w:rPr>
          <w:rFonts w:ascii="Arial" w:hAnsi="Arial" w:cs="Arial"/>
        </w:rPr>
        <w:t xml:space="preserve"> NO</w:t>
      </w:r>
      <w:r w:rsidRPr="00F162EA">
        <w:rPr>
          <w:rFonts w:ascii="Cambria Math" w:hAnsi="Cambria Math" w:cs="Cambria Math"/>
        </w:rPr>
        <w:t>₃⁻</w:t>
      </w:r>
      <w:r w:rsidRPr="00F162EA">
        <w:rPr>
          <w:rFonts w:ascii="Arial" w:hAnsi="Arial" w:cs="Arial"/>
        </w:rPr>
        <w:t xml:space="preserve">, (b) 15 </w:t>
      </w:r>
      <w:proofErr w:type="spellStart"/>
      <w:r w:rsidRPr="00F162EA">
        <w:rPr>
          <w:rFonts w:ascii="Arial" w:hAnsi="Arial" w:cs="Arial"/>
        </w:rPr>
        <w:t>mM</w:t>
      </w:r>
      <w:proofErr w:type="spellEnd"/>
      <w:r w:rsidRPr="00F162EA">
        <w:rPr>
          <w:rFonts w:ascii="Arial" w:hAnsi="Arial" w:cs="Arial"/>
        </w:rPr>
        <w:t xml:space="preserve"> NO</w:t>
      </w:r>
      <w:r w:rsidRPr="00F162EA">
        <w:rPr>
          <w:rFonts w:ascii="Cambria Math" w:hAnsi="Cambria Math" w:cs="Cambria Math"/>
        </w:rPr>
        <w:t>₃⁻</w:t>
      </w:r>
      <w:r w:rsidRPr="00F162EA">
        <w:rPr>
          <w:rFonts w:ascii="Arial" w:hAnsi="Arial" w:cs="Arial"/>
        </w:rPr>
        <w:t xml:space="preserve">, or (c) 7.5 </w:t>
      </w:r>
      <w:proofErr w:type="spellStart"/>
      <w:r w:rsidRPr="00F162EA">
        <w:rPr>
          <w:rFonts w:ascii="Arial" w:hAnsi="Arial" w:cs="Arial"/>
        </w:rPr>
        <w:t>mM</w:t>
      </w:r>
      <w:proofErr w:type="spellEnd"/>
      <w:r w:rsidRPr="00F162EA">
        <w:rPr>
          <w:rFonts w:ascii="Arial" w:hAnsi="Arial" w:cs="Arial"/>
        </w:rPr>
        <w:t xml:space="preserve"> NO</w:t>
      </w:r>
      <w:r w:rsidRPr="00F162EA">
        <w:rPr>
          <w:rFonts w:ascii="Cambria Math" w:hAnsi="Cambria Math" w:cs="Cambria Math"/>
        </w:rPr>
        <w:t>₃⁻</w:t>
      </w:r>
      <w:r w:rsidRPr="00F162EA">
        <w:rPr>
          <w:rFonts w:ascii="Arial" w:hAnsi="Arial" w:cs="Arial"/>
        </w:rPr>
        <w:t xml:space="preserve">. FFA amounts detected in the aqueous phase and recovered in the isopropyl </w:t>
      </w:r>
      <w:proofErr w:type="spellStart"/>
      <w:r w:rsidRPr="00F162EA">
        <w:rPr>
          <w:rFonts w:ascii="Arial" w:hAnsi="Arial" w:cs="Arial"/>
        </w:rPr>
        <w:t>myristate</w:t>
      </w:r>
      <w:proofErr w:type="spellEnd"/>
      <w:r w:rsidRPr="00F162EA">
        <w:rPr>
          <w:rFonts w:ascii="Arial" w:hAnsi="Arial" w:cs="Arial"/>
        </w:rPr>
        <w:t xml:space="preserve"> (IM) layer at 144, 192, and 240 h are shown.</w:t>
      </w:r>
    </w:p>
    <w:p w:rsidR="00C14968" w:rsidRPr="00F162EA" w:rsidRDefault="00C14968" w:rsidP="00C14968">
      <w:pPr>
        <w:spacing w:line="360" w:lineRule="auto"/>
        <w:rPr>
          <w:rFonts w:ascii="Arial" w:hAnsi="Arial" w:cs="Arial"/>
          <w:b/>
          <w:bCs/>
        </w:rPr>
      </w:pPr>
    </w:p>
    <w:p w:rsidR="00C14968" w:rsidRPr="00F162EA" w:rsidRDefault="00C14968" w:rsidP="00C14968">
      <w:pPr>
        <w:spacing w:line="360" w:lineRule="auto"/>
        <w:rPr>
          <w:rFonts w:ascii="Arial" w:hAnsi="Arial" w:cs="Arial"/>
          <w:b/>
          <w:bCs/>
        </w:rPr>
      </w:pPr>
    </w:p>
    <w:p w:rsidR="00C14968" w:rsidRPr="00F162EA" w:rsidRDefault="00C14968" w:rsidP="00C14968">
      <w:pPr>
        <w:autoSpaceDE w:val="0"/>
        <w:autoSpaceDN w:val="0"/>
        <w:adjustRightInd w:val="0"/>
        <w:spacing w:line="360" w:lineRule="auto"/>
        <w:ind w:rightChars="-145" w:right="-319"/>
        <w:rPr>
          <w:rFonts w:asciiTheme="majorHAnsi" w:hAnsiTheme="majorHAnsi"/>
        </w:rPr>
      </w:pPr>
    </w:p>
    <w:p w:rsidR="00C14968" w:rsidRPr="00F162EA" w:rsidRDefault="00C14968" w:rsidP="00C14968">
      <w:pPr>
        <w:autoSpaceDE w:val="0"/>
        <w:autoSpaceDN w:val="0"/>
        <w:adjustRightInd w:val="0"/>
        <w:spacing w:line="360" w:lineRule="auto"/>
        <w:ind w:rightChars="-145" w:right="-319"/>
        <w:rPr>
          <w:rFonts w:asciiTheme="majorHAnsi" w:hAnsiTheme="majorHAnsi"/>
        </w:rPr>
      </w:pPr>
    </w:p>
    <w:bookmarkEnd w:id="0"/>
    <w:p w:rsidR="00C14968" w:rsidRDefault="00C14968"/>
    <w:sectPr w:rsidR="00C14968" w:rsidSect="00C149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968"/>
    <w:rsid w:val="000009A2"/>
    <w:rsid w:val="0000441B"/>
    <w:rsid w:val="000218FB"/>
    <w:rsid w:val="00022DA8"/>
    <w:rsid w:val="00041A42"/>
    <w:rsid w:val="000630B4"/>
    <w:rsid w:val="0006466F"/>
    <w:rsid w:val="000665C4"/>
    <w:rsid w:val="00073C8A"/>
    <w:rsid w:val="00075B12"/>
    <w:rsid w:val="0008112E"/>
    <w:rsid w:val="000A1E9E"/>
    <w:rsid w:val="000D13E1"/>
    <w:rsid w:val="00102261"/>
    <w:rsid w:val="001120DA"/>
    <w:rsid w:val="00116EC4"/>
    <w:rsid w:val="0012369F"/>
    <w:rsid w:val="001415B2"/>
    <w:rsid w:val="00142181"/>
    <w:rsid w:val="001509BD"/>
    <w:rsid w:val="00151272"/>
    <w:rsid w:val="001660FE"/>
    <w:rsid w:val="001746DA"/>
    <w:rsid w:val="00192B3D"/>
    <w:rsid w:val="00197481"/>
    <w:rsid w:val="001A1872"/>
    <w:rsid w:val="001C39E2"/>
    <w:rsid w:val="001C738A"/>
    <w:rsid w:val="001D44FC"/>
    <w:rsid w:val="00200CA4"/>
    <w:rsid w:val="0020578D"/>
    <w:rsid w:val="00207EA6"/>
    <w:rsid w:val="00223A4F"/>
    <w:rsid w:val="00225F54"/>
    <w:rsid w:val="00241D86"/>
    <w:rsid w:val="002712C8"/>
    <w:rsid w:val="002A2139"/>
    <w:rsid w:val="002A52EB"/>
    <w:rsid w:val="002A6397"/>
    <w:rsid w:val="002D0642"/>
    <w:rsid w:val="002E2D28"/>
    <w:rsid w:val="002E7023"/>
    <w:rsid w:val="003215EE"/>
    <w:rsid w:val="00343133"/>
    <w:rsid w:val="00363641"/>
    <w:rsid w:val="003B2AD1"/>
    <w:rsid w:val="003B5D6A"/>
    <w:rsid w:val="003C7D0D"/>
    <w:rsid w:val="003D2158"/>
    <w:rsid w:val="003E0E91"/>
    <w:rsid w:val="003F4EC0"/>
    <w:rsid w:val="0040676D"/>
    <w:rsid w:val="00414755"/>
    <w:rsid w:val="004175E3"/>
    <w:rsid w:val="0042587B"/>
    <w:rsid w:val="00444411"/>
    <w:rsid w:val="00450224"/>
    <w:rsid w:val="00451E97"/>
    <w:rsid w:val="00453A2E"/>
    <w:rsid w:val="0046445F"/>
    <w:rsid w:val="0047092E"/>
    <w:rsid w:val="0047272C"/>
    <w:rsid w:val="00480240"/>
    <w:rsid w:val="004810D2"/>
    <w:rsid w:val="0048203C"/>
    <w:rsid w:val="00484026"/>
    <w:rsid w:val="004A0665"/>
    <w:rsid w:val="004A60DC"/>
    <w:rsid w:val="004B3E1F"/>
    <w:rsid w:val="004B4416"/>
    <w:rsid w:val="004D3950"/>
    <w:rsid w:val="004D5A9D"/>
    <w:rsid w:val="004F4687"/>
    <w:rsid w:val="00510E2E"/>
    <w:rsid w:val="00514C19"/>
    <w:rsid w:val="0052715F"/>
    <w:rsid w:val="00544070"/>
    <w:rsid w:val="0054743C"/>
    <w:rsid w:val="00550874"/>
    <w:rsid w:val="00554342"/>
    <w:rsid w:val="00557E0F"/>
    <w:rsid w:val="0057528F"/>
    <w:rsid w:val="005B0725"/>
    <w:rsid w:val="005D2B07"/>
    <w:rsid w:val="005E37E8"/>
    <w:rsid w:val="005F29F7"/>
    <w:rsid w:val="0060545C"/>
    <w:rsid w:val="006117A0"/>
    <w:rsid w:val="006128FD"/>
    <w:rsid w:val="00614246"/>
    <w:rsid w:val="00614961"/>
    <w:rsid w:val="00621219"/>
    <w:rsid w:val="00623940"/>
    <w:rsid w:val="006258DA"/>
    <w:rsid w:val="00643466"/>
    <w:rsid w:val="00673D5D"/>
    <w:rsid w:val="006853BE"/>
    <w:rsid w:val="00686EC9"/>
    <w:rsid w:val="006924A1"/>
    <w:rsid w:val="006A00B0"/>
    <w:rsid w:val="006B7C60"/>
    <w:rsid w:val="006C2107"/>
    <w:rsid w:val="006D15E9"/>
    <w:rsid w:val="006D2E4E"/>
    <w:rsid w:val="006E56C1"/>
    <w:rsid w:val="006F67E1"/>
    <w:rsid w:val="007029B7"/>
    <w:rsid w:val="0070306B"/>
    <w:rsid w:val="00715648"/>
    <w:rsid w:val="007166B7"/>
    <w:rsid w:val="007227D4"/>
    <w:rsid w:val="00753DA2"/>
    <w:rsid w:val="007773D5"/>
    <w:rsid w:val="0079076D"/>
    <w:rsid w:val="00796C05"/>
    <w:rsid w:val="007A01EE"/>
    <w:rsid w:val="007C2771"/>
    <w:rsid w:val="007C2F46"/>
    <w:rsid w:val="007D0B38"/>
    <w:rsid w:val="007F646F"/>
    <w:rsid w:val="008038A3"/>
    <w:rsid w:val="00820FB4"/>
    <w:rsid w:val="00823493"/>
    <w:rsid w:val="008306AB"/>
    <w:rsid w:val="00832E3F"/>
    <w:rsid w:val="00844B36"/>
    <w:rsid w:val="00860F00"/>
    <w:rsid w:val="008807FC"/>
    <w:rsid w:val="0089503C"/>
    <w:rsid w:val="008C42E6"/>
    <w:rsid w:val="008D7C77"/>
    <w:rsid w:val="008E6473"/>
    <w:rsid w:val="008F55AB"/>
    <w:rsid w:val="008F7D8E"/>
    <w:rsid w:val="00902219"/>
    <w:rsid w:val="00907CEA"/>
    <w:rsid w:val="009343F3"/>
    <w:rsid w:val="00935A23"/>
    <w:rsid w:val="00945C48"/>
    <w:rsid w:val="00953915"/>
    <w:rsid w:val="0097695B"/>
    <w:rsid w:val="00981BCE"/>
    <w:rsid w:val="00995C9C"/>
    <w:rsid w:val="009A109B"/>
    <w:rsid w:val="009A2B47"/>
    <w:rsid w:val="009A50D9"/>
    <w:rsid w:val="009C4B07"/>
    <w:rsid w:val="009D786B"/>
    <w:rsid w:val="009E63F6"/>
    <w:rsid w:val="009F1CC2"/>
    <w:rsid w:val="00A30C32"/>
    <w:rsid w:val="00A363AB"/>
    <w:rsid w:val="00A42382"/>
    <w:rsid w:val="00A43224"/>
    <w:rsid w:val="00A66631"/>
    <w:rsid w:val="00A840F3"/>
    <w:rsid w:val="00A97ECA"/>
    <w:rsid w:val="00AD0660"/>
    <w:rsid w:val="00AD6F2B"/>
    <w:rsid w:val="00AF0F91"/>
    <w:rsid w:val="00B037C1"/>
    <w:rsid w:val="00B13281"/>
    <w:rsid w:val="00B141C4"/>
    <w:rsid w:val="00B53EE3"/>
    <w:rsid w:val="00B67A6E"/>
    <w:rsid w:val="00B70923"/>
    <w:rsid w:val="00B9446F"/>
    <w:rsid w:val="00BA4335"/>
    <w:rsid w:val="00BB1426"/>
    <w:rsid w:val="00BB752B"/>
    <w:rsid w:val="00BC50F5"/>
    <w:rsid w:val="00BC64AC"/>
    <w:rsid w:val="00BD25B5"/>
    <w:rsid w:val="00BE1BC9"/>
    <w:rsid w:val="00BE3474"/>
    <w:rsid w:val="00C008CC"/>
    <w:rsid w:val="00C1351F"/>
    <w:rsid w:val="00C14968"/>
    <w:rsid w:val="00C14AFA"/>
    <w:rsid w:val="00C5434E"/>
    <w:rsid w:val="00C57FEA"/>
    <w:rsid w:val="00C60156"/>
    <w:rsid w:val="00C83910"/>
    <w:rsid w:val="00CA06E6"/>
    <w:rsid w:val="00CA41A9"/>
    <w:rsid w:val="00CB16F7"/>
    <w:rsid w:val="00CB3887"/>
    <w:rsid w:val="00CC0853"/>
    <w:rsid w:val="00CC36C2"/>
    <w:rsid w:val="00CC3C08"/>
    <w:rsid w:val="00CD120A"/>
    <w:rsid w:val="00CD423E"/>
    <w:rsid w:val="00CD7B2D"/>
    <w:rsid w:val="00D14DA3"/>
    <w:rsid w:val="00D33991"/>
    <w:rsid w:val="00D63DE6"/>
    <w:rsid w:val="00D84627"/>
    <w:rsid w:val="00D84E64"/>
    <w:rsid w:val="00D86777"/>
    <w:rsid w:val="00D87713"/>
    <w:rsid w:val="00D934E0"/>
    <w:rsid w:val="00D95ACD"/>
    <w:rsid w:val="00D9717C"/>
    <w:rsid w:val="00DA6274"/>
    <w:rsid w:val="00DB49ED"/>
    <w:rsid w:val="00DB537A"/>
    <w:rsid w:val="00DC0E8A"/>
    <w:rsid w:val="00DC15F8"/>
    <w:rsid w:val="00DE674F"/>
    <w:rsid w:val="00DF29C2"/>
    <w:rsid w:val="00E0417C"/>
    <w:rsid w:val="00E16C1F"/>
    <w:rsid w:val="00E24E09"/>
    <w:rsid w:val="00E27F87"/>
    <w:rsid w:val="00E4411B"/>
    <w:rsid w:val="00E63415"/>
    <w:rsid w:val="00E65DBA"/>
    <w:rsid w:val="00E97E96"/>
    <w:rsid w:val="00EA2C5E"/>
    <w:rsid w:val="00EA6B2E"/>
    <w:rsid w:val="00EB268B"/>
    <w:rsid w:val="00EC5D9E"/>
    <w:rsid w:val="00EC7660"/>
    <w:rsid w:val="00EF4C0A"/>
    <w:rsid w:val="00EF75B1"/>
    <w:rsid w:val="00F00BE1"/>
    <w:rsid w:val="00F10333"/>
    <w:rsid w:val="00F27BFD"/>
    <w:rsid w:val="00F50FB0"/>
    <w:rsid w:val="00F66492"/>
    <w:rsid w:val="00F742BF"/>
    <w:rsid w:val="00F7551C"/>
    <w:rsid w:val="00F77A71"/>
    <w:rsid w:val="00F831AF"/>
    <w:rsid w:val="00F87B15"/>
    <w:rsid w:val="00F92F2E"/>
    <w:rsid w:val="00F95FAE"/>
    <w:rsid w:val="00FB3F0D"/>
    <w:rsid w:val="00FB564E"/>
    <w:rsid w:val="00FC4F7E"/>
    <w:rsid w:val="00FD7943"/>
    <w:rsid w:val="00FE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05ACE0-7CCD-470A-9FDC-C9D61BE1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Sahaya M</dc:creator>
  <cp:keywords/>
  <dc:description/>
  <cp:lastModifiedBy>Sahaya M</cp:lastModifiedBy>
  <cp:revision>1</cp:revision>
  <dcterms:created xsi:type="dcterms:W3CDTF">2026-06-07T02:16:00Z</dcterms:created>
  <dcterms:modified xsi:type="dcterms:W3CDTF">2026-06-07T02:16:00Z</dcterms:modified>
</cp:coreProperties>
</file>