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65" w:type="dxa"/>
        <w:tblInd w:w="93" w:type="dxa"/>
        <w:tblLook w:val="04A0" w:firstRow="1" w:lastRow="0" w:firstColumn="1" w:lastColumn="0" w:noHBand="0" w:noVBand="1"/>
      </w:tblPr>
      <w:tblGrid>
        <w:gridCol w:w="8365"/>
      </w:tblGrid>
      <w:tr w:rsidR="009F6BC9" w:rsidRPr="009F6BC9" w:rsidTr="00F07D6F">
        <w:trPr>
          <w:trHeight w:val="300"/>
        </w:trPr>
        <w:tc>
          <w:tcPr>
            <w:tcW w:w="8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BC9" w:rsidRPr="009F6BC9" w:rsidRDefault="009F6BC9" w:rsidP="009F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F6B36" w:rsidRDefault="004F6B36" w:rsidP="008E175C"/>
    <w:p w:rsidR="00F07D6F" w:rsidRDefault="00F07D6F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F07D6F">
        <w:drawing>
          <wp:inline distT="0" distB="0" distL="0" distR="0">
            <wp:extent cx="4848225" cy="846328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br w:type="page"/>
      </w:r>
    </w:p>
    <w:p w:rsidR="00F07D6F" w:rsidRPr="00F07D6F" w:rsidRDefault="00F07D6F" w:rsidP="00F0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lastRenderedPageBreak/>
        <w:t>Methods for Supplemental Table 1</w:t>
      </w:r>
    </w:p>
    <w:p w:rsidR="00F07D6F" w:rsidRPr="00F07D6F" w:rsidRDefault="00F07D6F" w:rsidP="00F0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A46D4" w:rsidRPr="003A46D4" w:rsidRDefault="00F07D6F" w:rsidP="003A46D4">
      <w:pPr>
        <w:spacing w:line="240" w:lineRule="auto"/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</w:pPr>
      <w:r w:rsidRPr="00F07D6F">
        <w:rPr>
          <w:rFonts w:ascii="Times New Roman" w:eastAsia="MS Mincho" w:hAnsi="Times New Roman" w:cs="Times New Roman"/>
          <w:sz w:val="24"/>
          <w:szCs w:val="24"/>
          <w:lang w:eastAsia="ja-JP"/>
        </w:rPr>
        <w:t>Disea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se duration was determined based </w:t>
      </w:r>
      <w:r w:rsidRPr="00F07D6F">
        <w:rPr>
          <w:rFonts w:ascii="Times New Roman" w:eastAsia="MS Mincho" w:hAnsi="Times New Roman" w:cs="Times New Roman"/>
          <w:sz w:val="24"/>
          <w:szCs w:val="24"/>
          <w:lang w:eastAsia="ja-JP"/>
        </w:rPr>
        <w:t>on when the first non-Raynaud phenomenon symptoms were documented.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</w:t>
      </w:r>
      <w:r w:rsidRPr="00F07D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 following criteria were used to define visceral involvement:   Pulmonary: Demonstration of abnormalities on high resolution computed tomographic scan (ground glass changes and/or fibrosis), pulmonary hypertension based on a right heart catheterization, restrictive changes on pulmonary function testing, or reduced diffusing capacity for carbon monoxide.  GI:  History of gastro-esophageal reflux disease based on either subjective and/or objective findings.  Some patients had symptoms of reflux requiring treatment with a proton pump inhibitor and/or H2-antagonist. Others had abnormal motility documented by esophageal </w:t>
      </w:r>
      <w:proofErr w:type="spellStart"/>
      <w:r w:rsidRPr="00F07D6F">
        <w:rPr>
          <w:rFonts w:ascii="Times New Roman" w:eastAsia="MS Mincho" w:hAnsi="Times New Roman" w:cs="Times New Roman"/>
          <w:sz w:val="24"/>
          <w:szCs w:val="24"/>
          <w:lang w:eastAsia="ja-JP"/>
        </w:rPr>
        <w:t>manometry</w:t>
      </w:r>
      <w:proofErr w:type="spellEnd"/>
      <w:r w:rsidRPr="00F07D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or findings of esophagitis on upper endoscopy.  Cardiac:  Evidence on echocardiogram of left ventricular diastolic dysfunction, a pericardial effusion, elevated peak right ventricular systolic pressure, right ventricular and/or right atrial dilatation. Conduction abnormalities on a 12 – lead EKG was also considered sufficient.  Renal:  History of rapidly progressive renal failure.</w:t>
      </w:r>
      <w:r w:rsidR="003A46D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</w:t>
      </w:r>
      <w:r w:rsidR="003A46D4" w:rsidRPr="003A46D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Antinuclear antibodies (ANA) and anti-centromere antibodies were determined by </w:t>
      </w:r>
      <w:proofErr w:type="spellStart"/>
      <w:r w:rsidR="003A46D4" w:rsidRPr="003A46D4">
        <w:rPr>
          <w:rFonts w:ascii="Times New Roman" w:eastAsia="MS Mincho" w:hAnsi="Times New Roman" w:cs="Times New Roman"/>
          <w:sz w:val="24"/>
          <w:szCs w:val="24"/>
          <w:lang w:eastAsia="ja-JP"/>
        </w:rPr>
        <w:t>immunofluorescent</w:t>
      </w:r>
      <w:proofErr w:type="spellEnd"/>
      <w:r w:rsidR="003A46D4" w:rsidRPr="003A46D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analysis on Hep-2 cell substrates.  Anti-Scl-70 (topoisomerase I) antibodies were determined by enzyme immunoassay.</w:t>
      </w:r>
    </w:p>
    <w:p w:rsidR="00F07D6F" w:rsidRPr="00F07D6F" w:rsidRDefault="00F07D6F" w:rsidP="00F07D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8E175C" w:rsidRDefault="008E175C" w:rsidP="008E175C"/>
    <w:p w:rsidR="00F07D6F" w:rsidRDefault="00F07D6F" w:rsidP="008E175C"/>
    <w:tbl>
      <w:tblPr>
        <w:tblW w:w="7260" w:type="dxa"/>
        <w:tblInd w:w="93" w:type="dxa"/>
        <w:tblLook w:val="04A0" w:firstRow="1" w:lastRow="0" w:firstColumn="1" w:lastColumn="0" w:noHBand="0" w:noVBand="1"/>
      </w:tblPr>
      <w:tblGrid>
        <w:gridCol w:w="2580"/>
        <w:gridCol w:w="960"/>
        <w:gridCol w:w="960"/>
        <w:gridCol w:w="1056"/>
        <w:gridCol w:w="1780"/>
      </w:tblGrid>
      <w:tr w:rsidR="008E175C" w:rsidRPr="008E175C" w:rsidTr="008E175C">
        <w:trPr>
          <w:trHeight w:val="315"/>
        </w:trPr>
        <w:tc>
          <w:tcPr>
            <w:tcW w:w="7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F07D6F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Supplemental </w:t>
            </w:r>
            <w:r w:rsidR="008E175C" w:rsidRPr="008E17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Table 2: AA and Caucasian Controls</w:t>
            </w: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Race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Donors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Smokers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Former Smokers</w:t>
            </w: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Caucasian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bookmarkStart w:id="0" w:name="_GoBack"/>
        <w:bookmarkEnd w:id="0"/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Caucasian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African-American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African-American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Age: Mean ± SD (range):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38.8 ± 12.1 (18-64)</w:t>
            </w:r>
          </w:p>
        </w:tc>
      </w:tr>
      <w:tr w:rsidR="008E175C" w:rsidRPr="008E175C" w:rsidTr="008E175C">
        <w:trPr>
          <w:trHeight w:val="315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</w:t>
            </w: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75C" w:rsidRPr="008E175C" w:rsidRDefault="008E175C" w:rsidP="008E1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44.1 ± 12.8 (19-69)</w:t>
            </w:r>
          </w:p>
        </w:tc>
      </w:tr>
    </w:tbl>
    <w:p w:rsidR="008E175C" w:rsidRDefault="008E175C" w:rsidP="008E175C"/>
    <w:sectPr w:rsidR="008E175C" w:rsidSect="00F07D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BC9"/>
    <w:rsid w:val="003A46D4"/>
    <w:rsid w:val="004F6B36"/>
    <w:rsid w:val="008E175C"/>
    <w:rsid w:val="009F6BC9"/>
    <w:rsid w:val="00D42391"/>
    <w:rsid w:val="00F0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D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D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6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Medical University of South Carolina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MUSC User</dc:creator>
  <cp:lastModifiedBy>MUSC User</cp:lastModifiedBy>
  <cp:revision>3</cp:revision>
  <dcterms:created xsi:type="dcterms:W3CDTF">2015-06-04T18:35:00Z</dcterms:created>
  <dcterms:modified xsi:type="dcterms:W3CDTF">2015-06-04T21:36:00Z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-1465504617</vt:i4>
  </property>
  <property fmtid="{D5CDD505-2E9C-101B-9397-08002B2CF9AE}" pid="3" name="_NewReviewCycle">
    <vt:lpwstr/>
  </property>
  <property fmtid="{D5CDD505-2E9C-101B-9397-08002B2CF9AE}" pid="4" name="_EmailSubject">
    <vt:lpwstr>see attached</vt:lpwstr>
  </property>
  <property fmtid="{D5CDD505-2E9C-101B-9397-08002B2CF9AE}" pid="5" name="_AuthorEmail">
    <vt:lpwstr>hoffmas@musc.edu</vt:lpwstr>
  </property>
  <property fmtid="{D5CDD505-2E9C-101B-9397-08002B2CF9AE}" pid="6" name="_AuthorEmailDisplayName">
    <vt:lpwstr>Hoffman, Stanley</vt:lpwstr>
  </property>
</Properties>
</file>