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Protocol</w:t>
      </w:r>
      <w:r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s</w:t>
      </w:r>
    </w:p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1 Expression of recombinant proteins</w:t>
      </w:r>
    </w:p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No antibody was available, so polyclonal antibodies were required. The polyclonal antibodies were generated using recombinant protein as antigen. The fragment encoding Hco-gal-m was amplified by PCR from the recombinant plasmid pBV220-Hco-gal-m which was c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onstructed previously in our </w:t>
      </w:r>
      <w:r>
        <w:rPr>
          <w:rFonts w:ascii="Times New Roman" w:hAnsi="Times New Roman"/>
          <w:kern w:val="0"/>
          <w:sz w:val="24"/>
          <w:szCs w:val="24"/>
        </w:rPr>
        <w:t>laboratory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655D63">
        <w:rPr>
          <w:rFonts w:ascii="Times New Roman" w:hAnsi="Times New Roman"/>
          <w:color w:val="000000"/>
          <w:kern w:val="0"/>
          <w:sz w:val="24"/>
          <w:szCs w:val="24"/>
        </w:rPr>
        <w:fldChar w:fldCharType="begin">
          <w:fldData xml:space="preserve">PEVuZE5vdGU+PENpdGU+PEF1dGhvcj5CZWNrPC9BdXRob3I+PFllYXI+MjAwMzwvWWVhcj48UmVj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</w:fldData>
        </w:fldChar>
      </w:r>
      <w:r>
        <w:rPr>
          <w:rFonts w:ascii="Times New Roman" w:hAnsi="Times New Roman"/>
          <w:color w:val="000000"/>
          <w:kern w:val="0"/>
          <w:sz w:val="24"/>
          <w:szCs w:val="24"/>
        </w:rPr>
        <w:instrText xml:space="preserve"> ADDIN EN.CITE </w:instrText>
      </w:r>
      <w:r w:rsidR="00655D63">
        <w:rPr>
          <w:rFonts w:ascii="Times New Roman" w:hAnsi="Times New Roman"/>
          <w:color w:val="000000"/>
          <w:kern w:val="0"/>
          <w:sz w:val="24"/>
          <w:szCs w:val="24"/>
        </w:rPr>
        <w:fldChar w:fldCharType="begin">
          <w:fldData xml:space="preserve">PEVuZE5vdGU+PENpdGU+PEF1dGhvcj5CZWNrPC9BdXRob3I+PFllYXI+MjAwMzwvWWVhcj48UmVj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</w:fldData>
        </w:fldChar>
      </w:r>
      <w:r>
        <w:rPr>
          <w:rFonts w:ascii="Times New Roman" w:hAnsi="Times New Roman"/>
          <w:color w:val="000000"/>
          <w:kern w:val="0"/>
          <w:sz w:val="24"/>
          <w:szCs w:val="24"/>
        </w:rPr>
        <w:instrText xml:space="preserve"> ADDIN EN.CITE.DATA </w:instrText>
      </w:r>
      <w:r w:rsidR="00655D63">
        <w:rPr>
          <w:rFonts w:ascii="Times New Roman" w:hAnsi="Times New Roman"/>
          <w:color w:val="000000"/>
          <w:kern w:val="0"/>
          <w:sz w:val="24"/>
          <w:szCs w:val="24"/>
        </w:rPr>
      </w:r>
      <w:r w:rsidR="00655D63">
        <w:rPr>
          <w:rFonts w:ascii="Times New Roman" w:hAnsi="Times New Roman"/>
          <w:color w:val="000000"/>
          <w:kern w:val="0"/>
          <w:sz w:val="24"/>
          <w:szCs w:val="24"/>
        </w:rPr>
        <w:fldChar w:fldCharType="end"/>
      </w:r>
      <w:r w:rsidR="00655D63">
        <w:rPr>
          <w:rFonts w:ascii="Times New Roman" w:hAnsi="Times New Roman"/>
          <w:color w:val="000000"/>
          <w:kern w:val="0"/>
          <w:sz w:val="24"/>
          <w:szCs w:val="24"/>
        </w:rPr>
      </w:r>
      <w:r w:rsidR="00655D63">
        <w:rPr>
          <w:rFonts w:ascii="Times New Roman" w:hAnsi="Times New Roman"/>
          <w:color w:val="000000"/>
          <w:kern w:val="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kern w:val="0"/>
          <w:sz w:val="24"/>
          <w:szCs w:val="24"/>
        </w:rPr>
        <w:t>[</w:t>
      </w:r>
      <w:hyperlink w:anchor="_ENREF_1" w:tooltip="Beck, 2003 #231" w:history="1">
        <w:r>
          <w:rPr>
            <w:rFonts w:ascii="Times New Roman" w:hAnsi="Times New Roman"/>
            <w:color w:val="000000"/>
            <w:kern w:val="0"/>
            <w:sz w:val="24"/>
            <w:szCs w:val="24"/>
          </w:rPr>
          <w:t>1</w:t>
        </w:r>
      </w:hyperlink>
      <w:r>
        <w:rPr>
          <w:rFonts w:ascii="Times New Roman" w:hAnsi="Times New Roman"/>
          <w:color w:val="000000"/>
          <w:kern w:val="0"/>
          <w:sz w:val="24"/>
          <w:szCs w:val="24"/>
        </w:rPr>
        <w:t>]</w:t>
      </w:r>
      <w:r w:rsidR="00655D63">
        <w:rPr>
          <w:rFonts w:ascii="Times New Roman" w:hAnsi="Times New Roman"/>
          <w:color w:val="000000"/>
          <w:kern w:val="0"/>
          <w:sz w:val="24"/>
          <w:szCs w:val="24"/>
        </w:rPr>
        <w:fldChar w:fldCharType="end"/>
      </w:r>
      <w:r>
        <w:rPr>
          <w:rFonts w:ascii="Times New Roman" w:hAnsi="Times New Roman"/>
          <w:color w:val="000000"/>
          <w:kern w:val="0"/>
          <w:sz w:val="24"/>
          <w:szCs w:val="24"/>
        </w:rPr>
        <w:t>.</w:t>
      </w:r>
    </w:p>
    <w:p w:rsidR="00655D63" w:rsidRDefault="004E007B" w:rsidP="004E007B">
      <w:pPr>
        <w:widowControl/>
        <w:adjustRightInd w:val="0"/>
        <w:snapToGrid w:val="0"/>
        <w:spacing w:line="480" w:lineRule="auto"/>
        <w:ind w:firstLineChars="50" w:firstLine="12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TMEM147 was predicted to represent integral membrane proteins; full-length forms of TMEM147 cannot be readily expressed in </w:t>
      </w:r>
      <w:r>
        <w:rPr>
          <w:rFonts w:ascii="Times New Roman" w:hAnsi="Times New Roman"/>
          <w:i/>
          <w:iCs/>
          <w:color w:val="000000"/>
          <w:kern w:val="0"/>
          <w:sz w:val="24"/>
          <w:szCs w:val="24"/>
        </w:rPr>
        <w:t>E. coli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expression systems. A partial region of TMEM147 was chosen for expression based on our prediction of membrane proteins using TMHMM Server v.2.0 (http://www.cbs.dtu.dk/services/TMHMM/; Additional file 6: Figure S4). Using cDNA from goat PBMC, the partial i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nsert fragment of TMEM147 was amplified by PCR as previous description. Primer sequences for PCR amplification are listed in the supporting information (Additional file 2: Table S1). </w:t>
      </w:r>
      <w:bookmarkStart w:id="0" w:name="_GoBack"/>
      <w:bookmarkEnd w:id="0"/>
    </w:p>
    <w:p w:rsidR="00655D63" w:rsidRDefault="004E007B" w:rsidP="004E007B">
      <w:pPr>
        <w:widowControl/>
        <w:adjustRightInd w:val="0"/>
        <w:snapToGrid w:val="0"/>
        <w:spacing w:line="480" w:lineRule="auto"/>
        <w:ind w:firstLineChars="50" w:firstLine="120"/>
        <w:rPr>
          <w:rFonts w:ascii="Times New Roman" w:hAnsi="Times New Roman"/>
          <w:color w:val="000000"/>
          <w:kern w:val="0"/>
          <w:sz w:val="24"/>
          <w:szCs w:val="24"/>
        </w:rPr>
        <w:pPrChange w:id="1" w:author="gcredo" w:date="2016-06-14T00:48:00Z">
          <w:pPr>
            <w:widowControl/>
            <w:adjustRightInd w:val="0"/>
            <w:snapToGrid w:val="0"/>
            <w:spacing w:line="480" w:lineRule="auto"/>
            <w:ind w:firstLineChars="50" w:firstLine="120"/>
          </w:pPr>
        </w:pPrChange>
      </w:pPr>
      <w:r>
        <w:rPr>
          <w:rFonts w:ascii="Times New Roman" w:hAnsi="Times New Roman"/>
          <w:color w:val="000000"/>
          <w:kern w:val="0"/>
          <w:sz w:val="24"/>
          <w:szCs w:val="24"/>
        </w:rPr>
        <w:t>After confirming the sequence of the PCR product, TMEM147 and Hco-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g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al-m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fragments were extracted for ligation into the pET-28a(+) vector (Merck, Darmstadt, Hessen, Germany). Following ligation, the constructed plasmids were transformed into </w:t>
      </w:r>
      <w:r>
        <w:rPr>
          <w:rFonts w:ascii="Times New Roman" w:hAnsi="Times New Roman"/>
          <w:i/>
          <w:iCs/>
          <w:color w:val="000000"/>
          <w:kern w:val="0"/>
          <w:sz w:val="24"/>
          <w:szCs w:val="24"/>
        </w:rPr>
        <w:t>E. coli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strain BL21 (DE3). Recombinant proteins were induced in cells using 1 mM isopro</w:t>
      </w:r>
      <w:r>
        <w:rPr>
          <w:rFonts w:ascii="Times New Roman" w:hAnsi="Times New Roman"/>
          <w:color w:val="000000"/>
          <w:kern w:val="0"/>
          <w:sz w:val="24"/>
          <w:szCs w:val="24"/>
        </w:rPr>
        <w:t>pyl-β-d-thiogalactoside (IPTG) treatment. Proteins with His-tags were then purified using a fast protein liquid chromatograph equipped with an AKTA FPLC system (GE Healthcare, Chalfont St. Giles, Buckinghamshire, UK). SDS-PAGE gels were used to confirm the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size and purity of the recombinant proteins (Additional file 4: Figure S2). Thrombin Kits (Merck, Darmstadt, Hessen, Germany) were used to cleave recombinant fusion proteins. After removing recombinant fusion proteins, </w:t>
      </w:r>
      <w:r>
        <w:rPr>
          <w:rFonts w:ascii="Times New Roman" w:hAnsi="Times New Roman"/>
          <w:color w:val="000000"/>
          <w:kern w:val="0"/>
          <w:sz w:val="24"/>
          <w:szCs w:val="24"/>
        </w:rPr>
        <w:lastRenderedPageBreak/>
        <w:t>lipopolysaccharide (LPS) was deplete</w:t>
      </w:r>
      <w:r>
        <w:rPr>
          <w:rFonts w:ascii="Times New Roman" w:hAnsi="Times New Roman"/>
          <w:color w:val="000000"/>
          <w:kern w:val="0"/>
          <w:sz w:val="24"/>
          <w:szCs w:val="24"/>
        </w:rPr>
        <w:t>d from the proteins using the Detoxi-Gel Affinity Pak prepacked columns (Pierce Biotechnology Inc., Rockford, Illinois, USA), in accordance with the manufacturer’s instructions. Protein concentrations were determined using the Pierce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TM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BCA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TM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Protein Assay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Kit (Thermo Fisher Scientific, Waltham, Massachusetts, USA) and were then diluted to 1 mg/mL using PBS. Endotoxin concentrations were measured using the LAL gel clot assay (Associates of Cape Cod Inc., East Falmouth, Massachusetts, USA), which showed that </w:t>
      </w:r>
      <w:r>
        <w:rPr>
          <w:rFonts w:ascii="Times New Roman" w:hAnsi="Times New Roman"/>
          <w:color w:val="000000"/>
          <w:kern w:val="0"/>
          <w:sz w:val="24"/>
          <w:szCs w:val="24"/>
        </w:rPr>
        <w:t>endotoxin concentrations for all recombinant proteins were less than 0.25 EU/mL. Ample aliquots were stored at –70 °C until use.</w:t>
      </w:r>
    </w:p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</w:p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2 Production of antibody</w:t>
      </w:r>
    </w:p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SD rats (body weight, ~150 g) were purchased from the Experimental Animal Center of Jiangsu, PR Chin</w:t>
      </w:r>
      <w:r>
        <w:rPr>
          <w:rFonts w:ascii="Times New Roman" w:hAnsi="Times New Roman"/>
          <w:color w:val="000000"/>
          <w:kern w:val="0"/>
          <w:sz w:val="24"/>
          <w:szCs w:val="24"/>
        </w:rPr>
        <w:t>a (Qualified Certificate: SCXK 2008-0004) and were raised in a sterilized room and fed sterilized food and water.</w:t>
      </w:r>
    </w:p>
    <w:p w:rsidR="00655D63" w:rsidRDefault="004E007B" w:rsidP="004E007B">
      <w:pPr>
        <w:widowControl/>
        <w:adjustRightInd w:val="0"/>
        <w:snapToGrid w:val="0"/>
        <w:spacing w:line="480" w:lineRule="auto"/>
        <w:ind w:firstLineChars="50" w:firstLine="12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The rats were immunized with 100 μg protein four times at 15-day intervals. Negative serum was collected before the first immunization. The po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lyclonal antisera were collected 7 days after the final immunization. Rat antisera were subjected to 50% ammonium sulfate precipitation, using a published </w:t>
      </w:r>
      <w:r>
        <w:rPr>
          <w:rFonts w:ascii="Times New Roman" w:hAnsi="Times New Roman"/>
          <w:sz w:val="24"/>
          <w:szCs w:val="24"/>
        </w:rPr>
        <w:t xml:space="preserve">technique </w:t>
      </w:r>
      <w:r w:rsidR="00655D63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PEVuZE5vdGU+PENpdGU+PEF1dGhvcj5ZYW5taW5nPC9BdXRob3I+PFllYXI+MjAwNzwvWWVhcj48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==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 w:rsidR="00655D63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PEVuZE5vdGU+PENpdGU+PEF1dGhvcj5ZYW5taW5nPC9BdXRob3I+PFllYXI+MjAwNzwvWWVhcj48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==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655D63">
        <w:rPr>
          <w:rFonts w:ascii="Times New Roman" w:hAnsi="Times New Roman"/>
          <w:sz w:val="24"/>
          <w:szCs w:val="24"/>
        </w:rPr>
      </w:r>
      <w:r w:rsidR="00655D63">
        <w:rPr>
          <w:rFonts w:ascii="Times New Roman" w:hAnsi="Times New Roman"/>
          <w:sz w:val="24"/>
          <w:szCs w:val="24"/>
        </w:rPr>
        <w:fldChar w:fldCharType="end"/>
      </w:r>
      <w:r w:rsidR="00655D63">
        <w:rPr>
          <w:rFonts w:ascii="Times New Roman" w:hAnsi="Times New Roman"/>
          <w:sz w:val="24"/>
          <w:szCs w:val="24"/>
        </w:rPr>
      </w:r>
      <w:r w:rsidR="00655D63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[</w:t>
      </w:r>
      <w:hyperlink w:anchor="_ENREF_2" w:tooltip="Yanming, 2007 #232" w:history="1">
        <w:r>
          <w:rPr>
            <w:rFonts w:ascii="Times New Roman" w:hAnsi="Times New Roman"/>
            <w:sz w:val="24"/>
            <w:szCs w:val="24"/>
          </w:rPr>
          <w:t>2</w:t>
        </w:r>
      </w:hyperlink>
      <w:r>
        <w:rPr>
          <w:rFonts w:ascii="Times New Roman" w:hAnsi="Times New Roman"/>
          <w:sz w:val="24"/>
          <w:szCs w:val="24"/>
        </w:rPr>
        <w:t>]</w:t>
      </w:r>
      <w:r w:rsidR="00655D63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The precipitated fraction was re-suspended in PBS (pH 7.4) for 24 h at 4°C, including three changes of buffer during this time period. PD MidiTrap G-25 (GE Healthcare, Pittsburgh, PA, USA) was used to desalt and adjust this crude preparation to the optima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l pH and ionic binding buffer strength (20 mM sodium phosphate, pH 7.0) for IgG purification. Rat IgG was then purified using HiTrap Protein G HP (GE Healthcare, Chalfont St. Giles, Buckinghamshire, UK) following the manufacturer’s </w:t>
      </w:r>
      <w:r>
        <w:rPr>
          <w:rFonts w:ascii="Times New Roman" w:hAnsi="Times New Roman"/>
          <w:color w:val="000000"/>
          <w:kern w:val="0"/>
          <w:sz w:val="24"/>
          <w:szCs w:val="24"/>
        </w:rPr>
        <w:lastRenderedPageBreak/>
        <w:t>instructions. Rat IgG co</w:t>
      </w:r>
      <w:r>
        <w:rPr>
          <w:rFonts w:ascii="Times New Roman" w:hAnsi="Times New Roman"/>
          <w:color w:val="000000"/>
          <w:kern w:val="0"/>
          <w:sz w:val="24"/>
          <w:szCs w:val="24"/>
        </w:rPr>
        <w:t>ncentrations were determined using the Pierce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TM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BCA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 xml:space="preserve">TM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Protein Assay Kit (Thermo Fisher Scientific, Waltham, Massachusetts, USA). Purified rat IgGs, including preimmune IgG and specific IgG, were each diluted to 0.5 mg/mL. Then, IgG aliquots were stored at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–70 °C until use. The specificities of IgGs were determined by immunoblotting (Additional file 5: Figure S3). The binding specificity of the antibody was further investigated and confirmed by mass-spectometry. </w:t>
      </w:r>
    </w:p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</w:p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3 Transfection procedures for siRNA</w:t>
      </w:r>
    </w:p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For eac</w:t>
      </w:r>
      <w:r>
        <w:rPr>
          <w:rFonts w:ascii="Times New Roman" w:hAnsi="Times New Roman"/>
          <w:color w:val="000000"/>
          <w:kern w:val="0"/>
          <w:sz w:val="24"/>
          <w:szCs w:val="24"/>
        </w:rPr>
        <w:t>h siRNA transfection, 1×10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6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cells/well were cultured in 12-well plates. The cells were transfected with 40 pmol TMEM63A-siRNA-1 along with 2 μL Lipofectamine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®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RNAiMAX Reagent (Life Technologies, Shanghai, USA). In the negative control group, cells were tra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nsfected with 40 pmol non-specific siRNA (ns siRNA) and 2 μL Lipofectamine® RNAiMAX Reagent </w:t>
      </w:r>
      <w:r w:rsidR="00655D63">
        <w:rPr>
          <w:rFonts w:ascii="Times New Roman" w:hAnsi="Times New Roman"/>
          <w:color w:val="000000"/>
          <w:kern w:val="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kern w:val="0"/>
          <w:sz w:val="24"/>
          <w:szCs w:val="24"/>
        </w:rPr>
        <w:instrText xml:space="preserve"> ADDIN EN.CITE &lt;EndNote&gt;&lt;Cite&gt;&lt;Author&gt;Yuan&lt;/Author&gt;&lt;Year&gt;2015&lt;/Year&gt;&lt;RecNum&gt;152&lt;/RecNum&gt;&lt;DisplayText&gt;[3]&lt;/DisplayText&gt;&lt;record&gt;&lt;rec-number&gt;152&lt;/rec-number&gt;&lt;foreign-k</w:instrText>
      </w:r>
      <w:r>
        <w:rPr>
          <w:rFonts w:ascii="Times New Roman" w:hAnsi="Times New Roman"/>
          <w:color w:val="000000"/>
          <w:kern w:val="0"/>
          <w:sz w:val="24"/>
          <w:szCs w:val="24"/>
        </w:rPr>
        <w:instrText>eys&gt;&lt;key app="EN" db-id="de2f0zt01rd2zkesffnxp0v4p05zeavp9f0t"&gt;152&lt;/key&gt;&lt;/foreign-keys&gt;&lt;ref-type name="Journal Article"&gt;17&lt;/ref-type&gt;&lt;contributors&gt;&lt;authors&gt;&lt;author&gt;Yuan, C.&lt;/author&gt;&lt;author&gt;Zhang, H.&lt;/author&gt;&lt;author&gt;Wang, W.&lt;/author&gt;&lt;author&gt;Li, Y.&lt;/author&gt;&lt;</w:instrText>
      </w:r>
      <w:r>
        <w:rPr>
          <w:rFonts w:ascii="Times New Roman" w:hAnsi="Times New Roman"/>
          <w:color w:val="000000"/>
          <w:kern w:val="0"/>
          <w:sz w:val="24"/>
          <w:szCs w:val="24"/>
        </w:rPr>
        <w:instrText>author&gt;Yan, R. F.&lt;/author&gt;&lt;author&gt;Xu, L. X.&lt;/author&gt;&lt;author&gt;Song, X. K.&lt;/author&gt;&lt;author&gt;Li, X. R.&lt;/author&gt;&lt;/authors&gt;&lt;/contributors&gt;&lt;auth-address&gt;Nanjing Agr Univ, Coll Vet Med, Nanjing 210095, Jiangsu, Peoples R China&lt;/auth-address&gt;&lt;titles&gt;&lt;title&gt;Transmemb</w:instrText>
      </w:r>
      <w:r>
        <w:rPr>
          <w:rFonts w:ascii="Times New Roman" w:hAnsi="Times New Roman"/>
          <w:color w:val="000000"/>
          <w:kern w:val="0"/>
          <w:sz w:val="24"/>
          <w:szCs w:val="24"/>
        </w:rPr>
        <w:instrText>rane protein 63A is a partner protein of Haemonchus contortus galectin in the regulation of goat peripheral blood mononuclear cells&lt;/title&gt;&lt;secondary-title&gt;Parasites &amp;amp; Vectors&lt;/secondary-title&gt;&lt;alt-title&gt;Parasite Vector&lt;/alt-title&gt;&lt;/titles&gt;&lt;periodical&gt;</w:instrText>
      </w:r>
      <w:r>
        <w:rPr>
          <w:rFonts w:ascii="Times New Roman" w:hAnsi="Times New Roman"/>
          <w:color w:val="000000"/>
          <w:kern w:val="0"/>
          <w:sz w:val="24"/>
          <w:szCs w:val="24"/>
        </w:rPr>
        <w:instrText>&lt;full-title&gt;Parasites &amp;amp; Vectors&lt;/full-title&gt;&lt;abbr-1&gt;Parasite Vector&lt;/abbr-1&gt;&lt;/periodical&gt;&lt;alt-periodical&gt;&lt;full-title&gt;Parasites &amp;amp; Vectors&lt;/full-title&gt;&lt;abbr-1&gt;Parasite Vector&lt;/abbr-1&gt;&lt;/alt-periodical&gt;&lt;volume&gt;8&lt;/volume&gt;&lt;keywords&gt;&lt;keyword&gt;galectin&lt;/key</w:instrText>
      </w:r>
      <w:r>
        <w:rPr>
          <w:rFonts w:ascii="Times New Roman" w:hAnsi="Times New Roman"/>
          <w:color w:val="000000"/>
          <w:kern w:val="0"/>
          <w:sz w:val="24"/>
          <w:szCs w:val="24"/>
        </w:rPr>
        <w:instrText>word&gt;&lt;keyword&gt;haemonchus contortus&lt;/keyword&gt;&lt;keyword&gt;partner protein&lt;/keyword&gt;&lt;keyword&gt;tmem63a&lt;/keyword&gt;&lt;keyword&gt;recombinant galectins&lt;/keyword&gt;&lt;keyword&gt;immune-response&lt;/keyword&gt;&lt;keyword&gt;intestinal inflammation&lt;/keyword&gt;&lt;keyword&gt;leishmania-major&lt;/keyword&gt;&lt;</w:instrText>
      </w:r>
      <w:r>
        <w:rPr>
          <w:rFonts w:ascii="Times New Roman" w:hAnsi="Times New Roman"/>
          <w:color w:val="000000"/>
          <w:kern w:val="0"/>
          <w:sz w:val="24"/>
          <w:szCs w:val="24"/>
        </w:rPr>
        <w:instrText>keyword&gt;in-vitro&lt;/keyword&gt;&lt;keyword&gt;expression&lt;/keyword&gt;&lt;keyword&gt;modulation&lt;/keyword&gt;&lt;keyword&gt;monocytes&lt;/keyword&gt;&lt;keyword&gt;infection&lt;/keyword&gt;&lt;keyword&gt;migration&lt;/keyword&gt;&lt;/keywords&gt;&lt;dates&gt;&lt;year&gt;2015&lt;/year&gt;&lt;pub-dates&gt;&lt;date&gt;Apr 9&lt;/date&gt;&lt;/pub-dates&gt;&lt;/dates&gt;&lt;isb</w:instrText>
      </w:r>
      <w:r>
        <w:rPr>
          <w:rFonts w:ascii="Times New Roman" w:hAnsi="Times New Roman"/>
          <w:color w:val="000000"/>
          <w:kern w:val="0"/>
          <w:sz w:val="24"/>
          <w:szCs w:val="24"/>
        </w:rPr>
        <w:instrText>n&gt;1756-3305&lt;/isbn&gt;&lt;accession-num&gt;WOS:000353264500004&lt;/accession-num&gt;&lt;urls&gt;&lt;related-urls&gt;&lt;url&gt;&amp;lt;Go to ISI&amp;gt;://WOS:000353264500004&lt;/url&gt;&lt;/related-urls&gt;&lt;/urls&gt;&lt;electronic-resource-num&gt;Artn 211&amp;#xD;10.1186/S13071-015-0816-3&lt;/electronic-resource-num&gt;&lt;langua</w:instrText>
      </w:r>
      <w:r>
        <w:rPr>
          <w:rFonts w:ascii="Times New Roman" w:hAnsi="Times New Roman"/>
          <w:color w:val="000000"/>
          <w:kern w:val="0"/>
          <w:sz w:val="24"/>
          <w:szCs w:val="24"/>
        </w:rPr>
        <w:instrText>ge&gt;English&lt;/language&gt;&lt;/record&gt;&lt;/Cite&gt;&lt;/EndNote&gt;</w:instrText>
      </w:r>
      <w:r w:rsidR="00655D63">
        <w:rPr>
          <w:rFonts w:ascii="Times New Roman" w:hAnsi="Times New Roman"/>
          <w:color w:val="000000"/>
          <w:kern w:val="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kern w:val="0"/>
          <w:sz w:val="24"/>
          <w:szCs w:val="24"/>
        </w:rPr>
        <w:t>[</w:t>
      </w:r>
      <w:hyperlink w:anchor="_ENREF_3" w:tooltip="Yuan, 2015 #152" w:history="1">
        <w:r>
          <w:rPr>
            <w:rFonts w:ascii="Times New Roman" w:hAnsi="Times New Roman"/>
            <w:color w:val="000000"/>
            <w:kern w:val="0"/>
            <w:sz w:val="24"/>
            <w:szCs w:val="24"/>
          </w:rPr>
          <w:t>3</w:t>
        </w:r>
      </w:hyperlink>
      <w:r>
        <w:rPr>
          <w:rFonts w:ascii="Times New Roman" w:hAnsi="Times New Roman"/>
          <w:color w:val="000000"/>
          <w:kern w:val="0"/>
          <w:sz w:val="24"/>
          <w:szCs w:val="24"/>
        </w:rPr>
        <w:t>]</w:t>
      </w:r>
      <w:r w:rsidR="00655D63">
        <w:rPr>
          <w:rFonts w:ascii="Times New Roman" w:hAnsi="Times New Roman"/>
          <w:color w:val="000000"/>
          <w:kern w:val="0"/>
          <w:sz w:val="24"/>
          <w:szCs w:val="24"/>
        </w:rPr>
        <w:fldChar w:fldCharType="end"/>
      </w:r>
      <w:r>
        <w:rPr>
          <w:rFonts w:ascii="Times New Roman" w:hAnsi="Times New Roman"/>
          <w:color w:val="000000"/>
          <w:kern w:val="0"/>
          <w:sz w:val="24"/>
          <w:szCs w:val="24"/>
        </w:rPr>
        <w:t>.</w:t>
      </w:r>
    </w:p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To determine the optimal time to achieve maximal interference, cells were harvested at 24, 48 and 60 h after siRNA transfection. Cells were split to tw</w:t>
      </w:r>
      <w:r>
        <w:rPr>
          <w:rFonts w:ascii="Times New Roman" w:hAnsi="Times New Roman"/>
          <w:color w:val="000000"/>
          <w:kern w:val="0"/>
          <w:sz w:val="24"/>
          <w:szCs w:val="24"/>
        </w:rPr>
        <w:t>o aliquots, one aliquot was lysed using lysis buffer for western blot analysis, and the other aliquot was used for total RNA extraction to confirm the knockdown of target genes using RT-PCR analysis. The mRNA expression levels of beta-actin were used as an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internal control and the stability of beta-actin expression was validated. The mouse monoclonal antibodies against beta-actin (1:200) and chicken anti-mouse IgG-HRP (1:3000) were purchased from Santa Cruz Biotechnology (Santa Cruz Biotechnology, Dallas, T</w:t>
      </w:r>
      <w:r>
        <w:rPr>
          <w:rFonts w:ascii="Times New Roman" w:hAnsi="Times New Roman"/>
          <w:color w:val="000000"/>
          <w:kern w:val="0"/>
          <w:sz w:val="24"/>
          <w:szCs w:val="24"/>
        </w:rPr>
        <w:t>exas, USA). Each experiment was performed in triplicate.</w:t>
      </w:r>
    </w:p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lastRenderedPageBreak/>
        <w:t xml:space="preserve"> </w:t>
      </w:r>
    </w:p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4 The real-time PCR reactions and conditions</w:t>
      </w:r>
    </w:p>
    <w:p w:rsidR="00655D63" w:rsidRDefault="004E007B">
      <w:pPr>
        <w:widowControl/>
        <w:adjustRightInd w:val="0"/>
        <w:snapToGri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The real-time PCR reactions were carried out in 96-well optical reaction plates (Bio-Rad Laboratories , Hercules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4"/>
          <w:szCs w:val="24"/>
        </w:rPr>
        <w:t>California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4"/>
          <w:szCs w:val="24"/>
        </w:rPr>
        <w:t>USA) with 200 nM each specif</w:t>
      </w:r>
      <w:r>
        <w:rPr>
          <w:rFonts w:ascii="Times New Roman" w:hAnsi="Times New Roman"/>
          <w:color w:val="000000"/>
          <w:kern w:val="0"/>
          <w:sz w:val="24"/>
          <w:szCs w:val="24"/>
        </w:rPr>
        <w:t>ic primer, 2 μl cDNA (20 ng, as described in the experimental procedures), and SYBR® Green Supermix (Bio-Rad Laboratories , Hercules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4"/>
          <w:szCs w:val="24"/>
        </w:rPr>
        <w:t>California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4"/>
          <w:szCs w:val="24"/>
        </w:rPr>
        <w:t>USA) using an ABI 7500 Real-Time PCR system (Applied Biosystems, Foster City, California, USA). The PCR conditio</w:t>
      </w:r>
      <w:r>
        <w:rPr>
          <w:rFonts w:ascii="Times New Roman" w:hAnsi="Times New Roman"/>
          <w:color w:val="000000"/>
          <w:kern w:val="0"/>
          <w:sz w:val="24"/>
          <w:szCs w:val="24"/>
        </w:rPr>
        <w:t>ns were as follows: 95°C for 30 sec, followed by 95°C for 15 sec, 60°C for 30 sec and 72°C for 30 sec for 40 cycles.</w:t>
      </w:r>
    </w:p>
    <w:p w:rsidR="00655D63" w:rsidRDefault="004E007B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55D63" w:rsidRDefault="004E007B">
      <w:pPr>
        <w:autoSpaceDE w:val="0"/>
        <w:autoSpaceDN w:val="0"/>
        <w:adjustRightInd w:val="0"/>
        <w:snapToGrid w:val="0"/>
        <w:spacing w:line="480" w:lineRule="auto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Supplemental References</w:t>
      </w:r>
    </w:p>
    <w:p w:rsidR="00655D63" w:rsidRDefault="00655D63">
      <w:pPr>
        <w:ind w:left="720" w:hanging="720"/>
        <w:rPr>
          <w:sz w:val="20"/>
        </w:rPr>
      </w:pPr>
      <w:r>
        <w:fldChar w:fldCharType="begin"/>
      </w:r>
      <w:r w:rsidR="004E007B">
        <w:instrText xml:space="preserve"> ADDIN EN.REFLIST </w:instrText>
      </w:r>
      <w:r>
        <w:fldChar w:fldCharType="separate"/>
      </w:r>
      <w:bookmarkStart w:id="2" w:name="_ENREF_1"/>
      <w:r w:rsidR="004E007B">
        <w:rPr>
          <w:sz w:val="20"/>
        </w:rPr>
        <w:t>1.</w:t>
      </w:r>
      <w:r w:rsidR="004E007B">
        <w:rPr>
          <w:sz w:val="20"/>
        </w:rPr>
        <w:tab/>
        <w:t xml:space="preserve">Beck BM, Rice CD: </w:t>
      </w:r>
      <w:r w:rsidR="004E007B">
        <w:rPr>
          <w:b/>
          <w:sz w:val="20"/>
        </w:rPr>
        <w:t xml:space="preserve">Serum antibody levels against select bacterial pathogens in Atlantic </w:t>
      </w:r>
      <w:r w:rsidR="004E007B">
        <w:rPr>
          <w:b/>
          <w:sz w:val="20"/>
        </w:rPr>
        <w:t>bottlenose dolphins, Tursiops truncatus, from Beaufort NC USA and Charleston Harbor, Charleston, SC, USA</w:t>
      </w:r>
      <w:r w:rsidR="004E007B">
        <w:rPr>
          <w:sz w:val="20"/>
        </w:rPr>
        <w:t xml:space="preserve">. </w:t>
      </w:r>
      <w:r w:rsidR="004E007B">
        <w:rPr>
          <w:i/>
          <w:sz w:val="20"/>
        </w:rPr>
        <w:t xml:space="preserve">Marine environmental research </w:t>
      </w:r>
      <w:r w:rsidR="004E007B">
        <w:rPr>
          <w:sz w:val="20"/>
        </w:rPr>
        <w:t xml:space="preserve">2003, </w:t>
      </w:r>
      <w:r w:rsidR="004E007B">
        <w:rPr>
          <w:b/>
          <w:sz w:val="20"/>
        </w:rPr>
        <w:t>55</w:t>
      </w:r>
      <w:r w:rsidR="004E007B">
        <w:rPr>
          <w:sz w:val="20"/>
        </w:rPr>
        <w:t>(2):161-179.</w:t>
      </w:r>
      <w:bookmarkEnd w:id="2"/>
    </w:p>
    <w:p w:rsidR="00655D63" w:rsidRDefault="004E007B">
      <w:pPr>
        <w:ind w:left="720" w:hanging="720"/>
        <w:rPr>
          <w:sz w:val="20"/>
        </w:rPr>
      </w:pPr>
      <w:bookmarkStart w:id="3" w:name="_ENREF_2"/>
      <w:r>
        <w:rPr>
          <w:sz w:val="20"/>
        </w:rPr>
        <w:t>2.</w:t>
      </w:r>
      <w:r>
        <w:rPr>
          <w:sz w:val="20"/>
        </w:rPr>
        <w:tab/>
        <w:t xml:space="preserve">Yanming S, Ruofeng Y, Muleke CI, Guangwei Z, Lixin X, Xiangrui L: </w:t>
      </w:r>
      <w:r>
        <w:rPr>
          <w:b/>
          <w:sz w:val="20"/>
        </w:rPr>
        <w:t>Vaccination of goats with reco</w:t>
      </w:r>
      <w:r>
        <w:rPr>
          <w:b/>
          <w:sz w:val="20"/>
        </w:rPr>
        <w:t>mbinant galectin antigen induces partial protection against Haemonchus contortus infection</w:t>
      </w:r>
      <w:r>
        <w:rPr>
          <w:sz w:val="20"/>
        </w:rPr>
        <w:t xml:space="preserve">. </w:t>
      </w:r>
      <w:r>
        <w:rPr>
          <w:i/>
          <w:sz w:val="20"/>
        </w:rPr>
        <w:t xml:space="preserve">Parasite immunology </w:t>
      </w:r>
      <w:r>
        <w:rPr>
          <w:sz w:val="20"/>
        </w:rPr>
        <w:t xml:space="preserve">2007, </w:t>
      </w:r>
      <w:r>
        <w:rPr>
          <w:b/>
          <w:sz w:val="20"/>
        </w:rPr>
        <w:t>29</w:t>
      </w:r>
      <w:r>
        <w:rPr>
          <w:sz w:val="20"/>
        </w:rPr>
        <w:t>(6):319-326.</w:t>
      </w:r>
      <w:bookmarkEnd w:id="3"/>
    </w:p>
    <w:p w:rsidR="00655D63" w:rsidRDefault="004E007B">
      <w:pPr>
        <w:ind w:left="720" w:hanging="720"/>
        <w:rPr>
          <w:sz w:val="20"/>
        </w:rPr>
      </w:pPr>
      <w:bookmarkStart w:id="4" w:name="_ENREF_3"/>
      <w:r>
        <w:rPr>
          <w:sz w:val="20"/>
        </w:rPr>
        <w:t>3.</w:t>
      </w:r>
      <w:r>
        <w:rPr>
          <w:sz w:val="20"/>
        </w:rPr>
        <w:tab/>
        <w:t xml:space="preserve">Yuan C, Zhang H, Wang W, Li Y, Yan RF, Xu LX, Song XK, Li XR: </w:t>
      </w:r>
      <w:r>
        <w:rPr>
          <w:b/>
          <w:sz w:val="20"/>
        </w:rPr>
        <w:t>Transmembrane protein 63A is a partner protein of Haemonch</w:t>
      </w:r>
      <w:r>
        <w:rPr>
          <w:b/>
          <w:sz w:val="20"/>
        </w:rPr>
        <w:t>us contortus galectin in the regulation of goat peripheral blood mononuclear cells</w:t>
      </w:r>
      <w:r>
        <w:rPr>
          <w:sz w:val="20"/>
        </w:rPr>
        <w:t xml:space="preserve">. </w:t>
      </w:r>
      <w:r>
        <w:rPr>
          <w:i/>
          <w:sz w:val="20"/>
        </w:rPr>
        <w:t xml:space="preserve">Parasite Vector </w:t>
      </w:r>
      <w:r>
        <w:rPr>
          <w:sz w:val="20"/>
        </w:rPr>
        <w:t xml:space="preserve">2015, </w:t>
      </w:r>
      <w:r>
        <w:rPr>
          <w:b/>
          <w:sz w:val="20"/>
        </w:rPr>
        <w:t>8</w:t>
      </w:r>
      <w:r>
        <w:rPr>
          <w:sz w:val="20"/>
        </w:rPr>
        <w:t>.</w:t>
      </w:r>
      <w:bookmarkEnd w:id="4"/>
    </w:p>
    <w:p w:rsidR="00655D63" w:rsidRDefault="00655D63">
      <w:pPr>
        <w:rPr>
          <w:sz w:val="20"/>
        </w:rPr>
      </w:pPr>
    </w:p>
    <w:p w:rsidR="00655D63" w:rsidRDefault="00655D63">
      <w:r>
        <w:fldChar w:fldCharType="end"/>
      </w:r>
    </w:p>
    <w:sectPr w:rsidR="00655D63" w:rsidSect="00655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arasites Vector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e2f0zt01rd2zkesffnxp0v4p05zeavp9f0t&quot;&gt;My EndNote Library&lt;record-ids&gt;&lt;item&gt;152&lt;/item&gt;&lt;item&gt;231&lt;/item&gt;&lt;item&gt;232&lt;/item&gt;&lt;/record-ids&gt;&lt;/item&gt;&lt;/Libraries&gt;"/>
  </w:docVars>
  <w:rsids>
    <w:rsidRoot w:val="003E62D5"/>
    <w:rsid w:val="001027CF"/>
    <w:rsid w:val="00124988"/>
    <w:rsid w:val="00140A8C"/>
    <w:rsid w:val="00151FB1"/>
    <w:rsid w:val="002278F4"/>
    <w:rsid w:val="00245190"/>
    <w:rsid w:val="002616C7"/>
    <w:rsid w:val="0028173E"/>
    <w:rsid w:val="002A3894"/>
    <w:rsid w:val="002C7763"/>
    <w:rsid w:val="002E6F38"/>
    <w:rsid w:val="00316FEA"/>
    <w:rsid w:val="003B7EAF"/>
    <w:rsid w:val="003E62D5"/>
    <w:rsid w:val="00403F73"/>
    <w:rsid w:val="00414D02"/>
    <w:rsid w:val="0049521B"/>
    <w:rsid w:val="004E007B"/>
    <w:rsid w:val="004F19C2"/>
    <w:rsid w:val="00540430"/>
    <w:rsid w:val="005753E4"/>
    <w:rsid w:val="005D2D59"/>
    <w:rsid w:val="00655D63"/>
    <w:rsid w:val="00711465"/>
    <w:rsid w:val="00741AF3"/>
    <w:rsid w:val="007C248F"/>
    <w:rsid w:val="00824545"/>
    <w:rsid w:val="008854BF"/>
    <w:rsid w:val="00910526"/>
    <w:rsid w:val="009368C5"/>
    <w:rsid w:val="0095556A"/>
    <w:rsid w:val="00A31F16"/>
    <w:rsid w:val="00A65879"/>
    <w:rsid w:val="00C60BF9"/>
    <w:rsid w:val="00CD0F27"/>
    <w:rsid w:val="00D35CF2"/>
    <w:rsid w:val="00D81649"/>
    <w:rsid w:val="00DB22E9"/>
    <w:rsid w:val="00DB24C8"/>
    <w:rsid w:val="00DD7A41"/>
    <w:rsid w:val="00E04E19"/>
    <w:rsid w:val="00E523F9"/>
    <w:rsid w:val="00E548C6"/>
    <w:rsid w:val="00E556A5"/>
    <w:rsid w:val="00E56D25"/>
    <w:rsid w:val="00E90751"/>
    <w:rsid w:val="00ED58CA"/>
    <w:rsid w:val="00F11CDE"/>
    <w:rsid w:val="00FB5702"/>
    <w:rsid w:val="00FD2483"/>
    <w:rsid w:val="00FD4F83"/>
    <w:rsid w:val="2DAC3D12"/>
    <w:rsid w:val="3CD11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D63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qFormat/>
    <w:rsid w:val="00655D63"/>
    <w:rPr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655D63"/>
    <w:rPr>
      <w:rFonts w:cs="Times New Roman"/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locked/>
    <w:rsid w:val="00655D63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7688</Characters>
  <Application>Microsoft Office Word</Application>
  <DocSecurity>0</DocSecurity>
  <Lines>64</Lines>
  <Paragraphs>17</Paragraphs>
  <ScaleCrop>false</ScaleCrop>
  <Company>CHINA</Company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gcredo</cp:lastModifiedBy>
  <cp:revision>12</cp:revision>
  <dcterms:created xsi:type="dcterms:W3CDTF">2016-01-15T04:12:00Z</dcterms:created>
  <dcterms:modified xsi:type="dcterms:W3CDTF">2016-06-13T16:48:00Z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