
<file path=[Content_Types].xml><?xml version="1.0" encoding="utf-8"?>
<Types xmlns="http://schemas.openxmlformats.org/package/2006/content-types">
  <Default Extension="xml" ContentType="application/xml"/>
  <Default Extension="bin" ContentType="application/vnd.openxmlformats-officedocument.oleObject"/>
  <Default Extension="rels" ContentType="application/vnd.openxmlformats-package.relationships+xml"/>
  <Default Extension="wmf" ContentType="image/x-wm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4" Type="http://schemas.openxmlformats.org/officeDocument/2006/relationships/custom-properties" Target="docProps/custom.xml"/><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F6359AA" w14:textId="45C8FF82" w:rsidR="00415BF9" w:rsidRPr="005E5A74" w:rsidRDefault="00CC66A2" w:rsidP="005C4117">
      <w:pPr>
        <w:spacing w:line="480" w:lineRule="auto"/>
        <w:rPr>
          <w:rFonts w:ascii="Times" w:hAnsi="Times"/>
          <w:b/>
        </w:rPr>
      </w:pPr>
      <w:r w:rsidRPr="005E5A74">
        <w:rPr>
          <w:rFonts w:ascii="Times" w:hAnsi="Times"/>
          <w:b/>
        </w:rPr>
        <w:t>Additional file 1</w:t>
      </w:r>
    </w:p>
    <w:p w14:paraId="04C311D9" w14:textId="77777777" w:rsidR="00415BF9" w:rsidRPr="005E5A74" w:rsidRDefault="0075732B" w:rsidP="005C4117">
      <w:pPr>
        <w:spacing w:line="480" w:lineRule="auto"/>
        <w:rPr>
          <w:rFonts w:ascii="Times" w:hAnsi="Times"/>
          <w:b/>
        </w:rPr>
      </w:pPr>
      <w:r w:rsidRPr="005E5A74">
        <w:rPr>
          <w:rFonts w:ascii="Times" w:hAnsi="Times"/>
          <w:i/>
        </w:rPr>
        <w:t>Mathematical Model</w:t>
      </w:r>
    </w:p>
    <w:p w14:paraId="2D535AC7" w14:textId="1A888266" w:rsidR="00907AAE" w:rsidRPr="005E5A74" w:rsidRDefault="0075732B" w:rsidP="005C4117">
      <w:pPr>
        <w:spacing w:line="480" w:lineRule="auto"/>
        <w:rPr>
          <w:rFonts w:ascii="Times" w:hAnsi="Times"/>
          <w:b/>
        </w:rPr>
      </w:pPr>
      <w:r w:rsidRPr="005E5A74">
        <w:rPr>
          <w:rFonts w:ascii="Times" w:hAnsi="Times"/>
        </w:rPr>
        <w:t xml:space="preserve">The model accounts for </w:t>
      </w:r>
      <w:proofErr w:type="spellStart"/>
      <w:r w:rsidR="00FA253E" w:rsidRPr="005E5A74">
        <w:rPr>
          <w:rFonts w:ascii="Times" w:hAnsi="Times"/>
          <w:i/>
        </w:rPr>
        <w:t>Rhodnius</w:t>
      </w:r>
      <w:proofErr w:type="spellEnd"/>
      <w:r w:rsidRPr="005E5A74">
        <w:rPr>
          <w:rFonts w:ascii="Times" w:hAnsi="Times"/>
          <w:i/>
        </w:rPr>
        <w:t xml:space="preserve"> </w:t>
      </w:r>
      <w:proofErr w:type="spellStart"/>
      <w:r w:rsidRPr="005E5A74">
        <w:rPr>
          <w:rFonts w:ascii="Times" w:hAnsi="Times"/>
          <w:i/>
        </w:rPr>
        <w:t>prolixus</w:t>
      </w:r>
      <w:proofErr w:type="spellEnd"/>
      <w:r w:rsidRPr="005E5A74">
        <w:rPr>
          <w:rFonts w:ascii="Times" w:hAnsi="Times"/>
          <w:i/>
        </w:rPr>
        <w:t xml:space="preserve"> </w:t>
      </w:r>
      <w:r w:rsidR="00907AAE" w:rsidRPr="005E5A74">
        <w:rPr>
          <w:rFonts w:ascii="Times" w:hAnsi="Times"/>
        </w:rPr>
        <w:t>meta-p</w:t>
      </w:r>
      <w:r w:rsidR="00415BF9" w:rsidRPr="005E5A74">
        <w:rPr>
          <w:rFonts w:ascii="Times" w:hAnsi="Times"/>
        </w:rPr>
        <w:t xml:space="preserve">opulation </w:t>
      </w:r>
      <w:r w:rsidRPr="005E5A74">
        <w:rPr>
          <w:rFonts w:ascii="Times" w:hAnsi="Times"/>
        </w:rPr>
        <w:t>dynamics</w:t>
      </w:r>
      <w:r w:rsidR="00907AAE" w:rsidRPr="005E5A74">
        <w:rPr>
          <w:rFonts w:ascii="Times" w:hAnsi="Times"/>
        </w:rPr>
        <w:t xml:space="preserve"> in a</w:t>
      </w:r>
      <w:r w:rsidR="00464FE9" w:rsidRPr="005E5A74">
        <w:rPr>
          <w:rFonts w:ascii="Times" w:hAnsi="Times"/>
        </w:rPr>
        <w:t xml:space="preserve"> village at </w:t>
      </w:r>
      <w:r w:rsidR="00E16981" w:rsidRPr="005E5A74">
        <w:rPr>
          <w:rFonts w:ascii="Times" w:hAnsi="Times"/>
        </w:rPr>
        <w:t xml:space="preserve">a </w:t>
      </w:r>
      <w:r w:rsidR="00464FE9" w:rsidRPr="005E5A74">
        <w:rPr>
          <w:rFonts w:ascii="Times" w:hAnsi="Times"/>
        </w:rPr>
        <w:t xml:space="preserve">patch level. For </w:t>
      </w:r>
      <w:proofErr w:type="spellStart"/>
      <w:r w:rsidR="00464FE9" w:rsidRPr="005E5A74">
        <w:rPr>
          <w:rFonts w:ascii="Times" w:hAnsi="Times"/>
        </w:rPr>
        <w:t>Chavinave</w:t>
      </w:r>
      <w:proofErr w:type="spellEnd"/>
      <w:r w:rsidR="00464FE9" w:rsidRPr="005E5A74">
        <w:rPr>
          <w:rFonts w:ascii="Times" w:hAnsi="Times"/>
        </w:rPr>
        <w:t xml:space="preserve"> village, a patch </w:t>
      </w:r>
      <w:proofErr w:type="spellStart"/>
      <w:r w:rsidR="00464FE9" w:rsidRPr="005E5A74">
        <w:rPr>
          <w:rFonts w:ascii="Times" w:hAnsi="Times"/>
          <w:i/>
        </w:rPr>
        <w:t>i</w:t>
      </w:r>
      <w:proofErr w:type="spellEnd"/>
      <w:r w:rsidR="00907AAE" w:rsidRPr="005E5A74">
        <w:rPr>
          <w:rFonts w:ascii="Times" w:hAnsi="Times"/>
        </w:rPr>
        <w:t xml:space="preserve"> </w:t>
      </w:r>
      <w:r w:rsidR="00B521C7" w:rsidRPr="005E5A74">
        <w:rPr>
          <w:rFonts w:ascii="Times" w:hAnsi="Times"/>
        </w:rPr>
        <w:t>could be a house or a palm where</w:t>
      </w:r>
      <w:r w:rsidR="00464FE9" w:rsidRPr="005E5A74">
        <w:rPr>
          <w:rFonts w:ascii="Times" w:hAnsi="Times"/>
        </w:rPr>
        <w:t xml:space="preserve"> we consider an </w:t>
      </w:r>
      <w:r w:rsidR="00907AAE" w:rsidRPr="005E5A74">
        <w:rPr>
          <w:rFonts w:ascii="Times" w:hAnsi="Times"/>
        </w:rPr>
        <w:t>age-structured population</w:t>
      </w:r>
      <w:r w:rsidR="00B521C7" w:rsidRPr="005E5A74">
        <w:rPr>
          <w:rFonts w:ascii="Times" w:hAnsi="Times"/>
        </w:rPr>
        <w:t>.</w:t>
      </w:r>
      <w:r w:rsidR="00464FE9" w:rsidRPr="005E5A74">
        <w:rPr>
          <w:rFonts w:ascii="Times" w:hAnsi="Times"/>
        </w:rPr>
        <w:t xml:space="preserve"> </w:t>
      </w:r>
      <w:r w:rsidR="00907AAE" w:rsidRPr="005E5A74">
        <w:rPr>
          <w:rFonts w:ascii="Times" w:hAnsi="Times"/>
          <w:position w:val="-12"/>
        </w:rPr>
        <w:object w:dxaOrig="540" w:dyaOrig="360" w14:anchorId="05CA583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7pt;height:18pt" o:ole="">
            <v:imagedata r:id="rId6" o:title=""/>
          </v:shape>
          <o:OLEObject Type="Embed" ProgID="Equation.3" ShapeID="_x0000_i1025" DrawAspect="Content" ObjectID="_1413993324" r:id="rId7"/>
        </w:object>
      </w:r>
      <w:r w:rsidR="00907AAE" w:rsidRPr="005E5A74">
        <w:rPr>
          <w:rFonts w:ascii="Times" w:hAnsi="Times"/>
        </w:rPr>
        <w:t xml:space="preserve">, </w:t>
      </w:r>
      <w:r w:rsidR="00907AAE" w:rsidRPr="005E5A74">
        <w:rPr>
          <w:rFonts w:ascii="Times" w:hAnsi="Times"/>
          <w:position w:val="-12"/>
        </w:rPr>
        <w:object w:dxaOrig="580" w:dyaOrig="360" w14:anchorId="3EA73476">
          <v:shape id="_x0000_i1026" type="#_x0000_t75" style="width:29pt;height:18pt" o:ole="">
            <v:imagedata r:id="rId8" o:title=""/>
          </v:shape>
          <o:OLEObject Type="Embed" ProgID="Equation.3" ShapeID="_x0000_i1026" DrawAspect="Content" ObjectID="_1413993325" r:id="rId9"/>
        </w:object>
      </w:r>
      <w:r w:rsidR="00907AAE" w:rsidRPr="005E5A74">
        <w:rPr>
          <w:rFonts w:ascii="Times" w:hAnsi="Times"/>
        </w:rPr>
        <w:t xml:space="preserve"> </w:t>
      </w:r>
      <w:proofErr w:type="gramStart"/>
      <w:r w:rsidR="00907AAE" w:rsidRPr="005E5A74">
        <w:rPr>
          <w:rFonts w:ascii="Times" w:hAnsi="Times"/>
        </w:rPr>
        <w:t>and</w:t>
      </w:r>
      <w:proofErr w:type="gramEnd"/>
      <w:r w:rsidR="00907AAE" w:rsidRPr="005E5A74">
        <w:rPr>
          <w:rFonts w:ascii="Times" w:hAnsi="Times"/>
        </w:rPr>
        <w:t xml:space="preserve"> </w:t>
      </w:r>
      <w:r w:rsidR="00907AAE" w:rsidRPr="005E5A74">
        <w:rPr>
          <w:rFonts w:ascii="Times" w:hAnsi="Times"/>
          <w:position w:val="-12"/>
        </w:rPr>
        <w:object w:dxaOrig="540" w:dyaOrig="360" w14:anchorId="2F945DB9">
          <v:shape id="_x0000_i1027" type="#_x0000_t75" style="width:27pt;height:18pt" o:ole="">
            <v:imagedata r:id="rId10" o:title=""/>
          </v:shape>
          <o:OLEObject Type="Embed" ProgID="Equation.3" ShapeID="_x0000_i1027" DrawAspect="Content" ObjectID="_1413993326" r:id="rId11"/>
        </w:object>
      </w:r>
      <w:r w:rsidR="00907AAE" w:rsidRPr="005E5A74">
        <w:rPr>
          <w:rFonts w:ascii="Times" w:hAnsi="Times"/>
          <w:position w:val="-12"/>
        </w:rPr>
        <w:t xml:space="preserve"> </w:t>
      </w:r>
      <w:r w:rsidR="00907AAE" w:rsidRPr="005E5A74">
        <w:rPr>
          <w:rFonts w:ascii="Times" w:hAnsi="Times"/>
        </w:rPr>
        <w:t xml:space="preserve">denote </w:t>
      </w:r>
      <w:r w:rsidR="00B521C7" w:rsidRPr="005E5A74">
        <w:rPr>
          <w:rFonts w:ascii="Times" w:hAnsi="Times"/>
        </w:rPr>
        <w:t xml:space="preserve">the </w:t>
      </w:r>
      <w:r w:rsidR="00907AAE" w:rsidRPr="005E5A74">
        <w:rPr>
          <w:rFonts w:ascii="Times" w:hAnsi="Times"/>
        </w:rPr>
        <w:t>number of eggs, nymphs and adult respectively at time</w:t>
      </w:r>
      <w:r w:rsidR="00907AAE" w:rsidRPr="005E5A74">
        <w:rPr>
          <w:rFonts w:ascii="Times" w:hAnsi="Times"/>
          <w:position w:val="-6"/>
        </w:rPr>
        <w:t xml:space="preserve"> </w:t>
      </w:r>
      <w:r w:rsidR="00CC66A2" w:rsidRPr="005E5A74">
        <w:rPr>
          <w:rFonts w:ascii="Times" w:hAnsi="Times"/>
          <w:noProof/>
          <w:position w:val="-6"/>
          <w:lang w:eastAsia="en-US"/>
        </w:rPr>
        <w:drawing>
          <wp:inline distT="0" distB="0" distL="0" distR="0" wp14:anchorId="69DC474A" wp14:editId="4FEEE308">
            <wp:extent cx="88900" cy="152400"/>
            <wp:effectExtent l="0" t="0" r="635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88900" cy="152400"/>
                    </a:xfrm>
                    <a:prstGeom prst="rect">
                      <a:avLst/>
                    </a:prstGeom>
                    <a:noFill/>
                    <a:ln>
                      <a:noFill/>
                    </a:ln>
                  </pic:spPr>
                </pic:pic>
              </a:graphicData>
            </a:graphic>
          </wp:inline>
        </w:drawing>
      </w:r>
      <w:r w:rsidR="00907AAE" w:rsidRPr="005E5A74">
        <w:rPr>
          <w:rFonts w:ascii="Times" w:hAnsi="Times"/>
        </w:rPr>
        <w:t>.</w:t>
      </w:r>
      <w:r w:rsidR="00464FE9" w:rsidRPr="005E5A74">
        <w:rPr>
          <w:rFonts w:ascii="Times" w:hAnsi="Times"/>
        </w:rPr>
        <w:t xml:space="preserve"> </w:t>
      </w:r>
      <w:r w:rsidR="00907AAE" w:rsidRPr="005E5A74">
        <w:rPr>
          <w:rFonts w:ascii="Times" w:hAnsi="Times"/>
        </w:rPr>
        <w:t xml:space="preserve"> </w:t>
      </w:r>
      <w:r w:rsidR="00464FE9" w:rsidRPr="005E5A74">
        <w:rPr>
          <w:rFonts w:ascii="Times" w:hAnsi="Times"/>
        </w:rPr>
        <w:t xml:space="preserve">Additionally, we included migration of adults between patches. </w:t>
      </w:r>
      <w:r w:rsidR="00D91BA4" w:rsidRPr="005E5A74">
        <w:rPr>
          <w:rFonts w:ascii="Times" w:hAnsi="Times"/>
          <w:b/>
        </w:rPr>
        <w:t xml:space="preserve"> </w:t>
      </w:r>
      <w:r w:rsidR="00464FE9" w:rsidRPr="005E5A74">
        <w:rPr>
          <w:rFonts w:ascii="Times" w:hAnsi="Times"/>
        </w:rPr>
        <w:t xml:space="preserve">The </w:t>
      </w:r>
      <w:proofErr w:type="gramStart"/>
      <w:r w:rsidR="00464FE9" w:rsidRPr="005E5A74">
        <w:rPr>
          <w:rFonts w:ascii="Times" w:hAnsi="Times"/>
        </w:rPr>
        <w:t>system of ordinary differential equations of the proposed model are</w:t>
      </w:r>
      <w:proofErr w:type="gramEnd"/>
      <w:r w:rsidR="00464FE9" w:rsidRPr="005E5A74">
        <w:rPr>
          <w:rFonts w:ascii="Times" w:hAnsi="Times"/>
        </w:rPr>
        <w:t>:</w:t>
      </w:r>
    </w:p>
    <w:p w14:paraId="27BD0D26" w14:textId="1E7B57F8" w:rsidR="00702465" w:rsidRPr="005E5A74" w:rsidRDefault="00702465" w:rsidP="00916B68">
      <w:pPr>
        <w:spacing w:line="480" w:lineRule="auto"/>
        <w:rPr>
          <w:rFonts w:ascii="Times New Roman" w:hAnsi="Times New Roman"/>
        </w:rPr>
      </w:pPr>
      <w:r w:rsidRPr="005E5A74">
        <w:rPr>
          <w:rFonts w:ascii="Times New Roman" w:hAnsi="Times New Roman"/>
          <w:position w:val="-24"/>
        </w:rPr>
        <w:object w:dxaOrig="2360" w:dyaOrig="639" w14:anchorId="2C843120">
          <v:shape id="_x0000_i1028" type="#_x0000_t75" style="width:118pt;height:32pt" o:ole="">
            <v:imagedata r:id="rId13" o:title=""/>
          </v:shape>
          <o:OLEObject Type="Embed" ProgID="Equation.3" ShapeID="_x0000_i1028" DrawAspect="Content" ObjectID="_1413993327" r:id="rId14"/>
        </w:object>
      </w:r>
      <w:r w:rsidRPr="005E5A74">
        <w:rPr>
          <w:rFonts w:ascii="Times New Roman" w:hAnsi="Times New Roman"/>
        </w:rPr>
        <w:tab/>
      </w:r>
      <w:r w:rsidRPr="005E5A74">
        <w:rPr>
          <w:rFonts w:ascii="Times New Roman" w:hAnsi="Times New Roman"/>
        </w:rPr>
        <w:tab/>
      </w:r>
      <w:r w:rsidRPr="005E5A74">
        <w:rPr>
          <w:rFonts w:ascii="Times New Roman" w:hAnsi="Times New Roman"/>
        </w:rPr>
        <w:tab/>
      </w:r>
      <w:r w:rsidRPr="005E5A74">
        <w:rPr>
          <w:rFonts w:ascii="Times New Roman" w:hAnsi="Times New Roman"/>
        </w:rPr>
        <w:tab/>
      </w:r>
      <w:r w:rsidRPr="005E5A74">
        <w:rPr>
          <w:rFonts w:ascii="Times New Roman" w:hAnsi="Times New Roman"/>
        </w:rPr>
        <w:tab/>
      </w:r>
      <w:r w:rsidRPr="005E5A74">
        <w:rPr>
          <w:rFonts w:ascii="Times New Roman" w:hAnsi="Times New Roman"/>
        </w:rPr>
        <w:tab/>
      </w:r>
      <w:r w:rsidRPr="005E5A74">
        <w:rPr>
          <w:rFonts w:ascii="Times New Roman" w:hAnsi="Times New Roman"/>
        </w:rPr>
        <w:tab/>
      </w:r>
      <w:r w:rsidRPr="005E5A74">
        <w:rPr>
          <w:rFonts w:ascii="Times New Roman" w:hAnsi="Times New Roman"/>
        </w:rPr>
        <w:tab/>
        <w:t xml:space="preserve">                   (1)</w:t>
      </w:r>
    </w:p>
    <w:p w14:paraId="1AAE3DAE" w14:textId="51DCCB98" w:rsidR="00702465" w:rsidRPr="005E5A74" w:rsidRDefault="00702465" w:rsidP="005C4117">
      <w:pPr>
        <w:spacing w:line="480" w:lineRule="auto"/>
        <w:rPr>
          <w:rFonts w:ascii="Times New Roman" w:hAnsi="Times New Roman"/>
        </w:rPr>
      </w:pPr>
      <w:r w:rsidRPr="005E5A74">
        <w:rPr>
          <w:rFonts w:ascii="Times New Roman" w:hAnsi="Times New Roman"/>
          <w:position w:val="-32"/>
        </w:rPr>
        <w:object w:dxaOrig="3900" w:dyaOrig="760" w14:anchorId="665D6BB8">
          <v:shape id="_x0000_i1029" type="#_x0000_t75" style="width:195pt;height:38pt" o:ole="">
            <v:imagedata r:id="rId15" o:title=""/>
          </v:shape>
          <o:OLEObject Type="Embed" ProgID="Equation.3" ShapeID="_x0000_i1029" DrawAspect="Content" ObjectID="_1413993328" r:id="rId16"/>
        </w:object>
      </w:r>
      <w:r w:rsidRPr="005E5A74">
        <w:rPr>
          <w:rFonts w:ascii="Times New Roman" w:hAnsi="Times New Roman"/>
        </w:rPr>
        <w:tab/>
      </w:r>
      <w:r w:rsidRPr="005E5A74">
        <w:rPr>
          <w:rFonts w:ascii="Times New Roman" w:hAnsi="Times New Roman"/>
        </w:rPr>
        <w:tab/>
        <w:t xml:space="preserve"> </w:t>
      </w:r>
      <w:r w:rsidRPr="005E5A74">
        <w:rPr>
          <w:rFonts w:ascii="Times New Roman" w:hAnsi="Times New Roman"/>
        </w:rPr>
        <w:tab/>
        <w:t xml:space="preserve">                            </w:t>
      </w:r>
      <w:r w:rsidRPr="005E5A74">
        <w:rPr>
          <w:rFonts w:ascii="Times New Roman" w:hAnsi="Times New Roman"/>
        </w:rPr>
        <w:tab/>
        <w:t xml:space="preserve">                   (2)</w:t>
      </w:r>
    </w:p>
    <w:p w14:paraId="2980EBA4" w14:textId="7CEA7F16" w:rsidR="00702465" w:rsidRPr="005E5A74" w:rsidRDefault="00702465" w:rsidP="005C4117">
      <w:pPr>
        <w:spacing w:line="480" w:lineRule="auto"/>
        <w:rPr>
          <w:rFonts w:ascii="Times New Roman" w:hAnsi="Times New Roman"/>
        </w:rPr>
      </w:pPr>
      <w:r w:rsidRPr="005E5A74">
        <w:rPr>
          <w:rFonts w:ascii="Times New Roman" w:hAnsi="Times New Roman"/>
          <w:position w:val="-30"/>
        </w:rPr>
        <w:object w:dxaOrig="3860" w:dyaOrig="700" w14:anchorId="28FA5C8B">
          <v:shape id="_x0000_i1030" type="#_x0000_t75" style="width:193pt;height:35pt" o:ole="">
            <v:imagedata r:id="rId17" o:title=""/>
          </v:shape>
          <o:OLEObject Type="Embed" ProgID="Equation.3" ShapeID="_x0000_i1030" DrawAspect="Content" ObjectID="_1413993329" r:id="rId18"/>
        </w:object>
      </w:r>
      <w:r w:rsidRPr="005E5A74">
        <w:rPr>
          <w:rFonts w:ascii="Times New Roman" w:hAnsi="Times New Roman"/>
        </w:rPr>
        <w:tab/>
      </w:r>
      <w:r w:rsidRPr="005E5A74">
        <w:rPr>
          <w:rFonts w:ascii="Times New Roman" w:hAnsi="Times New Roman"/>
        </w:rPr>
        <w:tab/>
      </w:r>
      <w:r w:rsidRPr="005E5A74">
        <w:rPr>
          <w:rFonts w:ascii="Times New Roman" w:hAnsi="Times New Roman"/>
        </w:rPr>
        <w:tab/>
      </w:r>
      <w:r w:rsidRPr="005E5A74">
        <w:rPr>
          <w:rFonts w:ascii="Times New Roman" w:hAnsi="Times New Roman"/>
        </w:rPr>
        <w:tab/>
        <w:t xml:space="preserve">                                           (3)</w:t>
      </w:r>
    </w:p>
    <w:p w14:paraId="2ED9D595" w14:textId="36B6BD7B" w:rsidR="00E16981" w:rsidRPr="005E5A74" w:rsidRDefault="00464FE9" w:rsidP="005C4117">
      <w:pPr>
        <w:spacing w:line="480" w:lineRule="auto"/>
        <w:rPr>
          <w:rFonts w:ascii="Times" w:hAnsi="Times"/>
          <w:position w:val="-30"/>
        </w:rPr>
      </w:pPr>
      <w:proofErr w:type="gramStart"/>
      <w:r w:rsidRPr="005E5A74">
        <w:rPr>
          <w:rFonts w:ascii="Times" w:hAnsi="Times"/>
        </w:rPr>
        <w:t>where</w:t>
      </w:r>
      <w:proofErr w:type="gramEnd"/>
      <w:r w:rsidRPr="005E5A74">
        <w:rPr>
          <w:rFonts w:ascii="Times" w:hAnsi="Times"/>
        </w:rPr>
        <w:t xml:space="preserve"> </w:t>
      </w:r>
      <w:r w:rsidRPr="005E5A74">
        <w:rPr>
          <w:rFonts w:ascii="Times" w:hAnsi="Times"/>
          <w:position w:val="-6"/>
        </w:rPr>
        <w:object w:dxaOrig="220" w:dyaOrig="279" w14:anchorId="31BB3F49">
          <v:shape id="_x0000_i1031" type="#_x0000_t75" style="width:11pt;height:14pt" o:ole="">
            <v:imagedata r:id="rId19" o:title=""/>
          </v:shape>
          <o:OLEObject Type="Embed" ProgID="Equation.3" ShapeID="_x0000_i1031" DrawAspect="Content" ObjectID="_1413993330" r:id="rId20"/>
        </w:object>
      </w:r>
      <w:r w:rsidRPr="005E5A74">
        <w:rPr>
          <w:rFonts w:ascii="Times" w:hAnsi="Times"/>
          <w:i/>
        </w:rPr>
        <w:t xml:space="preserve"> </w:t>
      </w:r>
      <w:r w:rsidRPr="005E5A74">
        <w:rPr>
          <w:rFonts w:ascii="Times" w:hAnsi="Times"/>
        </w:rPr>
        <w:t>is the per-female egg</w:t>
      </w:r>
      <w:r w:rsidR="00E16981" w:rsidRPr="005E5A74">
        <w:rPr>
          <w:rFonts w:ascii="Times" w:hAnsi="Times"/>
        </w:rPr>
        <w:t xml:space="preserve"> number</w:t>
      </w:r>
      <w:r w:rsidRPr="005E5A74">
        <w:rPr>
          <w:rFonts w:ascii="Times" w:hAnsi="Times"/>
        </w:rPr>
        <w:t xml:space="preserve">, </w:t>
      </w:r>
      <w:r w:rsidRPr="005E5A74">
        <w:rPr>
          <w:rFonts w:ascii="Times" w:hAnsi="Times"/>
          <w:position w:val="-6"/>
        </w:rPr>
        <w:object w:dxaOrig="200" w:dyaOrig="220" w14:anchorId="7777972D">
          <v:shape id="_x0000_i1032" type="#_x0000_t75" style="width:10pt;height:11pt" o:ole="">
            <v:imagedata r:id="rId21" o:title=""/>
          </v:shape>
          <o:OLEObject Type="Embed" ProgID="Equation.3" ShapeID="_x0000_i1032" DrawAspect="Content" ObjectID="_1413993331" r:id="rId22"/>
        </w:object>
      </w:r>
      <w:r w:rsidRPr="005E5A74">
        <w:rPr>
          <w:rFonts w:ascii="Times" w:hAnsi="Times"/>
        </w:rPr>
        <w:t xml:space="preserve">is the average hatching time, </w:t>
      </w:r>
      <w:r w:rsidRPr="005E5A74">
        <w:rPr>
          <w:rFonts w:ascii="Times" w:hAnsi="Times"/>
          <w:position w:val="-10"/>
        </w:rPr>
        <w:object w:dxaOrig="380" w:dyaOrig="340" w14:anchorId="41EF9A60">
          <v:shape id="_x0000_i1033" type="#_x0000_t75" style="width:19pt;height:17pt" o:ole="">
            <v:imagedata r:id="rId23" o:title=""/>
          </v:shape>
          <o:OLEObject Type="Embed" ProgID="Equation.3" ShapeID="_x0000_i1033" DrawAspect="Content" ObjectID="_1413993332" r:id="rId24"/>
        </w:object>
      </w:r>
      <w:r w:rsidRPr="005E5A74">
        <w:rPr>
          <w:rFonts w:ascii="Times" w:hAnsi="Times"/>
        </w:rPr>
        <w:t xml:space="preserve">the average nymph to adult maturity rate, </w:t>
      </w:r>
      <w:r w:rsidRPr="005E5A74">
        <w:rPr>
          <w:rFonts w:ascii="Times" w:hAnsi="Times"/>
          <w:position w:val="-4"/>
        </w:rPr>
        <w:object w:dxaOrig="260" w:dyaOrig="260" w14:anchorId="200226A0">
          <v:shape id="_x0000_i1034" type="#_x0000_t75" style="width:13pt;height:13pt" o:ole="">
            <v:imagedata r:id="rId25" o:title=""/>
          </v:shape>
          <o:OLEObject Type="Embed" ProgID="Equation.3" ShapeID="_x0000_i1034" DrawAspect="Content" ObjectID="_1413993333" r:id="rId26"/>
        </w:object>
      </w:r>
      <w:r w:rsidRPr="005E5A74">
        <w:rPr>
          <w:rFonts w:ascii="Times" w:hAnsi="Times"/>
        </w:rPr>
        <w:t xml:space="preserve">is a patch’s carrying capacity and, </w:t>
      </w:r>
      <w:r w:rsidRPr="005E5A74">
        <w:rPr>
          <w:rFonts w:ascii="Times" w:hAnsi="Times"/>
          <w:position w:val="-10"/>
        </w:rPr>
        <w:object w:dxaOrig="300" w:dyaOrig="340" w14:anchorId="0D90821F">
          <v:shape id="_x0000_i1035" type="#_x0000_t75" style="width:15pt;height:17pt" o:ole="">
            <v:imagedata r:id="rId27" o:title=""/>
          </v:shape>
          <o:OLEObject Type="Embed" ProgID="Equation.3" ShapeID="_x0000_i1035" DrawAspect="Content" ObjectID="_1413993334" r:id="rId28"/>
        </w:object>
      </w:r>
      <w:r w:rsidRPr="005E5A74">
        <w:rPr>
          <w:rFonts w:ascii="Times" w:hAnsi="Times"/>
        </w:rPr>
        <w:t>,</w:t>
      </w:r>
      <w:r w:rsidRPr="005E5A74">
        <w:rPr>
          <w:rFonts w:ascii="Times" w:hAnsi="Times"/>
          <w:i/>
        </w:rPr>
        <w:t xml:space="preserve"> </w:t>
      </w:r>
      <w:r w:rsidRPr="005E5A74">
        <w:rPr>
          <w:rFonts w:ascii="Times" w:hAnsi="Times"/>
          <w:position w:val="-12"/>
        </w:rPr>
        <w:object w:dxaOrig="320" w:dyaOrig="360" w14:anchorId="7BDCA95D">
          <v:shape id="_x0000_i1036" type="#_x0000_t75" style="width:16pt;height:18pt" o:ole="">
            <v:imagedata r:id="rId29" o:title=""/>
          </v:shape>
          <o:OLEObject Type="Embed" ProgID="Equation.3" ShapeID="_x0000_i1036" DrawAspect="Content" ObjectID="_1413993335" r:id="rId30"/>
        </w:object>
      </w:r>
      <w:r w:rsidRPr="005E5A74">
        <w:rPr>
          <w:rFonts w:ascii="Times" w:hAnsi="Times"/>
        </w:rPr>
        <w:t xml:space="preserve"> and </w:t>
      </w:r>
      <w:r w:rsidRPr="005E5A74">
        <w:rPr>
          <w:rFonts w:ascii="Times" w:hAnsi="Times"/>
          <w:position w:val="-10"/>
        </w:rPr>
        <w:object w:dxaOrig="300" w:dyaOrig="340" w14:anchorId="5B5A4746">
          <v:shape id="_x0000_i1037" type="#_x0000_t75" style="width:15pt;height:17pt" o:ole="">
            <v:imagedata r:id="rId31" o:title=""/>
          </v:shape>
          <o:OLEObject Type="Embed" ProgID="Equation.3" ShapeID="_x0000_i1037" DrawAspect="Content" ObjectID="_1413993336" r:id="rId32"/>
        </w:object>
      </w:r>
      <w:r w:rsidRPr="005E5A74">
        <w:rPr>
          <w:rFonts w:ascii="Times" w:hAnsi="Times"/>
        </w:rPr>
        <w:t>are egg, nymph and adult per-capita mortality, respectively.</w:t>
      </w:r>
      <w:r w:rsidR="00E16981" w:rsidRPr="005E5A74">
        <w:rPr>
          <w:rFonts w:ascii="Times" w:hAnsi="Times"/>
        </w:rPr>
        <w:t xml:space="preserve"> </w:t>
      </w:r>
    </w:p>
    <w:p w14:paraId="75E38D9E" w14:textId="11324B8B" w:rsidR="00FD4200" w:rsidRPr="005E5A74" w:rsidRDefault="00E16981" w:rsidP="005C4117">
      <w:pPr>
        <w:spacing w:line="480" w:lineRule="auto"/>
        <w:rPr>
          <w:rFonts w:ascii="Times" w:hAnsi="Times"/>
        </w:rPr>
      </w:pPr>
      <w:r w:rsidRPr="005E5A74">
        <w:rPr>
          <w:rFonts w:ascii="Times" w:hAnsi="Times"/>
        </w:rPr>
        <w:t xml:space="preserve">The last two terms of the rate of change of </w:t>
      </w:r>
      <w:r w:rsidRPr="005E5A74">
        <w:rPr>
          <w:rFonts w:ascii="Times" w:hAnsi="Times"/>
          <w:position w:val="-12"/>
        </w:rPr>
        <w:object w:dxaOrig="540" w:dyaOrig="360" w14:anchorId="316D3740">
          <v:shape id="_x0000_i1038" type="#_x0000_t75" style="width:27pt;height:18pt" o:ole="">
            <v:imagedata r:id="rId33" o:title=""/>
          </v:shape>
          <o:OLEObject Type="Embed" ProgID="Equation.3" ShapeID="_x0000_i1038" DrawAspect="Content" ObjectID="_1413993337" r:id="rId34"/>
        </w:object>
      </w:r>
      <w:r w:rsidR="00B521C7" w:rsidRPr="005E5A74">
        <w:rPr>
          <w:rFonts w:ascii="Times" w:hAnsi="Times"/>
        </w:rPr>
        <w:t xml:space="preserve"> refer to adult emigration from and immigration to</w:t>
      </w:r>
      <w:r w:rsidRPr="005E5A74">
        <w:rPr>
          <w:rFonts w:ascii="Times" w:hAnsi="Times"/>
        </w:rPr>
        <w:t xml:space="preserve"> patch </w:t>
      </w:r>
      <w:proofErr w:type="spellStart"/>
      <w:r w:rsidRPr="005E5A74">
        <w:rPr>
          <w:rFonts w:ascii="Times" w:hAnsi="Times"/>
          <w:i/>
        </w:rPr>
        <w:t>i</w:t>
      </w:r>
      <w:proofErr w:type="spellEnd"/>
      <w:r w:rsidRPr="005E5A74">
        <w:rPr>
          <w:rFonts w:ascii="Times" w:hAnsi="Times"/>
        </w:rPr>
        <w:t xml:space="preserve">, where </w:t>
      </w:r>
      <w:r w:rsidRPr="005E5A74">
        <w:rPr>
          <w:rFonts w:ascii="Times" w:hAnsi="Times"/>
          <w:position w:val="-12"/>
        </w:rPr>
        <w:object w:dxaOrig="279" w:dyaOrig="360" w14:anchorId="45ED5E87">
          <v:shape id="_x0000_i1039" type="#_x0000_t75" style="width:14pt;height:18pt" o:ole="">
            <v:imagedata r:id="rId35" o:title=""/>
          </v:shape>
          <o:OLEObject Type="Embed" ProgID="Equation.3" ShapeID="_x0000_i1039" DrawAspect="Content" ObjectID="_1413993338" r:id="rId36"/>
        </w:object>
      </w:r>
      <w:r w:rsidRPr="005E5A74">
        <w:rPr>
          <w:rFonts w:ascii="Times" w:hAnsi="Times"/>
        </w:rPr>
        <w:t xml:space="preserve"> is defined as a per-capita migration and </w:t>
      </w:r>
      <w:r w:rsidRPr="005E5A74">
        <w:rPr>
          <w:rFonts w:ascii="Times" w:hAnsi="Times"/>
          <w:position w:val="-14"/>
        </w:rPr>
        <w:object w:dxaOrig="340" w:dyaOrig="380" w14:anchorId="3E503770">
          <v:shape id="_x0000_i1040" type="#_x0000_t75" style="width:17pt;height:19pt" o:ole="">
            <v:imagedata r:id="rId37" o:title=""/>
          </v:shape>
          <o:OLEObject Type="Embed" ProgID="Equation.3" ShapeID="_x0000_i1040" DrawAspect="Content" ObjectID="_1413993339" r:id="rId38"/>
        </w:object>
      </w:r>
      <w:r w:rsidRPr="005E5A74">
        <w:rPr>
          <w:rFonts w:ascii="Times" w:hAnsi="Times"/>
        </w:rPr>
        <w:t xml:space="preserve"> </w:t>
      </w:r>
      <w:r w:rsidR="00FD4200" w:rsidRPr="005E5A74">
        <w:rPr>
          <w:rFonts w:ascii="Times" w:hAnsi="Times"/>
        </w:rPr>
        <w:t xml:space="preserve">is </w:t>
      </w:r>
      <w:r w:rsidRPr="005E5A74">
        <w:rPr>
          <w:rFonts w:ascii="Times" w:hAnsi="Times"/>
        </w:rPr>
        <w:t>the adjacency matrix</w:t>
      </w:r>
      <w:r w:rsidR="00FD4200" w:rsidRPr="005E5A74">
        <w:rPr>
          <w:rFonts w:ascii="Times" w:hAnsi="Times"/>
        </w:rPr>
        <w:t xml:space="preserve"> of the network </w:t>
      </w:r>
      <w:r w:rsidR="00B521C7" w:rsidRPr="005E5A74">
        <w:rPr>
          <w:rFonts w:ascii="Times" w:hAnsi="Times"/>
        </w:rPr>
        <w:t>composed</w:t>
      </w:r>
      <w:r w:rsidR="00FD4200" w:rsidRPr="005E5A74">
        <w:rPr>
          <w:rFonts w:ascii="Times" w:hAnsi="Times"/>
        </w:rPr>
        <w:t xml:space="preserve"> by all the patches. </w:t>
      </w:r>
      <w:r w:rsidR="00FD4200" w:rsidRPr="005E5A74">
        <w:rPr>
          <w:rFonts w:ascii="Times" w:hAnsi="Times"/>
          <w:position w:val="-12"/>
        </w:rPr>
        <w:object w:dxaOrig="279" w:dyaOrig="360" w14:anchorId="266B87B9">
          <v:shape id="_x0000_i1041" type="#_x0000_t75" style="width:14pt;height:18pt" o:ole="">
            <v:imagedata r:id="rId39" o:title=""/>
          </v:shape>
          <o:OLEObject Type="Embed" ProgID="Equation.3" ShapeID="_x0000_i1041" DrawAspect="Content" ObjectID="_1413993340" r:id="rId40"/>
        </w:object>
      </w:r>
      <w:r w:rsidR="00FD4200" w:rsidRPr="005E5A74">
        <w:rPr>
          <w:rFonts w:ascii="Times" w:hAnsi="Times"/>
        </w:rPr>
        <w:t xml:space="preserve"> </w:t>
      </w:r>
      <w:proofErr w:type="gramStart"/>
      <w:r w:rsidR="00FD4200" w:rsidRPr="005E5A74">
        <w:rPr>
          <w:rFonts w:ascii="Times" w:hAnsi="Times"/>
        </w:rPr>
        <w:t>is</w:t>
      </w:r>
      <w:proofErr w:type="gramEnd"/>
      <w:r w:rsidR="00FD4200" w:rsidRPr="005E5A74">
        <w:rPr>
          <w:rFonts w:ascii="Times" w:hAnsi="Times"/>
        </w:rPr>
        <w:t xml:space="preserve"> assumed to have saturation kinetics describe</w:t>
      </w:r>
      <w:r w:rsidR="00002C21" w:rsidRPr="005E5A74">
        <w:rPr>
          <w:rFonts w:ascii="Times" w:hAnsi="Times"/>
        </w:rPr>
        <w:t>d by the following first order H</w:t>
      </w:r>
      <w:r w:rsidR="00FD4200" w:rsidRPr="005E5A74">
        <w:rPr>
          <w:rFonts w:ascii="Times" w:hAnsi="Times"/>
        </w:rPr>
        <w:t>ill-equation:</w:t>
      </w:r>
    </w:p>
    <w:p w14:paraId="35BCD418" w14:textId="4DCCFE12" w:rsidR="00464FE9" w:rsidRPr="005E5A74" w:rsidRDefault="00FD4200" w:rsidP="005C4117">
      <w:pPr>
        <w:spacing w:line="480" w:lineRule="auto"/>
        <w:rPr>
          <w:rFonts w:ascii="Times" w:hAnsi="Times"/>
        </w:rPr>
      </w:pPr>
      <w:r w:rsidRPr="005E5A74">
        <w:rPr>
          <w:rFonts w:ascii="Times" w:hAnsi="Times"/>
          <w:position w:val="-30"/>
        </w:rPr>
        <w:object w:dxaOrig="1860" w:dyaOrig="700" w14:anchorId="06429B5A">
          <v:shape id="_x0000_i1042" type="#_x0000_t75" style="width:93pt;height:35pt" o:ole="">
            <v:imagedata r:id="rId41" o:title=""/>
          </v:shape>
          <o:OLEObject Type="Embed" ProgID="Equation.3" ShapeID="_x0000_i1042" DrawAspect="Content" ObjectID="_1413993341" r:id="rId42"/>
        </w:object>
      </w:r>
      <w:r w:rsidRPr="005E5A74">
        <w:rPr>
          <w:rFonts w:ascii="Times" w:hAnsi="Times"/>
        </w:rPr>
        <w:tab/>
      </w:r>
      <w:r w:rsidR="00702465" w:rsidRPr="005E5A74">
        <w:rPr>
          <w:rFonts w:ascii="Times" w:hAnsi="Times"/>
        </w:rPr>
        <w:tab/>
      </w:r>
      <w:r w:rsidR="00702465" w:rsidRPr="005E5A74">
        <w:rPr>
          <w:rFonts w:ascii="Times" w:hAnsi="Times"/>
        </w:rPr>
        <w:tab/>
      </w:r>
      <w:r w:rsidR="00702465" w:rsidRPr="005E5A74">
        <w:rPr>
          <w:rFonts w:ascii="Times" w:hAnsi="Times"/>
        </w:rPr>
        <w:tab/>
      </w:r>
      <w:r w:rsidR="00702465" w:rsidRPr="005E5A74">
        <w:rPr>
          <w:rFonts w:ascii="Times" w:hAnsi="Times"/>
        </w:rPr>
        <w:tab/>
      </w:r>
      <w:r w:rsidR="00702465" w:rsidRPr="005E5A74">
        <w:rPr>
          <w:rFonts w:ascii="Times" w:hAnsi="Times"/>
        </w:rPr>
        <w:tab/>
      </w:r>
      <w:r w:rsidR="00702465" w:rsidRPr="005E5A74">
        <w:rPr>
          <w:rFonts w:ascii="Times" w:hAnsi="Times"/>
        </w:rPr>
        <w:tab/>
      </w:r>
      <w:r w:rsidR="00702465" w:rsidRPr="005E5A74">
        <w:rPr>
          <w:rFonts w:ascii="Times" w:hAnsi="Times"/>
        </w:rPr>
        <w:tab/>
      </w:r>
      <w:r w:rsidR="00702465" w:rsidRPr="005E5A74">
        <w:rPr>
          <w:rFonts w:ascii="Times" w:hAnsi="Times"/>
        </w:rPr>
        <w:tab/>
      </w:r>
      <w:r w:rsidR="00702465" w:rsidRPr="005E5A74">
        <w:rPr>
          <w:rFonts w:ascii="Times" w:hAnsi="Times"/>
        </w:rPr>
        <w:tab/>
        <w:t xml:space="preserve">       (4)</w:t>
      </w:r>
    </w:p>
    <w:p w14:paraId="4C44F2BE" w14:textId="2C0874C1" w:rsidR="006C5567" w:rsidRPr="005E5A74" w:rsidRDefault="00FD4200" w:rsidP="005C4117">
      <w:pPr>
        <w:spacing w:line="480" w:lineRule="auto"/>
        <w:rPr>
          <w:rFonts w:ascii="Times" w:hAnsi="Times"/>
        </w:rPr>
      </w:pPr>
      <w:proofErr w:type="gramStart"/>
      <w:r w:rsidRPr="005E5A74">
        <w:rPr>
          <w:rFonts w:ascii="Times" w:hAnsi="Times"/>
        </w:rPr>
        <w:t>where</w:t>
      </w:r>
      <w:proofErr w:type="gramEnd"/>
      <w:r w:rsidRPr="005E5A74">
        <w:rPr>
          <w:rFonts w:ascii="Times" w:hAnsi="Times"/>
        </w:rPr>
        <w:t xml:space="preserve"> </w:t>
      </w:r>
      <w:r w:rsidRPr="005E5A74">
        <w:rPr>
          <w:rFonts w:ascii="Times" w:hAnsi="Times"/>
          <w:position w:val="-6"/>
        </w:rPr>
        <w:object w:dxaOrig="240" w:dyaOrig="220" w14:anchorId="444E88B0">
          <v:shape id="_x0000_i1043" type="#_x0000_t75" style="width:12pt;height:11pt" o:ole="">
            <v:imagedata r:id="rId43" o:title=""/>
          </v:shape>
          <o:OLEObject Type="Embed" ProgID="Equation.3" ShapeID="_x0000_i1043" DrawAspect="Content" ObjectID="_1413993342" r:id="rId44"/>
        </w:object>
      </w:r>
      <w:r w:rsidRPr="005E5A74">
        <w:rPr>
          <w:rFonts w:ascii="Times" w:hAnsi="Times"/>
          <w:position w:val="-6"/>
        </w:rPr>
        <w:t xml:space="preserve"> </w:t>
      </w:r>
      <w:r w:rsidRPr="005E5A74">
        <w:rPr>
          <w:rFonts w:ascii="Times" w:hAnsi="Times"/>
        </w:rPr>
        <w:t xml:space="preserve">is the maximum per-capita migration rate and </w:t>
      </w:r>
      <w:r w:rsidRPr="005E5A74">
        <w:rPr>
          <w:rFonts w:ascii="Times" w:hAnsi="Times"/>
          <w:position w:val="-10"/>
        </w:rPr>
        <w:object w:dxaOrig="200" w:dyaOrig="260" w14:anchorId="13DE9C3C">
          <v:shape id="_x0000_i1044" type="#_x0000_t75" style="width:10pt;height:13pt" o:ole="">
            <v:imagedata r:id="rId45" o:title=""/>
          </v:shape>
          <o:OLEObject Type="Embed" ProgID="Equation.3" ShapeID="_x0000_i1044" DrawAspect="Content" ObjectID="_1413993343" r:id="rId46"/>
        </w:object>
      </w:r>
      <w:r w:rsidRPr="005E5A74">
        <w:rPr>
          <w:rFonts w:ascii="Times" w:hAnsi="Times"/>
        </w:rPr>
        <w:t xml:space="preserve"> is the number of individuals at which half of the maximum per capita migration rate occurs. </w:t>
      </w:r>
      <w:r w:rsidR="006C5567" w:rsidRPr="005E5A74">
        <w:rPr>
          <w:rFonts w:ascii="Times" w:hAnsi="Times"/>
        </w:rPr>
        <w:t>This sigmoid curve will produce a realistic effect: at low densities a few insects will be motivated to move but as the population starts to increase adult migration increases, reaching a maximum rate. The maximum rate was chosen such that it reflects a biological maximum. For example, a palm-house dyad with the palm hosting 20 insects (10 nymphs and 10 adults - carrying capacity) will produce a flow of 1 adult insect per day (10%) to the house at the maximum rate (after 10 days, at his rate, the palm will be adult empty). Obviously, as soon as the abundance starts to decrease the flow will diminish proportionally to the density returning to a lower level. Note that if there are no adults present the flow will be zero despite the number of nymphs.</w:t>
      </w:r>
    </w:p>
    <w:p w14:paraId="1002AD1E" w14:textId="775B530C" w:rsidR="00B521C7" w:rsidRPr="005E5A74" w:rsidRDefault="006C5567" w:rsidP="005C4117">
      <w:pPr>
        <w:spacing w:line="480" w:lineRule="auto"/>
        <w:rPr>
          <w:rFonts w:ascii="Times" w:hAnsi="Times"/>
        </w:rPr>
      </w:pPr>
      <w:r w:rsidRPr="005E5A74">
        <w:rPr>
          <w:rFonts w:ascii="Times" w:hAnsi="Times"/>
        </w:rPr>
        <w:t>The entries on the adjacency matrix</w:t>
      </w:r>
      <w:r w:rsidR="00B521C7" w:rsidRPr="005E5A74">
        <w:rPr>
          <w:rFonts w:ascii="Times" w:hAnsi="Times"/>
        </w:rPr>
        <w:t xml:space="preserve"> </w:t>
      </w:r>
      <w:r w:rsidR="00FD4200" w:rsidRPr="005E5A74">
        <w:rPr>
          <w:rFonts w:ascii="Times" w:hAnsi="Times"/>
          <w:position w:val="-14"/>
        </w:rPr>
        <w:object w:dxaOrig="340" w:dyaOrig="380" w14:anchorId="5E1C6A89">
          <v:shape id="_x0000_i1045" type="#_x0000_t75" style="width:17pt;height:19pt" o:ole="">
            <v:imagedata r:id="rId47" o:title=""/>
          </v:shape>
          <o:OLEObject Type="Embed" ProgID="Equation.3" ShapeID="_x0000_i1045" DrawAspect="Content" ObjectID="_1413993344" r:id="rId48"/>
        </w:object>
      </w:r>
      <w:r w:rsidR="00FD4200" w:rsidRPr="005E5A74">
        <w:rPr>
          <w:rFonts w:ascii="Times" w:hAnsi="Times"/>
          <w:position w:val="-14"/>
        </w:rPr>
        <w:t xml:space="preserve"> </w:t>
      </w:r>
      <w:r w:rsidR="00FD4200" w:rsidRPr="005E5A74">
        <w:rPr>
          <w:rFonts w:ascii="Times" w:hAnsi="Times"/>
        </w:rPr>
        <w:t xml:space="preserve">determines the target habitat </w:t>
      </w:r>
      <w:proofErr w:type="spellStart"/>
      <w:r w:rsidR="00FD4200" w:rsidRPr="005E5A74">
        <w:rPr>
          <w:rFonts w:ascii="Times" w:hAnsi="Times"/>
          <w:i/>
        </w:rPr>
        <w:t>i</w:t>
      </w:r>
      <w:proofErr w:type="spellEnd"/>
      <w:r w:rsidR="00FD4200" w:rsidRPr="005E5A74">
        <w:rPr>
          <w:rFonts w:ascii="Times" w:hAnsi="Times"/>
        </w:rPr>
        <w:t xml:space="preserve"> from habitat </w:t>
      </w:r>
      <w:r w:rsidR="00FD4200" w:rsidRPr="005E5A74">
        <w:rPr>
          <w:rFonts w:ascii="Times" w:hAnsi="Times"/>
          <w:i/>
        </w:rPr>
        <w:t xml:space="preserve">j </w:t>
      </w:r>
      <w:r w:rsidR="00FD4200" w:rsidRPr="005E5A74">
        <w:rPr>
          <w:rFonts w:ascii="Times" w:hAnsi="Times"/>
        </w:rPr>
        <w:t>and every entry is defined by:</w:t>
      </w:r>
    </w:p>
    <w:p w14:paraId="58BC7278" w14:textId="77777777" w:rsidR="00702465" w:rsidRPr="005E5A74" w:rsidRDefault="00702465" w:rsidP="005C4117">
      <w:pPr>
        <w:spacing w:line="480" w:lineRule="auto"/>
        <w:rPr>
          <w:rFonts w:ascii="Times New Roman" w:hAnsi="Times New Roman"/>
        </w:rPr>
      </w:pPr>
      <w:r w:rsidRPr="005E5A74">
        <w:rPr>
          <w:rFonts w:ascii="Times New Roman" w:hAnsi="Times New Roman"/>
          <w:position w:val="-14"/>
        </w:rPr>
        <w:object w:dxaOrig="2460" w:dyaOrig="380" w14:anchorId="561E1DD9">
          <v:shape id="_x0000_i1046" type="#_x0000_t75" style="width:123pt;height:19pt" o:ole="">
            <v:imagedata r:id="rId49" o:title=""/>
          </v:shape>
          <o:OLEObject Type="Embed" ProgID="Equation.3" ShapeID="_x0000_i1046" DrawAspect="Content" ObjectID="_1413993345" r:id="rId50"/>
        </w:object>
      </w:r>
      <w:r w:rsidRPr="005E5A74">
        <w:rPr>
          <w:rFonts w:ascii="Times New Roman" w:hAnsi="Times New Roman"/>
          <w:position w:val="-14"/>
        </w:rPr>
        <w:t xml:space="preserve">  </w:t>
      </w:r>
      <w:r w:rsidRPr="005E5A74">
        <w:rPr>
          <w:rFonts w:ascii="Times New Roman" w:hAnsi="Times New Roman"/>
          <w:position w:val="-10"/>
        </w:rPr>
        <w:object w:dxaOrig="260" w:dyaOrig="320" w14:anchorId="5C6BE8B8">
          <v:shape id="_x0000_i1047" type="#_x0000_t75" style="width:13pt;height:16pt" o:ole="">
            <v:imagedata r:id="rId51" o:title=""/>
          </v:shape>
          <o:OLEObject Type="Embed" ProgID="Equation.3" ShapeID="_x0000_i1047" DrawAspect="Content" ObjectID="_1413993346" r:id="rId52"/>
        </w:object>
      </w:r>
      <w:r w:rsidRPr="005E5A74">
        <w:rPr>
          <w:rFonts w:ascii="Times New Roman" w:hAnsi="Times New Roman"/>
          <w:position w:val="-14"/>
        </w:rPr>
        <w:object w:dxaOrig="1020" w:dyaOrig="380" w14:anchorId="32CBC159">
          <v:shape id="_x0000_i1048" type="#_x0000_t75" style="width:51pt;height:19pt" o:ole="">
            <v:imagedata r:id="rId53" o:title=""/>
          </v:shape>
          <o:OLEObject Type="Embed" ProgID="Equation.3" ShapeID="_x0000_i1048" DrawAspect="Content" ObjectID="_1413993347" r:id="rId54"/>
        </w:object>
      </w:r>
      <w:r w:rsidRPr="005E5A74">
        <w:rPr>
          <w:rFonts w:ascii="Times New Roman" w:hAnsi="Times New Roman"/>
          <w:position w:val="-6"/>
        </w:rPr>
        <w:object w:dxaOrig="480" w:dyaOrig="279" w14:anchorId="4DC53964">
          <v:shape id="_x0000_i1049" type="#_x0000_t75" style="width:24pt;height:14pt" o:ole="">
            <v:imagedata r:id="rId55" o:title=""/>
          </v:shape>
          <o:OLEObject Type="Embed" ProgID="Equation.3" ShapeID="_x0000_i1049" DrawAspect="Content" ObjectID="_1413993348" r:id="rId56"/>
        </w:object>
      </w:r>
      <w:r w:rsidRPr="005E5A74">
        <w:rPr>
          <w:rFonts w:ascii="Times New Roman" w:hAnsi="Times New Roman"/>
          <w:position w:val="-14"/>
        </w:rPr>
        <w:object w:dxaOrig="740" w:dyaOrig="380" w14:anchorId="223784CD">
          <v:shape id="_x0000_i1050" type="#_x0000_t75" style="width:37pt;height:19pt" o:ole="">
            <v:imagedata r:id="rId57" o:title=""/>
          </v:shape>
          <o:OLEObject Type="Embed" ProgID="Equation.3" ShapeID="_x0000_i1050" DrawAspect="Content" ObjectID="_1413993349" r:id="rId58"/>
        </w:object>
      </w:r>
      <w:r w:rsidRPr="005E5A74">
        <w:rPr>
          <w:rFonts w:ascii="Times New Roman" w:hAnsi="Times New Roman"/>
          <w:position w:val="-14"/>
        </w:rPr>
        <w:tab/>
      </w:r>
      <w:r w:rsidRPr="005E5A74">
        <w:rPr>
          <w:rFonts w:ascii="Times New Roman" w:hAnsi="Times New Roman"/>
          <w:position w:val="-14"/>
        </w:rPr>
        <w:tab/>
      </w:r>
      <w:r w:rsidRPr="005E5A74">
        <w:rPr>
          <w:rFonts w:ascii="Times New Roman" w:hAnsi="Times New Roman"/>
          <w:position w:val="-14"/>
        </w:rPr>
        <w:tab/>
      </w:r>
      <w:r w:rsidRPr="005E5A74">
        <w:rPr>
          <w:rFonts w:ascii="Times New Roman" w:hAnsi="Times New Roman"/>
          <w:position w:val="-14"/>
        </w:rPr>
        <w:tab/>
        <w:t xml:space="preserve">          </w:t>
      </w:r>
      <w:r w:rsidRPr="005E5A74">
        <w:rPr>
          <w:position w:val="-14"/>
        </w:rPr>
        <w:t xml:space="preserve">  </w:t>
      </w:r>
      <w:r w:rsidRPr="005E5A74">
        <w:rPr>
          <w:rFonts w:ascii="Times New Roman" w:hAnsi="Times New Roman"/>
        </w:rPr>
        <w:t>(5)</w:t>
      </w:r>
    </w:p>
    <w:p w14:paraId="0A3D60B8" w14:textId="508045A7" w:rsidR="00F755B8" w:rsidRPr="005E5A74" w:rsidRDefault="00FD4200" w:rsidP="005C4117">
      <w:pPr>
        <w:spacing w:line="480" w:lineRule="auto"/>
        <w:rPr>
          <w:rFonts w:ascii="Times New Roman" w:hAnsi="Times New Roman"/>
          <w:i/>
        </w:rPr>
      </w:pPr>
      <w:proofErr w:type="gramStart"/>
      <w:r w:rsidRPr="005E5A74">
        <w:rPr>
          <w:rFonts w:ascii="Times" w:hAnsi="Times"/>
        </w:rPr>
        <w:t>where</w:t>
      </w:r>
      <w:proofErr w:type="gramEnd"/>
      <w:r w:rsidRPr="005E5A74">
        <w:rPr>
          <w:rFonts w:ascii="Times" w:hAnsi="Times"/>
        </w:rPr>
        <w:t xml:space="preserve"> </w:t>
      </w:r>
      <w:r w:rsidRPr="005E5A74">
        <w:rPr>
          <w:rFonts w:ascii="Times" w:hAnsi="Times"/>
          <w:position w:val="-14"/>
        </w:rPr>
        <w:object w:dxaOrig="380" w:dyaOrig="380" w14:anchorId="7D88DBDA">
          <v:shape id="_x0000_i1051" type="#_x0000_t75" style="width:19pt;height:19pt" o:ole="">
            <v:imagedata r:id="rId59" o:title=""/>
          </v:shape>
          <o:OLEObject Type="Embed" ProgID="Equation.3" ShapeID="_x0000_i1051" DrawAspect="Content" ObjectID="_1413993350" r:id="rId60"/>
        </w:object>
      </w:r>
      <w:r w:rsidRPr="005E5A74">
        <w:rPr>
          <w:rFonts w:ascii="Times" w:hAnsi="Times"/>
        </w:rPr>
        <w:t>is the Euclidean distance between patch</w:t>
      </w:r>
      <w:r w:rsidRPr="005E5A74">
        <w:rPr>
          <w:rFonts w:ascii="Times" w:hAnsi="Times"/>
          <w:position w:val="-10"/>
        </w:rPr>
        <w:t xml:space="preserve"> </w:t>
      </w:r>
      <w:r w:rsidRPr="005E5A74">
        <w:rPr>
          <w:rFonts w:ascii="Times" w:hAnsi="Times"/>
          <w:position w:val="-10"/>
        </w:rPr>
        <w:object w:dxaOrig="200" w:dyaOrig="300" w14:anchorId="06672BCA">
          <v:shape id="_x0000_i1052" type="#_x0000_t75" style="width:10pt;height:15pt" o:ole="">
            <v:imagedata r:id="rId61" o:title=""/>
          </v:shape>
          <o:OLEObject Type="Embed" ProgID="Equation.3" ShapeID="_x0000_i1052" DrawAspect="Content" ObjectID="_1413993351" r:id="rId62"/>
        </w:object>
      </w:r>
      <w:r w:rsidRPr="005E5A74">
        <w:rPr>
          <w:rFonts w:ascii="Times" w:hAnsi="Times"/>
        </w:rPr>
        <w:t xml:space="preserve"> and patch </w:t>
      </w:r>
      <w:r w:rsidRPr="005E5A74">
        <w:rPr>
          <w:rFonts w:ascii="Times" w:hAnsi="Times"/>
          <w:position w:val="-6"/>
        </w:rPr>
        <w:object w:dxaOrig="139" w:dyaOrig="260" w14:anchorId="3F07A5F2">
          <v:shape id="_x0000_i1053" type="#_x0000_t75" style="width:7pt;height:13pt" o:ole="">
            <v:imagedata r:id="rId63" o:title=""/>
          </v:shape>
          <o:OLEObject Type="Embed" ProgID="Equation.3" ShapeID="_x0000_i1053" DrawAspect="Content" ObjectID="_1413993352" r:id="rId64"/>
        </w:object>
      </w:r>
      <w:r w:rsidRPr="005E5A74">
        <w:rPr>
          <w:rFonts w:ascii="Times" w:hAnsi="Times"/>
        </w:rPr>
        <w:t xml:space="preserve"> </w:t>
      </w:r>
      <w:r w:rsidRPr="005E5A74">
        <w:rPr>
          <w:rFonts w:ascii="Times" w:hAnsi="Times"/>
          <w:i/>
        </w:rPr>
        <w:t xml:space="preserve">, </w:t>
      </w:r>
      <w:r w:rsidRPr="005E5A74">
        <w:rPr>
          <w:rFonts w:ascii="Times" w:hAnsi="Times"/>
        </w:rPr>
        <w:t xml:space="preserve">and </w:t>
      </w:r>
      <w:r w:rsidRPr="005E5A74">
        <w:rPr>
          <w:rFonts w:ascii="Times" w:hAnsi="Times"/>
          <w:position w:val="-14"/>
        </w:rPr>
        <w:object w:dxaOrig="340" w:dyaOrig="380" w14:anchorId="23760C48">
          <v:shape id="_x0000_i1054" type="#_x0000_t75" style="width:17pt;height:19pt" o:ole="">
            <v:imagedata r:id="rId65" o:title=""/>
          </v:shape>
          <o:OLEObject Type="Embed" ProgID="Equation.3" ShapeID="_x0000_i1054" DrawAspect="Content" ObjectID="_1413993353" r:id="rId66"/>
        </w:object>
      </w:r>
      <w:r w:rsidRPr="005E5A74">
        <w:rPr>
          <w:rFonts w:ascii="Times" w:hAnsi="Times"/>
          <w:i/>
        </w:rPr>
        <w:t xml:space="preserve"> </w:t>
      </w:r>
      <w:r w:rsidRPr="005E5A74">
        <w:rPr>
          <w:rFonts w:ascii="Times" w:hAnsi="Times"/>
        </w:rPr>
        <w:t xml:space="preserve">is a matrix with 1 at entry </w:t>
      </w:r>
      <w:r w:rsidRPr="005E5A74">
        <w:rPr>
          <w:rFonts w:ascii="Times" w:hAnsi="Times"/>
          <w:position w:val="-10"/>
        </w:rPr>
        <w:object w:dxaOrig="360" w:dyaOrig="300" w14:anchorId="02C1F80F">
          <v:shape id="_x0000_i1055" type="#_x0000_t75" style="width:18pt;height:15pt" o:ole="">
            <v:imagedata r:id="rId67" o:title=""/>
          </v:shape>
          <o:OLEObject Type="Embed" ProgID="Equation.3" ShapeID="_x0000_i1055" DrawAspect="Content" ObjectID="_1413993354" r:id="rId68"/>
        </w:object>
      </w:r>
      <w:r w:rsidRPr="005E5A74">
        <w:rPr>
          <w:rFonts w:ascii="Times" w:hAnsi="Times"/>
        </w:rPr>
        <w:t xml:space="preserve"> if patch</w:t>
      </w:r>
      <w:r w:rsidRPr="005E5A74">
        <w:rPr>
          <w:rFonts w:ascii="Times" w:hAnsi="Times"/>
          <w:i/>
        </w:rPr>
        <w:t xml:space="preserve"> </w:t>
      </w:r>
      <w:r w:rsidRPr="005E5A74">
        <w:rPr>
          <w:rFonts w:ascii="Times" w:hAnsi="Times"/>
          <w:position w:val="-6"/>
        </w:rPr>
        <w:object w:dxaOrig="139" w:dyaOrig="260" w14:anchorId="6655F904">
          <v:shape id="_x0000_i1056" type="#_x0000_t75" style="width:7pt;height:13pt" o:ole="">
            <v:imagedata r:id="rId69" o:title=""/>
          </v:shape>
          <o:OLEObject Type="Embed" ProgID="Equation.3" ShapeID="_x0000_i1056" DrawAspect="Content" ObjectID="_1413993355" r:id="rId70"/>
        </w:object>
      </w:r>
      <w:r w:rsidRPr="005E5A74">
        <w:rPr>
          <w:rFonts w:ascii="Times" w:hAnsi="Times"/>
        </w:rPr>
        <w:t xml:space="preserve">  has a light that can be seen from patch </w:t>
      </w:r>
      <w:r w:rsidRPr="005E5A74">
        <w:rPr>
          <w:rFonts w:ascii="Times" w:hAnsi="Times"/>
          <w:position w:val="-10"/>
        </w:rPr>
        <w:object w:dxaOrig="200" w:dyaOrig="300" w14:anchorId="0B3EF6AF">
          <v:shape id="_x0000_i1057" type="#_x0000_t75" style="width:10pt;height:15pt" o:ole="">
            <v:imagedata r:id="rId71" o:title=""/>
          </v:shape>
          <o:OLEObject Type="Embed" ProgID="Equation.3" ShapeID="_x0000_i1057" DrawAspect="Content" ObjectID="_1413993356" r:id="rId72"/>
        </w:object>
      </w:r>
      <w:r w:rsidRPr="005E5A74">
        <w:rPr>
          <w:rFonts w:ascii="Times" w:hAnsi="Times"/>
        </w:rPr>
        <w:t xml:space="preserve"> and 0 otherwise</w:t>
      </w:r>
      <w:r w:rsidRPr="005E5A74">
        <w:rPr>
          <w:rFonts w:ascii="Times" w:hAnsi="Times"/>
          <w:i/>
        </w:rPr>
        <w:t xml:space="preserve">. </w:t>
      </w:r>
      <w:r w:rsidRPr="005E5A74">
        <w:rPr>
          <w:rFonts w:ascii="Times" w:hAnsi="Times"/>
          <w:position w:val="-14"/>
        </w:rPr>
        <w:object w:dxaOrig="340" w:dyaOrig="380" w14:anchorId="098A5518">
          <v:shape id="_x0000_i1058" type="#_x0000_t75" style="width:17pt;height:19pt" o:ole="">
            <v:imagedata r:id="rId73" o:title=""/>
          </v:shape>
          <o:OLEObject Type="Embed" ProgID="Equation.3" ShapeID="_x0000_i1058" DrawAspect="Content" ObjectID="_1413993357" r:id="rId74"/>
        </w:object>
      </w:r>
      <w:r w:rsidRPr="005E5A74">
        <w:rPr>
          <w:rFonts w:ascii="Times" w:hAnsi="Times"/>
          <w:position w:val="-14"/>
        </w:rPr>
        <w:t xml:space="preserve"> </w:t>
      </w:r>
      <w:proofErr w:type="gramStart"/>
      <w:r w:rsidRPr="005E5A74">
        <w:rPr>
          <w:rFonts w:ascii="Times" w:hAnsi="Times"/>
        </w:rPr>
        <w:t>assumes</w:t>
      </w:r>
      <w:proofErr w:type="gramEnd"/>
      <w:r w:rsidRPr="005E5A74">
        <w:rPr>
          <w:rFonts w:ascii="Times" w:hAnsi="Times"/>
        </w:rPr>
        <w:t xml:space="preserve"> that the maximum distance an insect can overcome is 200 </w:t>
      </w:r>
      <w:proofErr w:type="spellStart"/>
      <w:r w:rsidRPr="005E5A74">
        <w:rPr>
          <w:rFonts w:ascii="Times" w:hAnsi="Times"/>
        </w:rPr>
        <w:t>mts</w:t>
      </w:r>
      <w:proofErr w:type="spellEnd"/>
      <w:r w:rsidR="00F755B8" w:rsidRPr="005E5A74">
        <w:rPr>
          <w:rFonts w:ascii="Times" w:hAnsi="Times"/>
        </w:rPr>
        <w:t xml:space="preserve"> </w:t>
      </w:r>
      <w:r w:rsidR="00F755B8" w:rsidRPr="005E5A74">
        <w:rPr>
          <w:rFonts w:ascii="Times" w:hAnsi="Times"/>
        </w:rPr>
        <w:fldChar w:fldCharType="begin" w:fldLock="1"/>
      </w:r>
      <w:r w:rsidR="00F755B8" w:rsidRPr="005E5A74">
        <w:rPr>
          <w:rFonts w:ascii="Times" w:hAnsi="Times"/>
        </w:rPr>
        <w:instrText>ADDIN CSL_CITATION { "citationItems" : [ { "id" : "ITEM-1", "itemData" : { "ISBN" : "0022-5304 (Print)\\r0022-5304 (Linking)", "PMID" : "3906147", "abstract" : "Dispersive flight by Triatoma infestans was modelled by assuming either unidirectional flight in a straight line, or that flight followed a pattern of 'random walk' analogous to two-dimensional Brownian motion. Parameter estimates for the models were derived from previous fieldwork in Argentina and Brazil. Calculated probabilities of houses becoming infested over a 1 year period were compared with actual changes of house infestation in a small farming community in central Brazil. It was found that infestation could be explained partly by the dispersive flight of the bugs according to the distances between houses, and partly by the predisposition of houses to infestation by virtue of their construction, since houses with cracked mud walls were particularly susceptible to infestation. Infested houses lying more than 200 m from uninfested houses appeared to make an almost negligible contribution to infestation of the uninfested houses. This suggests that buffer zones of this size around treated areas could help to minimize the risk of reinfestation after treatment.", "author" : [ { "dropping-particle" : "", "family" : "Schofield", "given" : "C J", "non-dropping-particle" : "", "parse-names" : false, "suffix" : "" }, { "dropping-particle" : "", "family" : "Matthews", "given" : "J N", "non-dropping-particle" : "", "parse-names" : false, "suffix" : "" } ], "container-title" : "J Trop Med Hyg", "id" : "ITEM-1", "issue" : "3", "issued" : { "date-parts" : [ [ "1985" ] ] }, "page" : "211-22.", "title" : "Theoretical approach to active dispersal and colonization of houses by Triatoma infestans", "type" : "article-journal", "volume" : "88" }, "uris" : [ "http://www.mendeley.com/documents/?uuid=4ccb6508-1257-4345-aa23-d9d19836ca75" ] } ], "mendeley" : { "formattedCitation" : "[1]", "plainTextFormattedCitation" : "[1]", "previouslyFormattedCitation" : "[1]" }, "properties" : { "noteIndex" : 0 }, "schema" : "https://github.com/citation-style-language/schema/raw/master/csl-citation.json" }</w:instrText>
      </w:r>
      <w:r w:rsidR="00F755B8" w:rsidRPr="005E5A74">
        <w:rPr>
          <w:rFonts w:ascii="Times" w:hAnsi="Times"/>
        </w:rPr>
        <w:fldChar w:fldCharType="separate"/>
      </w:r>
      <w:r w:rsidR="00F755B8" w:rsidRPr="005E5A74">
        <w:rPr>
          <w:rFonts w:ascii="Times" w:hAnsi="Times"/>
          <w:noProof/>
        </w:rPr>
        <w:t>[1]</w:t>
      </w:r>
      <w:r w:rsidR="00F755B8" w:rsidRPr="005E5A74">
        <w:rPr>
          <w:rFonts w:ascii="Times" w:hAnsi="Times"/>
        </w:rPr>
        <w:fldChar w:fldCharType="end"/>
      </w:r>
      <w:r w:rsidR="00EB0507" w:rsidRPr="005E5A74">
        <w:rPr>
          <w:rFonts w:ascii="Times" w:hAnsi="Times"/>
        </w:rPr>
        <w:t>.</w:t>
      </w:r>
    </w:p>
    <w:p w14:paraId="03448285" w14:textId="7F90AEE7" w:rsidR="00EB0507" w:rsidRPr="005E5A74" w:rsidRDefault="00EB0507" w:rsidP="005C4117">
      <w:pPr>
        <w:spacing w:line="480" w:lineRule="auto"/>
        <w:rPr>
          <w:rFonts w:ascii="Times" w:hAnsi="Times"/>
        </w:rPr>
      </w:pPr>
      <w:r w:rsidRPr="005E5A74">
        <w:rPr>
          <w:rFonts w:ascii="Times" w:hAnsi="Times"/>
        </w:rPr>
        <w:t>The parameters included in the mathematical model are described in the following table:</w:t>
      </w:r>
    </w:p>
    <w:p w14:paraId="35504199" w14:textId="77777777" w:rsidR="009B591A" w:rsidRPr="005E5A74" w:rsidRDefault="009B591A" w:rsidP="005C4117">
      <w:pPr>
        <w:spacing w:line="480" w:lineRule="auto"/>
        <w:rPr>
          <w:rFonts w:ascii="Times" w:hAnsi="Times"/>
        </w:rPr>
      </w:pPr>
    </w:p>
    <w:tbl>
      <w:tblPr>
        <w:tblW w:w="8727" w:type="dxa"/>
        <w:jc w:val="center"/>
        <w:tblBorders>
          <w:top w:val="single" w:sz="4" w:space="0" w:color="7F7F7F"/>
          <w:bottom w:val="single" w:sz="4" w:space="0" w:color="7F7F7F"/>
        </w:tblBorders>
        <w:tblLayout w:type="fixed"/>
        <w:tblLook w:val="04A0" w:firstRow="1" w:lastRow="0" w:firstColumn="1" w:lastColumn="0" w:noHBand="0" w:noVBand="1"/>
      </w:tblPr>
      <w:tblGrid>
        <w:gridCol w:w="993"/>
        <w:gridCol w:w="3289"/>
        <w:gridCol w:w="1843"/>
        <w:gridCol w:w="1781"/>
        <w:gridCol w:w="821"/>
      </w:tblGrid>
      <w:tr w:rsidR="00EB0507" w:rsidRPr="005E5A74" w14:paraId="03D9B0D9" w14:textId="77777777" w:rsidTr="0000794F">
        <w:trPr>
          <w:jc w:val="center"/>
        </w:trPr>
        <w:tc>
          <w:tcPr>
            <w:tcW w:w="993" w:type="dxa"/>
            <w:tcBorders>
              <w:bottom w:val="single" w:sz="4" w:space="0" w:color="7F7F7F"/>
            </w:tcBorders>
            <w:shd w:val="clear" w:color="auto" w:fill="auto"/>
          </w:tcPr>
          <w:p w14:paraId="51F922FB" w14:textId="77777777" w:rsidR="00EB0507" w:rsidRPr="005E5A74" w:rsidRDefault="00EB0507" w:rsidP="005C4117">
            <w:pPr>
              <w:spacing w:after="0"/>
              <w:rPr>
                <w:rFonts w:ascii="Times New Roman" w:eastAsiaTheme="majorEastAsia" w:hAnsi="Times New Roman" w:cstheme="majorBidi"/>
                <w:b/>
                <w:bCs/>
                <w:i/>
                <w:iCs/>
                <w:color w:val="243F60" w:themeColor="accent1" w:themeShade="7F"/>
              </w:rPr>
            </w:pPr>
            <w:r w:rsidRPr="005E5A74">
              <w:rPr>
                <w:rFonts w:ascii="Times New Roman" w:hAnsi="Times New Roman"/>
                <w:b/>
                <w:bCs/>
              </w:rPr>
              <w:lastRenderedPageBreak/>
              <w:t>Symbol</w:t>
            </w:r>
          </w:p>
        </w:tc>
        <w:tc>
          <w:tcPr>
            <w:tcW w:w="3289" w:type="dxa"/>
            <w:tcBorders>
              <w:bottom w:val="single" w:sz="4" w:space="0" w:color="7F7F7F"/>
            </w:tcBorders>
            <w:shd w:val="clear" w:color="auto" w:fill="auto"/>
          </w:tcPr>
          <w:p w14:paraId="5DBFE3C1" w14:textId="77777777" w:rsidR="00EB0507" w:rsidRPr="005E5A74" w:rsidRDefault="00EB0507" w:rsidP="005C4117">
            <w:pPr>
              <w:spacing w:after="0"/>
              <w:rPr>
                <w:rFonts w:ascii="Times New Roman" w:eastAsiaTheme="majorEastAsia" w:hAnsi="Times New Roman" w:cstheme="majorBidi"/>
                <w:b/>
                <w:bCs/>
                <w:i/>
                <w:iCs/>
                <w:color w:val="243F60" w:themeColor="accent1" w:themeShade="7F"/>
              </w:rPr>
            </w:pPr>
            <w:r w:rsidRPr="005E5A74">
              <w:rPr>
                <w:rFonts w:ascii="Times New Roman" w:hAnsi="Times New Roman"/>
                <w:b/>
                <w:bCs/>
              </w:rPr>
              <w:t>Name</w:t>
            </w:r>
          </w:p>
        </w:tc>
        <w:tc>
          <w:tcPr>
            <w:tcW w:w="1843" w:type="dxa"/>
            <w:tcBorders>
              <w:bottom w:val="single" w:sz="4" w:space="0" w:color="7F7F7F"/>
            </w:tcBorders>
            <w:shd w:val="clear" w:color="auto" w:fill="auto"/>
          </w:tcPr>
          <w:p w14:paraId="25914486" w14:textId="77777777" w:rsidR="00EB0507" w:rsidRPr="005E5A74" w:rsidRDefault="00EB0507" w:rsidP="005C4117">
            <w:pPr>
              <w:spacing w:after="0"/>
              <w:rPr>
                <w:rFonts w:ascii="Times New Roman" w:eastAsiaTheme="majorEastAsia" w:hAnsi="Times New Roman" w:cstheme="majorBidi"/>
                <w:b/>
                <w:bCs/>
                <w:i/>
                <w:iCs/>
                <w:color w:val="243F60" w:themeColor="accent1" w:themeShade="7F"/>
              </w:rPr>
            </w:pPr>
            <w:r w:rsidRPr="005E5A74">
              <w:rPr>
                <w:rFonts w:ascii="Times New Roman" w:hAnsi="Times New Roman"/>
                <w:b/>
                <w:bCs/>
              </w:rPr>
              <w:t>Units</w:t>
            </w:r>
          </w:p>
        </w:tc>
        <w:tc>
          <w:tcPr>
            <w:tcW w:w="1781" w:type="dxa"/>
            <w:tcBorders>
              <w:bottom w:val="single" w:sz="4" w:space="0" w:color="7F7F7F"/>
            </w:tcBorders>
            <w:shd w:val="clear" w:color="auto" w:fill="auto"/>
          </w:tcPr>
          <w:p w14:paraId="50FE8140" w14:textId="77777777" w:rsidR="00EB0507" w:rsidRPr="005E5A74" w:rsidRDefault="00EB0507" w:rsidP="005C4117">
            <w:pPr>
              <w:spacing w:after="0"/>
              <w:rPr>
                <w:rFonts w:ascii="Times New Roman" w:eastAsiaTheme="majorEastAsia" w:hAnsi="Times New Roman" w:cstheme="majorBidi"/>
                <w:b/>
                <w:bCs/>
                <w:i/>
                <w:iCs/>
                <w:color w:val="243F60" w:themeColor="accent1" w:themeShade="7F"/>
              </w:rPr>
            </w:pPr>
            <w:r w:rsidRPr="005E5A74">
              <w:rPr>
                <w:rFonts w:ascii="Times New Roman" w:hAnsi="Times New Roman"/>
                <w:b/>
                <w:bCs/>
              </w:rPr>
              <w:t>Value</w:t>
            </w:r>
          </w:p>
        </w:tc>
        <w:tc>
          <w:tcPr>
            <w:tcW w:w="821" w:type="dxa"/>
            <w:tcBorders>
              <w:bottom w:val="single" w:sz="4" w:space="0" w:color="7F7F7F"/>
            </w:tcBorders>
            <w:shd w:val="clear" w:color="auto" w:fill="auto"/>
          </w:tcPr>
          <w:p w14:paraId="4EB15369" w14:textId="77777777" w:rsidR="00EB0507" w:rsidRPr="005E5A74" w:rsidRDefault="00EB0507" w:rsidP="005C4117">
            <w:pPr>
              <w:spacing w:after="0"/>
              <w:rPr>
                <w:rFonts w:ascii="Times New Roman" w:eastAsiaTheme="majorEastAsia" w:hAnsi="Times New Roman" w:cstheme="majorBidi"/>
                <w:b/>
                <w:bCs/>
                <w:i/>
                <w:iCs/>
                <w:color w:val="243F60" w:themeColor="accent1" w:themeShade="7F"/>
              </w:rPr>
            </w:pPr>
            <w:r w:rsidRPr="005E5A74">
              <w:rPr>
                <w:rFonts w:ascii="Times New Roman" w:hAnsi="Times New Roman"/>
                <w:b/>
                <w:bCs/>
              </w:rPr>
              <w:t>Ref</w:t>
            </w:r>
          </w:p>
        </w:tc>
      </w:tr>
      <w:tr w:rsidR="00EB0507" w:rsidRPr="005E5A74" w14:paraId="116DBAEA" w14:textId="77777777" w:rsidTr="0000794F">
        <w:trPr>
          <w:jc w:val="center"/>
        </w:trPr>
        <w:tc>
          <w:tcPr>
            <w:tcW w:w="993" w:type="dxa"/>
            <w:tcBorders>
              <w:top w:val="single" w:sz="4" w:space="0" w:color="7F7F7F"/>
              <w:bottom w:val="single" w:sz="4" w:space="0" w:color="7F7F7F"/>
            </w:tcBorders>
            <w:shd w:val="clear" w:color="auto" w:fill="auto"/>
            <w:vAlign w:val="center"/>
          </w:tcPr>
          <w:p w14:paraId="5162362B" w14:textId="77777777" w:rsidR="00EB0507" w:rsidRPr="005E5A74" w:rsidRDefault="00EB0507" w:rsidP="005C4117">
            <w:pPr>
              <w:spacing w:after="0"/>
              <w:rPr>
                <w:rFonts w:ascii="Times New Roman" w:eastAsiaTheme="majorEastAsia" w:hAnsi="Times New Roman" w:cstheme="majorBidi"/>
                <w:b/>
                <w:i/>
                <w:iCs/>
                <w:color w:val="243F60" w:themeColor="accent1" w:themeShade="7F"/>
              </w:rPr>
            </w:pPr>
            <w:r w:rsidRPr="005E5A74">
              <w:rPr>
                <w:rFonts w:ascii="Times New Roman" w:hAnsi="Times New Roman"/>
                <w:position w:val="-6"/>
              </w:rPr>
              <w:object w:dxaOrig="220" w:dyaOrig="279" w14:anchorId="27198A8B">
                <v:shape id="_x0000_i1059" type="#_x0000_t75" style="width:11pt;height:14pt" o:ole="">
                  <v:imagedata r:id="rId75" o:title=""/>
                </v:shape>
                <o:OLEObject Type="Embed" ProgID="Equation.3" ShapeID="_x0000_i1059" DrawAspect="Content" ObjectID="_1413993358" r:id="rId76"/>
              </w:object>
            </w:r>
          </w:p>
        </w:tc>
        <w:tc>
          <w:tcPr>
            <w:tcW w:w="3289" w:type="dxa"/>
            <w:tcBorders>
              <w:top w:val="single" w:sz="4" w:space="0" w:color="7F7F7F"/>
              <w:bottom w:val="single" w:sz="4" w:space="0" w:color="7F7F7F"/>
            </w:tcBorders>
            <w:shd w:val="clear" w:color="auto" w:fill="auto"/>
            <w:vAlign w:val="center"/>
          </w:tcPr>
          <w:p w14:paraId="3FC4F872" w14:textId="77777777" w:rsidR="00EB0507" w:rsidRPr="005E5A74" w:rsidRDefault="00EB0507" w:rsidP="00916B68">
            <w:pPr>
              <w:spacing w:after="0"/>
              <w:rPr>
                <w:rFonts w:ascii="Times New Roman" w:hAnsi="Times New Roman"/>
              </w:rPr>
            </w:pPr>
            <w:r w:rsidRPr="005E5A74">
              <w:rPr>
                <w:rFonts w:ascii="Times New Roman" w:hAnsi="Times New Roman"/>
              </w:rPr>
              <w:t>Birth rate</w:t>
            </w:r>
          </w:p>
        </w:tc>
        <w:tc>
          <w:tcPr>
            <w:tcW w:w="1843" w:type="dxa"/>
            <w:tcBorders>
              <w:top w:val="single" w:sz="4" w:space="0" w:color="7F7F7F"/>
              <w:bottom w:val="single" w:sz="4" w:space="0" w:color="7F7F7F"/>
            </w:tcBorders>
            <w:shd w:val="clear" w:color="auto" w:fill="auto"/>
            <w:vAlign w:val="center"/>
          </w:tcPr>
          <w:p w14:paraId="027C0BAE" w14:textId="77777777" w:rsidR="00EB0507" w:rsidRPr="005E5A74" w:rsidRDefault="00EB0507" w:rsidP="005C4117">
            <w:pPr>
              <w:spacing w:after="0"/>
              <w:rPr>
                <w:rFonts w:ascii="Times New Roman" w:eastAsiaTheme="majorEastAsia" w:hAnsi="Times New Roman" w:cstheme="majorBidi"/>
                <w:i/>
                <w:iCs/>
                <w:color w:val="243F60" w:themeColor="accent1" w:themeShade="7F"/>
              </w:rPr>
            </w:pPr>
            <w:r w:rsidRPr="005E5A74">
              <w:rPr>
                <w:position w:val="-30"/>
              </w:rPr>
              <w:object w:dxaOrig="1579" w:dyaOrig="680" w14:anchorId="19E4AC5F">
                <v:shape id="_x0000_i1060" type="#_x0000_t75" style="width:77pt;height:34pt" o:ole="">
                  <v:imagedata r:id="rId77" o:title=""/>
                </v:shape>
                <o:OLEObject Type="Embed" ProgID="Equation.3" ShapeID="_x0000_i1060" DrawAspect="Content" ObjectID="_1413993359" r:id="rId78"/>
              </w:object>
            </w:r>
          </w:p>
        </w:tc>
        <w:tc>
          <w:tcPr>
            <w:tcW w:w="1781" w:type="dxa"/>
            <w:tcBorders>
              <w:top w:val="single" w:sz="4" w:space="0" w:color="7F7F7F"/>
              <w:bottom w:val="single" w:sz="4" w:space="0" w:color="7F7F7F"/>
            </w:tcBorders>
            <w:shd w:val="clear" w:color="auto" w:fill="auto"/>
            <w:vAlign w:val="center"/>
          </w:tcPr>
          <w:p w14:paraId="6BD8B2A7" w14:textId="77777777" w:rsidR="00EB0507" w:rsidRPr="005E5A74" w:rsidRDefault="00EB0507" w:rsidP="005C4117">
            <w:pPr>
              <w:spacing w:after="0"/>
              <w:rPr>
                <w:rFonts w:ascii="Times New Roman" w:eastAsiaTheme="majorEastAsia" w:hAnsi="Times New Roman" w:cstheme="majorBidi"/>
                <w:i/>
                <w:iCs/>
                <w:color w:val="243F60" w:themeColor="accent1" w:themeShade="7F"/>
              </w:rPr>
            </w:pPr>
            <w:r w:rsidRPr="005E5A74">
              <w:rPr>
                <w:rFonts w:ascii="Times New Roman" w:hAnsi="Times New Roman"/>
              </w:rPr>
              <w:t>1.3</w:t>
            </w:r>
          </w:p>
        </w:tc>
        <w:tc>
          <w:tcPr>
            <w:tcW w:w="821" w:type="dxa"/>
            <w:tcBorders>
              <w:top w:val="single" w:sz="4" w:space="0" w:color="7F7F7F"/>
              <w:bottom w:val="single" w:sz="4" w:space="0" w:color="7F7F7F"/>
            </w:tcBorders>
            <w:shd w:val="clear" w:color="auto" w:fill="auto"/>
            <w:vAlign w:val="center"/>
          </w:tcPr>
          <w:p w14:paraId="734AA375" w14:textId="3EAA76A6" w:rsidR="00EB0507" w:rsidRPr="005E5A74" w:rsidRDefault="00EB0507" w:rsidP="005C4117">
            <w:pPr>
              <w:spacing w:after="0"/>
              <w:rPr>
                <w:rFonts w:ascii="Times New Roman" w:eastAsiaTheme="majorEastAsia" w:hAnsi="Times New Roman" w:cstheme="majorBidi"/>
                <w:i/>
                <w:iCs/>
                <w:color w:val="243F60" w:themeColor="accent1" w:themeShade="7F"/>
              </w:rPr>
            </w:pPr>
            <w:r w:rsidRPr="005E5A74">
              <w:rPr>
                <w:rFonts w:ascii="Times New Roman" w:hAnsi="Times New Roman"/>
              </w:rPr>
              <w:fldChar w:fldCharType="begin" w:fldLock="1"/>
            </w:r>
            <w:r w:rsidR="00F755B8" w:rsidRPr="005E5A74">
              <w:rPr>
                <w:rFonts w:ascii="Times New Roman" w:hAnsi="Times New Roman"/>
              </w:rPr>
              <w:instrText>ADDIN CSL_CITATION { "citationItems" : [ { "id" : "ITEM-1", "itemData" : { "author" : [ { "dropping-particle" : "", "family" : "Ar\u00e9valo", "given" : "Andrea", "non-dropping-particle" : "", "parse-names" : false, "suffix" : "" }, { "dropping-particle" : "", "family" : "Carranza", "given" : "Julio C\u00e9sar", "non-dropping-particle" : "", "parse-names" : false, "suffix" : "" }, { "dropping-particle" : "", "family" : "Guhl", "given" : "Felipe", "non-dropping-particle" : "", "parse-names" : false, "suffix" : "" }, { "dropping-particle" : "", "family" : "Clavijo", "given" : "Jairo Alfonso", "non-dropping-particle" : "", "parse-names" : false, "suffix" : "" }, { "dropping-particle" : "", "family" : "Vallejo", "given" : "Gustavo Adolfo", "non-dropping-particle" : "", "parse-names" : false, "suffix" : "" } ], "container-title" : "Biom\u00e9dica", "id" : "ITEM-1", "issue" : "1", "issued" : { "date-parts" : [ [ "2007" ] ] }, "page" : "119-129", "title" : "Comparaci\u00f3n del ciclo de vida de &lt;i&gt;Rhodnius colombiensis&lt;/i&gt; Moreno , Jurberg &amp; Galv\u00e3o , 1999 y &lt;i&gt;Rhodnius prolixus&lt;/i&gt; Stal , 1872 (Hemiptera, Reduviidae, Triatominae) en condiciones de laboratorio", "type" : "article-journal", "volume" : "27" }, "uris" : [ "http://www.mendeley.com/documents/?uuid=9aca5f84-2157-4fc7-924e-7c62703d28f3", "http://www.mendeley.com/documents/?uuid=9f8e0cd0-7c8d-4d7d-9533-d0d1819b6d99" ] } ], "mendeley" : { "formattedCitation" : "[2]", "plainTextFormattedCitation" : "[2]", "previouslyFormattedCitation" : "[2]" }, "properties" : { "noteIndex" : 0 }, "schema" : "https://github.com/citation-style-language/schema/raw/master/csl-citation.json" }</w:instrText>
            </w:r>
            <w:r w:rsidRPr="005E5A74">
              <w:rPr>
                <w:rFonts w:ascii="Times New Roman" w:hAnsi="Times New Roman"/>
              </w:rPr>
              <w:fldChar w:fldCharType="separate"/>
            </w:r>
            <w:r w:rsidR="00F755B8" w:rsidRPr="005E5A74">
              <w:rPr>
                <w:rFonts w:ascii="Times New Roman" w:hAnsi="Times New Roman"/>
                <w:noProof/>
              </w:rPr>
              <w:t>[2]</w:t>
            </w:r>
            <w:r w:rsidRPr="005E5A74">
              <w:rPr>
                <w:rFonts w:ascii="Times New Roman" w:hAnsi="Times New Roman"/>
              </w:rPr>
              <w:fldChar w:fldCharType="end"/>
            </w:r>
          </w:p>
        </w:tc>
      </w:tr>
      <w:tr w:rsidR="00EB0507" w:rsidRPr="005E5A74" w14:paraId="638D09F1" w14:textId="77777777" w:rsidTr="0000794F">
        <w:trPr>
          <w:jc w:val="center"/>
        </w:trPr>
        <w:tc>
          <w:tcPr>
            <w:tcW w:w="993" w:type="dxa"/>
            <w:shd w:val="clear" w:color="auto" w:fill="auto"/>
            <w:vAlign w:val="center"/>
          </w:tcPr>
          <w:p w14:paraId="39A85CC7" w14:textId="77777777" w:rsidR="00EB0507" w:rsidRPr="005E5A74" w:rsidRDefault="00EB0507" w:rsidP="005C4117">
            <w:pPr>
              <w:spacing w:after="0"/>
              <w:rPr>
                <w:rFonts w:ascii="Times New Roman" w:eastAsiaTheme="majorEastAsia" w:hAnsi="Times New Roman" w:cstheme="majorBidi"/>
                <w:b/>
                <w:i/>
                <w:iCs/>
                <w:color w:val="243F60" w:themeColor="accent1" w:themeShade="7F"/>
                <w:vertAlign w:val="subscript"/>
              </w:rPr>
            </w:pPr>
            <w:r w:rsidRPr="005E5A74">
              <w:rPr>
                <w:rFonts w:ascii="Times New Roman" w:hAnsi="Times New Roman"/>
                <w:position w:val="-10"/>
              </w:rPr>
              <w:object w:dxaOrig="300" w:dyaOrig="340" w14:anchorId="74B582FD">
                <v:shape id="_x0000_i1061" type="#_x0000_t75" style="width:15pt;height:17pt" o:ole="">
                  <v:imagedata r:id="rId79" o:title=""/>
                </v:shape>
                <o:OLEObject Type="Embed" ProgID="Equation.3" ShapeID="_x0000_i1061" DrawAspect="Content" ObjectID="_1413993360" r:id="rId80"/>
              </w:object>
            </w:r>
          </w:p>
        </w:tc>
        <w:tc>
          <w:tcPr>
            <w:tcW w:w="3289" w:type="dxa"/>
            <w:shd w:val="clear" w:color="auto" w:fill="auto"/>
            <w:vAlign w:val="center"/>
          </w:tcPr>
          <w:p w14:paraId="0AFC19DC" w14:textId="77777777" w:rsidR="00EB0507" w:rsidRPr="005E5A74" w:rsidRDefault="00EB0507" w:rsidP="00916B68">
            <w:pPr>
              <w:spacing w:after="0"/>
              <w:rPr>
                <w:rFonts w:ascii="Times New Roman" w:hAnsi="Times New Roman"/>
              </w:rPr>
            </w:pPr>
            <w:r w:rsidRPr="005E5A74">
              <w:rPr>
                <w:rFonts w:ascii="Times New Roman" w:hAnsi="Times New Roman"/>
              </w:rPr>
              <w:t>Egg mortality rate</w:t>
            </w:r>
          </w:p>
        </w:tc>
        <w:tc>
          <w:tcPr>
            <w:tcW w:w="1843" w:type="dxa"/>
            <w:shd w:val="clear" w:color="auto" w:fill="auto"/>
            <w:vAlign w:val="center"/>
          </w:tcPr>
          <w:p w14:paraId="0478BF0E" w14:textId="77777777" w:rsidR="00EB0507" w:rsidRPr="005E5A74" w:rsidRDefault="00EB0507" w:rsidP="005C4117">
            <w:pPr>
              <w:spacing w:after="0"/>
              <w:rPr>
                <w:rFonts w:ascii="Times New Roman" w:eastAsiaTheme="majorEastAsia" w:hAnsi="Times New Roman" w:cstheme="majorBidi"/>
                <w:i/>
                <w:iCs/>
                <w:color w:val="243F60" w:themeColor="accent1" w:themeShade="7F"/>
              </w:rPr>
            </w:pPr>
            <w:r w:rsidRPr="005E5A74">
              <w:rPr>
                <w:position w:val="-10"/>
              </w:rPr>
              <w:object w:dxaOrig="600" w:dyaOrig="340" w14:anchorId="726F12E0">
                <v:shape id="_x0000_i1062" type="#_x0000_t75" style="width:29pt;height:17pt" o:ole="">
                  <v:imagedata r:id="rId81" o:title=""/>
                </v:shape>
                <o:OLEObject Type="Embed" ProgID="Equation.3" ShapeID="_x0000_i1062" DrawAspect="Content" ObjectID="_1413993361" r:id="rId82"/>
              </w:object>
            </w:r>
          </w:p>
        </w:tc>
        <w:tc>
          <w:tcPr>
            <w:tcW w:w="1781" w:type="dxa"/>
            <w:shd w:val="clear" w:color="auto" w:fill="auto"/>
            <w:vAlign w:val="center"/>
          </w:tcPr>
          <w:p w14:paraId="27461D0E" w14:textId="77777777" w:rsidR="00EB0507" w:rsidRPr="005E5A74" w:rsidRDefault="00EB0507" w:rsidP="005C4117">
            <w:pPr>
              <w:spacing w:after="0"/>
              <w:rPr>
                <w:rFonts w:ascii="Times New Roman" w:eastAsiaTheme="majorEastAsia" w:hAnsi="Times New Roman" w:cstheme="majorBidi"/>
                <w:i/>
                <w:iCs/>
                <w:color w:val="243F60" w:themeColor="accent1" w:themeShade="7F"/>
              </w:rPr>
            </w:pPr>
            <w:r w:rsidRPr="005E5A74">
              <w:rPr>
                <w:rFonts w:ascii="Times New Roman" w:hAnsi="Times New Roman"/>
              </w:rPr>
              <w:t>0.001</w:t>
            </w:r>
          </w:p>
        </w:tc>
        <w:tc>
          <w:tcPr>
            <w:tcW w:w="821" w:type="dxa"/>
            <w:shd w:val="clear" w:color="auto" w:fill="auto"/>
            <w:vAlign w:val="center"/>
          </w:tcPr>
          <w:p w14:paraId="47D578ED" w14:textId="3E577797" w:rsidR="00EB0507" w:rsidRPr="005E5A74" w:rsidRDefault="00EB0507" w:rsidP="005C4117">
            <w:pPr>
              <w:spacing w:after="0"/>
              <w:rPr>
                <w:rFonts w:ascii="Times New Roman" w:eastAsiaTheme="majorEastAsia" w:hAnsi="Times New Roman" w:cstheme="majorBidi"/>
                <w:i/>
                <w:iCs/>
                <w:color w:val="243F60" w:themeColor="accent1" w:themeShade="7F"/>
              </w:rPr>
            </w:pPr>
            <w:r w:rsidRPr="005E5A74">
              <w:rPr>
                <w:rFonts w:ascii="Times New Roman" w:hAnsi="Times New Roman"/>
              </w:rPr>
              <w:fldChar w:fldCharType="begin" w:fldLock="1"/>
            </w:r>
            <w:r w:rsidR="00F755B8" w:rsidRPr="005E5A74">
              <w:rPr>
                <w:rFonts w:ascii="Times New Roman" w:hAnsi="Times New Roman"/>
              </w:rPr>
              <w:instrText>ADDIN CSL_CITATION { "citationItems" : [ { "id" : "ITEM-1", "itemData" : { "author" : [ { "dropping-particle" : "", "family" : "Ar\u00e9valo", "given" : "Andrea", "non-dropping-particle" : "", "parse-names" : false, "suffix" : "" }, { "dropping-particle" : "", "family" : "Carranza", "given" : "Julio C\u00e9sar", "non-dropping-particle" : "", "parse-names" : false, "suffix" : "" }, { "dropping-particle" : "", "family" : "Guhl", "given" : "Felipe", "non-dropping-particle" : "", "parse-names" : false, "suffix" : "" }, { "dropping-particle" : "", "family" : "Clavijo", "given" : "Jairo Alfonso", "non-dropping-particle" : "", "parse-names" : false, "suffix" : "" }, { "dropping-particle" : "", "family" : "Vallejo", "given" : "Gustavo Adolfo", "non-dropping-particle" : "", "parse-names" : false, "suffix" : "" } ], "container-title" : "Biom\u00e9dica", "id" : "ITEM-1", "issue" : "1", "issued" : { "date-parts" : [ [ "2007" ] ] }, "page" : "119-129", "title" : "Comparaci\u00f3n del ciclo de vida de &lt;i&gt;Rhodnius colombiensis&lt;/i&gt; Moreno , Jurberg &amp; Galv\u00e3o , 1999 y &lt;i&gt;Rhodnius prolixus&lt;/i&gt; Stal , 1872 (Hemiptera, Reduviidae, Triatominae) en condiciones de laboratorio", "type" : "article-journal", "volume" : "27" }, "uris" : [ "http://www.mendeley.com/documents/?uuid=9f8e0cd0-7c8d-4d7d-9533-d0d1819b6d99", "http://www.mendeley.com/documents/?uuid=9aca5f84-2157-4fc7-924e-7c62703d28f3" ] } ], "mendeley" : { "formattedCitation" : "[2]", "plainTextFormattedCitation" : "[2]", "previouslyFormattedCitation" : "[2]" }, "properties" : { "noteIndex" : 0 }, "schema" : "https://github.com/citation-style-language/schema/raw/master/csl-citation.json" }</w:instrText>
            </w:r>
            <w:r w:rsidRPr="005E5A74">
              <w:rPr>
                <w:rFonts w:ascii="Times New Roman" w:hAnsi="Times New Roman"/>
              </w:rPr>
              <w:fldChar w:fldCharType="separate"/>
            </w:r>
            <w:r w:rsidR="00F755B8" w:rsidRPr="005E5A74">
              <w:rPr>
                <w:rFonts w:ascii="Times New Roman" w:hAnsi="Times New Roman"/>
                <w:noProof/>
              </w:rPr>
              <w:t>[2]</w:t>
            </w:r>
            <w:r w:rsidRPr="005E5A74">
              <w:rPr>
                <w:rFonts w:ascii="Times New Roman" w:hAnsi="Times New Roman"/>
              </w:rPr>
              <w:fldChar w:fldCharType="end"/>
            </w:r>
          </w:p>
        </w:tc>
      </w:tr>
      <w:tr w:rsidR="00EB0507" w:rsidRPr="005E5A74" w14:paraId="50BE75EC" w14:textId="77777777" w:rsidTr="0000794F">
        <w:trPr>
          <w:jc w:val="center"/>
        </w:trPr>
        <w:tc>
          <w:tcPr>
            <w:tcW w:w="993" w:type="dxa"/>
            <w:tcBorders>
              <w:top w:val="single" w:sz="4" w:space="0" w:color="7F7F7F"/>
              <w:bottom w:val="single" w:sz="4" w:space="0" w:color="7F7F7F"/>
            </w:tcBorders>
            <w:shd w:val="clear" w:color="auto" w:fill="auto"/>
            <w:vAlign w:val="center"/>
          </w:tcPr>
          <w:p w14:paraId="34C34755" w14:textId="77777777" w:rsidR="00EB0507" w:rsidRPr="005E5A74" w:rsidRDefault="00EB0507" w:rsidP="005C4117">
            <w:pPr>
              <w:spacing w:after="0"/>
              <w:rPr>
                <w:rFonts w:ascii="Times New Roman" w:eastAsiaTheme="majorEastAsia" w:hAnsi="Times New Roman" w:cstheme="majorBidi"/>
                <w:b/>
                <w:i/>
                <w:iCs/>
                <w:color w:val="243F60" w:themeColor="accent1" w:themeShade="7F"/>
                <w:vertAlign w:val="subscript"/>
              </w:rPr>
            </w:pPr>
            <w:r w:rsidRPr="005E5A74">
              <w:rPr>
                <w:rFonts w:ascii="Times New Roman" w:hAnsi="Times New Roman"/>
                <w:position w:val="-12"/>
              </w:rPr>
              <w:object w:dxaOrig="320" w:dyaOrig="360" w14:anchorId="2A341C07">
                <v:shape id="_x0000_i1063" type="#_x0000_t75" style="width:16pt;height:18pt" o:ole="">
                  <v:imagedata r:id="rId83" o:title=""/>
                </v:shape>
                <o:OLEObject Type="Embed" ProgID="Equation.3" ShapeID="_x0000_i1063" DrawAspect="Content" ObjectID="_1413993362" r:id="rId84"/>
              </w:object>
            </w:r>
          </w:p>
        </w:tc>
        <w:tc>
          <w:tcPr>
            <w:tcW w:w="3289" w:type="dxa"/>
            <w:tcBorders>
              <w:top w:val="single" w:sz="4" w:space="0" w:color="7F7F7F"/>
              <w:bottom w:val="single" w:sz="4" w:space="0" w:color="7F7F7F"/>
            </w:tcBorders>
            <w:shd w:val="clear" w:color="auto" w:fill="auto"/>
            <w:vAlign w:val="center"/>
          </w:tcPr>
          <w:p w14:paraId="4294471E" w14:textId="77777777" w:rsidR="00EB0507" w:rsidRPr="005E5A74" w:rsidRDefault="00EB0507" w:rsidP="00916B68">
            <w:pPr>
              <w:spacing w:after="0"/>
              <w:rPr>
                <w:rFonts w:ascii="Times New Roman" w:hAnsi="Times New Roman"/>
              </w:rPr>
            </w:pPr>
            <w:r w:rsidRPr="005E5A74">
              <w:rPr>
                <w:rFonts w:ascii="Times New Roman" w:hAnsi="Times New Roman"/>
              </w:rPr>
              <w:t>Nymph mortality rate</w:t>
            </w:r>
          </w:p>
        </w:tc>
        <w:tc>
          <w:tcPr>
            <w:tcW w:w="1843" w:type="dxa"/>
            <w:tcBorders>
              <w:top w:val="single" w:sz="4" w:space="0" w:color="7F7F7F"/>
              <w:bottom w:val="single" w:sz="4" w:space="0" w:color="7F7F7F"/>
            </w:tcBorders>
            <w:shd w:val="clear" w:color="auto" w:fill="auto"/>
            <w:vAlign w:val="center"/>
          </w:tcPr>
          <w:p w14:paraId="4D792F6D" w14:textId="77777777" w:rsidR="00EB0507" w:rsidRPr="005E5A74" w:rsidRDefault="00EB0507" w:rsidP="005C4117">
            <w:pPr>
              <w:spacing w:after="0"/>
              <w:rPr>
                <w:rFonts w:ascii="Times New Roman" w:eastAsiaTheme="majorEastAsia" w:hAnsi="Times New Roman" w:cstheme="majorBidi"/>
                <w:i/>
                <w:iCs/>
                <w:color w:val="243F60" w:themeColor="accent1" w:themeShade="7F"/>
              </w:rPr>
            </w:pPr>
            <w:r w:rsidRPr="005E5A74">
              <w:rPr>
                <w:position w:val="-10"/>
              </w:rPr>
              <w:object w:dxaOrig="600" w:dyaOrig="340" w14:anchorId="2C240DBD">
                <v:shape id="_x0000_i1064" type="#_x0000_t75" style="width:29pt;height:17pt" o:ole="">
                  <v:imagedata r:id="rId85" o:title=""/>
                </v:shape>
                <o:OLEObject Type="Embed" ProgID="Equation.3" ShapeID="_x0000_i1064" DrawAspect="Content" ObjectID="_1413993363" r:id="rId86"/>
              </w:object>
            </w:r>
          </w:p>
        </w:tc>
        <w:tc>
          <w:tcPr>
            <w:tcW w:w="1781" w:type="dxa"/>
            <w:tcBorders>
              <w:top w:val="single" w:sz="4" w:space="0" w:color="7F7F7F"/>
              <w:bottom w:val="single" w:sz="4" w:space="0" w:color="7F7F7F"/>
            </w:tcBorders>
            <w:shd w:val="clear" w:color="auto" w:fill="auto"/>
            <w:vAlign w:val="center"/>
          </w:tcPr>
          <w:p w14:paraId="3D1D4728" w14:textId="77777777" w:rsidR="00EB0507" w:rsidRPr="005E5A74" w:rsidRDefault="00EB0507" w:rsidP="005C4117">
            <w:pPr>
              <w:spacing w:after="0"/>
              <w:rPr>
                <w:rFonts w:ascii="Times New Roman" w:eastAsiaTheme="majorEastAsia" w:hAnsi="Times New Roman" w:cstheme="majorBidi"/>
                <w:i/>
                <w:iCs/>
                <w:color w:val="243F60" w:themeColor="accent1" w:themeShade="7F"/>
              </w:rPr>
            </w:pPr>
            <w:r w:rsidRPr="005E5A74">
              <w:rPr>
                <w:rFonts w:ascii="Times New Roman" w:hAnsi="Times New Roman"/>
              </w:rPr>
              <w:t>0.004</w:t>
            </w:r>
          </w:p>
        </w:tc>
        <w:tc>
          <w:tcPr>
            <w:tcW w:w="821" w:type="dxa"/>
            <w:tcBorders>
              <w:top w:val="single" w:sz="4" w:space="0" w:color="7F7F7F"/>
              <w:bottom w:val="single" w:sz="4" w:space="0" w:color="7F7F7F"/>
            </w:tcBorders>
            <w:shd w:val="clear" w:color="auto" w:fill="auto"/>
            <w:vAlign w:val="center"/>
          </w:tcPr>
          <w:p w14:paraId="273FAC37" w14:textId="3BEB4CEC" w:rsidR="00EB0507" w:rsidRPr="005E5A74" w:rsidRDefault="00EB0507" w:rsidP="005C4117">
            <w:pPr>
              <w:spacing w:after="0"/>
              <w:rPr>
                <w:rFonts w:ascii="Times New Roman" w:eastAsiaTheme="majorEastAsia" w:hAnsi="Times New Roman" w:cstheme="majorBidi"/>
                <w:i/>
                <w:iCs/>
                <w:color w:val="243F60" w:themeColor="accent1" w:themeShade="7F"/>
              </w:rPr>
            </w:pPr>
            <w:r w:rsidRPr="005E5A74">
              <w:rPr>
                <w:rFonts w:ascii="Times New Roman" w:hAnsi="Times New Roman"/>
              </w:rPr>
              <w:fldChar w:fldCharType="begin" w:fldLock="1"/>
            </w:r>
            <w:r w:rsidR="00F755B8" w:rsidRPr="005E5A74">
              <w:rPr>
                <w:rFonts w:ascii="Times New Roman" w:hAnsi="Times New Roman"/>
              </w:rPr>
              <w:instrText>ADDIN CSL_CITATION { "citationItems" : [ { "id" : "ITEM-1", "itemData" : { "DOI" : "10.1016/j.actatropica.2004.06.005", "ISSN" : "0001706X", "author" : [ { "dropping-particle" : "", "family" : "Chaves", "given" : "Luis Fernando", "non-dropping-particle" : "", "parse-names" : false, "suffix" : "" }, { "dropping-particle" : "", "family" : "Hernandez", "given" : "Maria-Josefina", "non-dropping-particle" : "", "parse-names" : false, "suffix" : "" }, { "dropping-particle" : "", "family" : "Revilla", "given" : "Tom\u00e1s a.", "non-dropping-particle" : "", "parse-names" : false, "suffix" : "" }, { "dropping-particle" : "", "family" : "Rodr\u00edguez", "given" : "Diego J.", "non-dropping-particle" : "", "parse-names" : false, "suffix" : "" }, { "dropping-particle" : "", "family" : "Rabinovich", "given" : "Jorge E.", "non-dropping-particle" : "", "parse-names" : false, "suffix" : "" } ], "container-title" : "Acta Tropica", "id" : "ITEM-1", "issue" : "2", "issued" : { "date-parts" : [ [ "2004" ] ] }, "page" : "119-125", "title" : "Mortality profiles of Rhodnius prolixus (Heteroptera: Reduviidae), vector of Chagas disease", "type" : "article-journal", "volume" : "92" }, "uris" : [ "http://www.mendeley.com/documents/?uuid=80a737d6-1cd5-416b-9988-f6ae7f1cdc2d", "http://www.mendeley.com/documents/?uuid=82bdd8e9-4d6e-47dd-912e-a0583ff815fc" ] } ], "mendeley" : { "formattedCitation" : "[3]", "plainTextFormattedCitation" : "[3]", "previouslyFormattedCitation" : "[3]" }, "properties" : { "noteIndex" : 0 }, "schema" : "https://github.com/citation-style-language/schema/raw/master/csl-citation.json" }</w:instrText>
            </w:r>
            <w:r w:rsidRPr="005E5A74">
              <w:rPr>
                <w:rFonts w:ascii="Times New Roman" w:hAnsi="Times New Roman"/>
              </w:rPr>
              <w:fldChar w:fldCharType="separate"/>
            </w:r>
            <w:r w:rsidR="00F755B8" w:rsidRPr="005E5A74">
              <w:rPr>
                <w:rFonts w:ascii="Times New Roman" w:hAnsi="Times New Roman"/>
                <w:noProof/>
              </w:rPr>
              <w:t>[3]</w:t>
            </w:r>
            <w:r w:rsidRPr="005E5A74">
              <w:rPr>
                <w:rFonts w:ascii="Times New Roman" w:hAnsi="Times New Roman"/>
              </w:rPr>
              <w:fldChar w:fldCharType="end"/>
            </w:r>
          </w:p>
        </w:tc>
      </w:tr>
      <w:tr w:rsidR="00EB0507" w:rsidRPr="005E5A74" w14:paraId="62779987" w14:textId="77777777" w:rsidTr="0000794F">
        <w:trPr>
          <w:jc w:val="center"/>
        </w:trPr>
        <w:tc>
          <w:tcPr>
            <w:tcW w:w="993" w:type="dxa"/>
            <w:shd w:val="clear" w:color="auto" w:fill="auto"/>
            <w:vAlign w:val="center"/>
          </w:tcPr>
          <w:p w14:paraId="35BEC490" w14:textId="77777777" w:rsidR="00EB0507" w:rsidRPr="005E5A74" w:rsidRDefault="00EB0507" w:rsidP="005C4117">
            <w:pPr>
              <w:spacing w:after="0"/>
              <w:rPr>
                <w:rFonts w:ascii="Times New Roman" w:eastAsiaTheme="majorEastAsia" w:hAnsi="Times New Roman" w:cstheme="majorBidi"/>
                <w:b/>
                <w:i/>
                <w:iCs/>
                <w:color w:val="243F60" w:themeColor="accent1" w:themeShade="7F"/>
                <w:vertAlign w:val="subscript"/>
              </w:rPr>
            </w:pPr>
            <w:r w:rsidRPr="005E5A74">
              <w:rPr>
                <w:rFonts w:ascii="Times New Roman" w:hAnsi="Times New Roman"/>
                <w:position w:val="-10"/>
              </w:rPr>
              <w:object w:dxaOrig="300" w:dyaOrig="340" w14:anchorId="7E2FD34A">
                <v:shape id="_x0000_i1065" type="#_x0000_t75" style="width:15pt;height:17pt" o:ole="">
                  <v:imagedata r:id="rId87" o:title=""/>
                </v:shape>
                <o:OLEObject Type="Embed" ProgID="Equation.3" ShapeID="_x0000_i1065" DrawAspect="Content" ObjectID="_1413993364" r:id="rId88"/>
              </w:object>
            </w:r>
          </w:p>
        </w:tc>
        <w:tc>
          <w:tcPr>
            <w:tcW w:w="3289" w:type="dxa"/>
            <w:shd w:val="clear" w:color="auto" w:fill="auto"/>
            <w:vAlign w:val="center"/>
          </w:tcPr>
          <w:p w14:paraId="72879C61" w14:textId="77777777" w:rsidR="00EB0507" w:rsidRPr="005E5A74" w:rsidRDefault="00EB0507" w:rsidP="00916B68">
            <w:pPr>
              <w:spacing w:after="0"/>
              <w:rPr>
                <w:rFonts w:ascii="Times New Roman" w:hAnsi="Times New Roman"/>
              </w:rPr>
            </w:pPr>
            <w:r w:rsidRPr="005E5A74">
              <w:rPr>
                <w:rFonts w:ascii="Times New Roman" w:hAnsi="Times New Roman"/>
              </w:rPr>
              <w:t>Adult mortality rate</w:t>
            </w:r>
          </w:p>
        </w:tc>
        <w:tc>
          <w:tcPr>
            <w:tcW w:w="1843" w:type="dxa"/>
            <w:shd w:val="clear" w:color="auto" w:fill="auto"/>
            <w:vAlign w:val="center"/>
          </w:tcPr>
          <w:p w14:paraId="57872DCC" w14:textId="77777777" w:rsidR="00EB0507" w:rsidRPr="005E5A74" w:rsidRDefault="00EB0507" w:rsidP="005C4117">
            <w:pPr>
              <w:spacing w:after="0"/>
              <w:rPr>
                <w:rFonts w:ascii="Times New Roman" w:eastAsiaTheme="majorEastAsia" w:hAnsi="Times New Roman" w:cstheme="majorBidi"/>
                <w:i/>
                <w:iCs/>
                <w:color w:val="243F60" w:themeColor="accent1" w:themeShade="7F"/>
              </w:rPr>
            </w:pPr>
            <w:r w:rsidRPr="005E5A74">
              <w:rPr>
                <w:position w:val="-10"/>
              </w:rPr>
              <w:object w:dxaOrig="600" w:dyaOrig="340" w14:anchorId="0BC9B09A">
                <v:shape id="_x0000_i1066" type="#_x0000_t75" style="width:29pt;height:17pt" o:ole="">
                  <v:imagedata r:id="rId89" o:title=""/>
                </v:shape>
                <o:OLEObject Type="Embed" ProgID="Equation.3" ShapeID="_x0000_i1066" DrawAspect="Content" ObjectID="_1413993365" r:id="rId90"/>
              </w:object>
            </w:r>
          </w:p>
        </w:tc>
        <w:tc>
          <w:tcPr>
            <w:tcW w:w="1781" w:type="dxa"/>
            <w:shd w:val="clear" w:color="auto" w:fill="auto"/>
            <w:vAlign w:val="center"/>
          </w:tcPr>
          <w:p w14:paraId="77F4CEFC" w14:textId="77777777" w:rsidR="00EB0507" w:rsidRPr="005E5A74" w:rsidRDefault="00EB0507" w:rsidP="005C4117">
            <w:pPr>
              <w:spacing w:after="0"/>
              <w:rPr>
                <w:rFonts w:ascii="Times New Roman" w:eastAsiaTheme="majorEastAsia" w:hAnsi="Times New Roman" w:cstheme="majorBidi"/>
                <w:i/>
                <w:iCs/>
                <w:color w:val="243F60" w:themeColor="accent1" w:themeShade="7F"/>
              </w:rPr>
            </w:pPr>
            <w:r w:rsidRPr="005E5A74">
              <w:rPr>
                <w:rFonts w:ascii="Times New Roman" w:hAnsi="Times New Roman"/>
              </w:rPr>
              <w:t>Palms: 0.005</w:t>
            </w:r>
          </w:p>
          <w:p w14:paraId="05B59EA0" w14:textId="77777777" w:rsidR="00EB0507" w:rsidRPr="005E5A74" w:rsidRDefault="00EB0507" w:rsidP="005C4117">
            <w:pPr>
              <w:spacing w:after="0"/>
              <w:rPr>
                <w:rFonts w:ascii="Times New Roman" w:eastAsiaTheme="majorEastAsia" w:hAnsi="Times New Roman" w:cstheme="majorBidi"/>
                <w:i/>
                <w:iCs/>
                <w:color w:val="243F60" w:themeColor="accent1" w:themeShade="7F"/>
              </w:rPr>
            </w:pPr>
            <w:r w:rsidRPr="005E5A74">
              <w:rPr>
                <w:rFonts w:ascii="Times New Roman" w:hAnsi="Times New Roman"/>
              </w:rPr>
              <w:t>Houses: 0.05</w:t>
            </w:r>
          </w:p>
        </w:tc>
        <w:tc>
          <w:tcPr>
            <w:tcW w:w="821" w:type="dxa"/>
            <w:shd w:val="clear" w:color="auto" w:fill="auto"/>
            <w:vAlign w:val="center"/>
          </w:tcPr>
          <w:p w14:paraId="23930405" w14:textId="506219C6" w:rsidR="00EB0507" w:rsidRPr="005E5A74" w:rsidRDefault="00EB0507" w:rsidP="005C4117">
            <w:pPr>
              <w:spacing w:after="0"/>
              <w:rPr>
                <w:rFonts w:ascii="Times New Roman" w:eastAsiaTheme="majorEastAsia" w:hAnsi="Times New Roman" w:cstheme="majorBidi"/>
                <w:i/>
                <w:iCs/>
                <w:color w:val="243F60" w:themeColor="accent1" w:themeShade="7F"/>
              </w:rPr>
            </w:pPr>
            <w:r w:rsidRPr="005E5A74">
              <w:rPr>
                <w:rFonts w:ascii="Times New Roman" w:hAnsi="Times New Roman"/>
              </w:rPr>
              <w:fldChar w:fldCharType="begin" w:fldLock="1"/>
            </w:r>
            <w:r w:rsidR="00F755B8" w:rsidRPr="005E5A74">
              <w:rPr>
                <w:rFonts w:ascii="Times New Roman" w:hAnsi="Times New Roman"/>
              </w:rPr>
              <w:instrText>ADDIN CSL_CITATION { "citationItems" : [ { "id" : "ITEM-1", "itemData" : { "DOI" : "10.1016/j.actatropica.2004.06.005", "ISSN" : "0001706X", "author" : [ { "dropping-particle" : "", "family" : "Chaves", "given" : "Luis Fernando", "non-dropping-particle" : "", "parse-names" : false, "suffix" : "" }, { "dropping-particle" : "", "family" : "Hernandez", "given" : "Maria-Josefina", "non-dropping-particle" : "", "parse-names" : false, "suffix" : "" }, { "dropping-particle" : "", "family" : "Revilla", "given" : "Tom\u00e1s a.", "non-dropping-particle" : "", "parse-names" : false, "suffix" : "" }, { "dropping-particle" : "", "family" : "Rodr\u00edguez", "given" : "Diego J.", "non-dropping-particle" : "", "parse-names" : false, "suffix" : "" }, { "dropping-particle" : "", "family" : "Rabinovich", "given" : "Jorge E.", "non-dropping-particle" : "", "parse-names" : false, "suffix" : "" } ], "container-title" : "Acta Tropica", "id" : "ITEM-1", "issue" : "2", "issued" : { "date-parts" : [ [ "2004" ] ] }, "page" : "119-125", "title" : "Mortality profiles of Rhodnius prolixus (Heteroptera: Reduviidae), vector of Chagas disease", "type" : "article-journal", "volume" : "92" }, "uris" : [ "http://www.mendeley.com/documents/?uuid=82bdd8e9-4d6e-47dd-912e-a0583ff815fc", "http://www.mendeley.com/documents/?uuid=80a737d6-1cd5-416b-9988-f6ae7f1cdc2d" ] } ], "mendeley" : { "formattedCitation" : "[3]", "plainTextFormattedCitation" : "[3]", "previouslyFormattedCitation" : "[3]" }, "properties" : { "noteIndex" : 0 }, "schema" : "https://github.com/citation-style-language/schema/raw/master/csl-citation.json" }</w:instrText>
            </w:r>
            <w:r w:rsidRPr="005E5A74">
              <w:rPr>
                <w:rFonts w:ascii="Times New Roman" w:hAnsi="Times New Roman"/>
              </w:rPr>
              <w:fldChar w:fldCharType="separate"/>
            </w:r>
            <w:r w:rsidR="00F755B8" w:rsidRPr="005E5A74">
              <w:rPr>
                <w:rFonts w:ascii="Times New Roman" w:hAnsi="Times New Roman"/>
                <w:noProof/>
              </w:rPr>
              <w:t>[3]</w:t>
            </w:r>
            <w:r w:rsidRPr="005E5A74">
              <w:rPr>
                <w:rFonts w:ascii="Times New Roman" w:hAnsi="Times New Roman"/>
              </w:rPr>
              <w:fldChar w:fldCharType="end"/>
            </w:r>
          </w:p>
          <w:p w14:paraId="5A0DE784" w14:textId="77777777" w:rsidR="00EB0507" w:rsidRPr="005E5A74" w:rsidRDefault="00EB0507" w:rsidP="005C4117">
            <w:pPr>
              <w:spacing w:after="0"/>
              <w:rPr>
                <w:rFonts w:ascii="Times New Roman" w:eastAsiaTheme="majorEastAsia" w:hAnsi="Times New Roman" w:cstheme="majorBidi"/>
                <w:i/>
                <w:iCs/>
                <w:color w:val="243F60" w:themeColor="accent1" w:themeShade="7F"/>
              </w:rPr>
            </w:pPr>
            <w:r w:rsidRPr="005E5A74">
              <w:rPr>
                <w:rFonts w:ascii="Times New Roman" w:hAnsi="Times New Roman"/>
              </w:rPr>
              <w:t>-</w:t>
            </w:r>
          </w:p>
        </w:tc>
      </w:tr>
      <w:tr w:rsidR="00EB0507" w:rsidRPr="005E5A74" w14:paraId="11235255" w14:textId="77777777" w:rsidTr="0000794F">
        <w:trPr>
          <w:jc w:val="center"/>
        </w:trPr>
        <w:tc>
          <w:tcPr>
            <w:tcW w:w="993" w:type="dxa"/>
            <w:tcBorders>
              <w:top w:val="single" w:sz="4" w:space="0" w:color="7F7F7F"/>
              <w:bottom w:val="single" w:sz="4" w:space="0" w:color="7F7F7F"/>
            </w:tcBorders>
            <w:shd w:val="clear" w:color="auto" w:fill="auto"/>
            <w:vAlign w:val="center"/>
          </w:tcPr>
          <w:p w14:paraId="2149C36F" w14:textId="77777777" w:rsidR="00EB0507" w:rsidRPr="005E5A74" w:rsidRDefault="00EB0507" w:rsidP="005C4117">
            <w:pPr>
              <w:spacing w:after="0"/>
              <w:rPr>
                <w:rFonts w:ascii="Times New Roman" w:eastAsiaTheme="majorEastAsia" w:hAnsi="Times New Roman" w:cstheme="majorBidi"/>
                <w:b/>
                <w:i/>
                <w:iCs/>
                <w:color w:val="243F60" w:themeColor="accent1" w:themeShade="7F"/>
              </w:rPr>
            </w:pPr>
            <w:r w:rsidRPr="005E5A74">
              <w:rPr>
                <w:rFonts w:ascii="Times New Roman" w:hAnsi="Times New Roman"/>
                <w:position w:val="-6"/>
              </w:rPr>
              <w:object w:dxaOrig="200" w:dyaOrig="220" w14:anchorId="5388BB04">
                <v:shape id="_x0000_i1067" type="#_x0000_t75" style="width:10pt;height:11pt" o:ole="">
                  <v:imagedata r:id="rId91" o:title=""/>
                </v:shape>
                <o:OLEObject Type="Embed" ProgID="Equation.3" ShapeID="_x0000_i1067" DrawAspect="Content" ObjectID="_1413993366" r:id="rId92"/>
              </w:object>
            </w:r>
          </w:p>
        </w:tc>
        <w:tc>
          <w:tcPr>
            <w:tcW w:w="3289" w:type="dxa"/>
            <w:tcBorders>
              <w:top w:val="single" w:sz="4" w:space="0" w:color="7F7F7F"/>
              <w:bottom w:val="single" w:sz="4" w:space="0" w:color="7F7F7F"/>
            </w:tcBorders>
            <w:shd w:val="clear" w:color="auto" w:fill="auto"/>
            <w:vAlign w:val="center"/>
          </w:tcPr>
          <w:p w14:paraId="25DB48AD" w14:textId="77777777" w:rsidR="00EB0507" w:rsidRPr="005E5A74" w:rsidRDefault="00EB0507" w:rsidP="00916B68">
            <w:pPr>
              <w:spacing w:after="0"/>
              <w:rPr>
                <w:rFonts w:ascii="Times New Roman" w:hAnsi="Times New Roman"/>
              </w:rPr>
            </w:pPr>
            <w:r w:rsidRPr="005E5A74">
              <w:rPr>
                <w:rFonts w:ascii="Times New Roman" w:hAnsi="Times New Roman"/>
              </w:rPr>
              <w:t>Residency time from egg to nymph</w:t>
            </w:r>
          </w:p>
        </w:tc>
        <w:tc>
          <w:tcPr>
            <w:tcW w:w="1843" w:type="dxa"/>
            <w:tcBorders>
              <w:top w:val="single" w:sz="4" w:space="0" w:color="7F7F7F"/>
              <w:bottom w:val="single" w:sz="4" w:space="0" w:color="7F7F7F"/>
            </w:tcBorders>
            <w:shd w:val="clear" w:color="auto" w:fill="auto"/>
            <w:vAlign w:val="center"/>
          </w:tcPr>
          <w:p w14:paraId="687FD608" w14:textId="77777777" w:rsidR="00EB0507" w:rsidRPr="005E5A74" w:rsidRDefault="00EB0507" w:rsidP="005C4117">
            <w:pPr>
              <w:spacing w:after="0"/>
              <w:rPr>
                <w:rFonts w:ascii="Times New Roman" w:eastAsiaTheme="majorEastAsia" w:hAnsi="Times New Roman" w:cstheme="majorBidi"/>
                <w:i/>
                <w:iCs/>
                <w:color w:val="243F60" w:themeColor="accent1" w:themeShade="7F"/>
              </w:rPr>
            </w:pPr>
            <w:r w:rsidRPr="005E5A74">
              <w:rPr>
                <w:position w:val="-10"/>
              </w:rPr>
              <w:object w:dxaOrig="440" w:dyaOrig="320" w14:anchorId="3F7B75B3">
                <v:shape id="_x0000_i1068" type="#_x0000_t75" style="width:21pt;height:16pt" o:ole="">
                  <v:imagedata r:id="rId93" o:title=""/>
                </v:shape>
                <o:OLEObject Type="Embed" ProgID="Equation.3" ShapeID="_x0000_i1068" DrawAspect="Content" ObjectID="_1413993367" r:id="rId94"/>
              </w:object>
            </w:r>
          </w:p>
        </w:tc>
        <w:tc>
          <w:tcPr>
            <w:tcW w:w="1781" w:type="dxa"/>
            <w:tcBorders>
              <w:top w:val="single" w:sz="4" w:space="0" w:color="7F7F7F"/>
              <w:bottom w:val="single" w:sz="4" w:space="0" w:color="7F7F7F"/>
            </w:tcBorders>
            <w:shd w:val="clear" w:color="auto" w:fill="auto"/>
            <w:vAlign w:val="center"/>
          </w:tcPr>
          <w:p w14:paraId="0B42F229" w14:textId="77777777" w:rsidR="00EB0507" w:rsidRPr="005E5A74" w:rsidRDefault="00EB0507" w:rsidP="005C4117">
            <w:pPr>
              <w:spacing w:after="0"/>
              <w:rPr>
                <w:rFonts w:ascii="Times New Roman" w:eastAsiaTheme="majorEastAsia" w:hAnsi="Times New Roman" w:cstheme="majorBidi"/>
                <w:i/>
                <w:iCs/>
                <w:color w:val="243F60" w:themeColor="accent1" w:themeShade="7F"/>
              </w:rPr>
            </w:pPr>
            <w:r w:rsidRPr="005E5A74">
              <w:rPr>
                <w:rFonts w:ascii="Times New Roman" w:hAnsi="Times New Roman"/>
              </w:rPr>
              <w:t>15.4</w:t>
            </w:r>
          </w:p>
        </w:tc>
        <w:tc>
          <w:tcPr>
            <w:tcW w:w="821" w:type="dxa"/>
            <w:tcBorders>
              <w:top w:val="single" w:sz="4" w:space="0" w:color="7F7F7F"/>
              <w:bottom w:val="single" w:sz="4" w:space="0" w:color="7F7F7F"/>
            </w:tcBorders>
            <w:shd w:val="clear" w:color="auto" w:fill="auto"/>
            <w:vAlign w:val="center"/>
          </w:tcPr>
          <w:p w14:paraId="2250CF09" w14:textId="10D0A7AA" w:rsidR="00EB0507" w:rsidRPr="005E5A74" w:rsidRDefault="00EB0507" w:rsidP="005C4117">
            <w:pPr>
              <w:spacing w:after="0"/>
              <w:rPr>
                <w:rFonts w:ascii="Times New Roman" w:eastAsiaTheme="majorEastAsia" w:hAnsi="Times New Roman" w:cstheme="majorBidi"/>
                <w:i/>
                <w:iCs/>
                <w:color w:val="243F60" w:themeColor="accent1" w:themeShade="7F"/>
              </w:rPr>
            </w:pPr>
            <w:r w:rsidRPr="005E5A74">
              <w:rPr>
                <w:rFonts w:ascii="Times New Roman" w:hAnsi="Times New Roman"/>
              </w:rPr>
              <w:fldChar w:fldCharType="begin" w:fldLock="1"/>
            </w:r>
            <w:r w:rsidR="00F755B8" w:rsidRPr="005E5A74">
              <w:rPr>
                <w:rFonts w:ascii="Times New Roman" w:hAnsi="Times New Roman"/>
              </w:rPr>
              <w:instrText>ADDIN CSL_CITATION { "citationItems" : [ { "id" : "ITEM-1", "itemData" : { "author" : [ { "dropping-particle" : "", "family" : "Ar\u00e9valo", "given" : "Andrea", "non-dropping-particle" : "", "parse-names" : false, "suffix" : "" }, { "dropping-particle" : "", "family" : "Carranza", "given" : "Julio C\u00e9sar", "non-dropping-particle" : "", "parse-names" : false, "suffix" : "" }, { "dropping-particle" : "", "family" : "Guhl", "given" : "Felipe", "non-dropping-particle" : "", "parse-names" : false, "suffix" : "" }, { "dropping-particle" : "", "family" : "Clavijo", "given" : "Jairo Alfonso", "non-dropping-particle" : "", "parse-names" : false, "suffix" : "" }, { "dropping-particle" : "", "family" : "Vallejo", "given" : "Gustavo Adolfo", "non-dropping-particle" : "", "parse-names" : false, "suffix" : "" } ], "container-title" : "Biom\u00e9dica", "id" : "ITEM-1", "issue" : "1", "issued" : { "date-parts" : [ [ "2007" ] ] }, "page" : "119-129", "title" : "Comparaci\u00f3n del ciclo de vida de &lt;i&gt;Rhodnius colombiensis&lt;/i&gt; Moreno , Jurberg &amp; Galv\u00e3o , 1999 y &lt;i&gt;Rhodnius prolixus&lt;/i&gt; Stal , 1872 (Hemiptera, Reduviidae, Triatominae) en condiciones de laboratorio", "type" : "article-journal", "volume" : "27" }, "uris" : [ "http://www.mendeley.com/documents/?uuid=9f8e0cd0-7c8d-4d7d-9533-d0d1819b6d99", "http://www.mendeley.com/documents/?uuid=9aca5f84-2157-4fc7-924e-7c62703d28f3" ] } ], "mendeley" : { "formattedCitation" : "[2]", "plainTextFormattedCitation" : "[2]", "previouslyFormattedCitation" : "[2]" }, "properties" : { "noteIndex" : 0 }, "schema" : "https://github.com/citation-style-language/schema/raw/master/csl-citation.json" }</w:instrText>
            </w:r>
            <w:r w:rsidRPr="005E5A74">
              <w:rPr>
                <w:rFonts w:ascii="Times New Roman" w:hAnsi="Times New Roman"/>
              </w:rPr>
              <w:fldChar w:fldCharType="separate"/>
            </w:r>
            <w:r w:rsidR="00F755B8" w:rsidRPr="005E5A74">
              <w:rPr>
                <w:rFonts w:ascii="Times New Roman" w:hAnsi="Times New Roman"/>
                <w:noProof/>
              </w:rPr>
              <w:t>[2]</w:t>
            </w:r>
            <w:r w:rsidRPr="005E5A74">
              <w:rPr>
                <w:rFonts w:ascii="Times New Roman" w:hAnsi="Times New Roman"/>
              </w:rPr>
              <w:fldChar w:fldCharType="end"/>
            </w:r>
          </w:p>
        </w:tc>
      </w:tr>
      <w:tr w:rsidR="00EB0507" w:rsidRPr="005E5A74" w14:paraId="0A64985B" w14:textId="77777777" w:rsidTr="0000794F">
        <w:trPr>
          <w:jc w:val="center"/>
        </w:trPr>
        <w:tc>
          <w:tcPr>
            <w:tcW w:w="993" w:type="dxa"/>
            <w:shd w:val="clear" w:color="auto" w:fill="auto"/>
            <w:vAlign w:val="center"/>
          </w:tcPr>
          <w:p w14:paraId="131A33FD" w14:textId="77777777" w:rsidR="00EB0507" w:rsidRPr="005E5A74" w:rsidRDefault="00EB0507" w:rsidP="005C4117">
            <w:pPr>
              <w:spacing w:after="0"/>
              <w:rPr>
                <w:rFonts w:ascii="Times New Roman" w:eastAsiaTheme="majorEastAsia" w:hAnsi="Times New Roman" w:cstheme="majorBidi"/>
                <w:b/>
                <w:i/>
                <w:iCs/>
                <w:color w:val="243F60" w:themeColor="accent1" w:themeShade="7F"/>
              </w:rPr>
            </w:pPr>
            <w:r w:rsidRPr="005E5A74">
              <w:rPr>
                <w:rFonts w:ascii="Times New Roman" w:hAnsi="Times New Roman"/>
                <w:position w:val="-10"/>
              </w:rPr>
              <w:object w:dxaOrig="200" w:dyaOrig="260" w14:anchorId="7E5F276B">
                <v:shape id="_x0000_i1069" type="#_x0000_t75" style="width:10pt;height:13pt" o:ole="">
                  <v:imagedata r:id="rId95" o:title=""/>
                </v:shape>
                <o:OLEObject Type="Embed" ProgID="Equation.3" ShapeID="_x0000_i1069" DrawAspect="Content" ObjectID="_1413993368" r:id="rId96"/>
              </w:object>
            </w:r>
          </w:p>
        </w:tc>
        <w:tc>
          <w:tcPr>
            <w:tcW w:w="3289" w:type="dxa"/>
            <w:shd w:val="clear" w:color="auto" w:fill="auto"/>
            <w:vAlign w:val="center"/>
          </w:tcPr>
          <w:p w14:paraId="6F4931B8" w14:textId="77777777" w:rsidR="00EB0507" w:rsidRPr="005E5A74" w:rsidRDefault="00EB0507" w:rsidP="00916B68">
            <w:pPr>
              <w:spacing w:after="0"/>
              <w:rPr>
                <w:rFonts w:ascii="Times New Roman" w:hAnsi="Times New Roman"/>
              </w:rPr>
            </w:pPr>
            <w:r w:rsidRPr="005E5A74">
              <w:rPr>
                <w:rFonts w:ascii="Times New Roman" w:hAnsi="Times New Roman"/>
              </w:rPr>
              <w:t>Residency time from nymph to adult</w:t>
            </w:r>
          </w:p>
        </w:tc>
        <w:tc>
          <w:tcPr>
            <w:tcW w:w="1843" w:type="dxa"/>
            <w:shd w:val="clear" w:color="auto" w:fill="auto"/>
            <w:vAlign w:val="center"/>
          </w:tcPr>
          <w:p w14:paraId="6605649D" w14:textId="77777777" w:rsidR="00EB0507" w:rsidRPr="005E5A74" w:rsidRDefault="00EB0507" w:rsidP="005C4117">
            <w:pPr>
              <w:spacing w:after="0"/>
              <w:rPr>
                <w:rFonts w:ascii="Times New Roman" w:eastAsiaTheme="majorEastAsia" w:hAnsi="Times New Roman" w:cstheme="majorBidi"/>
                <w:i/>
                <w:iCs/>
                <w:color w:val="243F60" w:themeColor="accent1" w:themeShade="7F"/>
              </w:rPr>
            </w:pPr>
            <w:r w:rsidRPr="005E5A74">
              <w:rPr>
                <w:position w:val="-10"/>
              </w:rPr>
              <w:object w:dxaOrig="440" w:dyaOrig="320" w14:anchorId="23783A72">
                <v:shape id="_x0000_i1070" type="#_x0000_t75" style="width:21pt;height:16pt" o:ole="">
                  <v:imagedata r:id="rId97" o:title=""/>
                </v:shape>
                <o:OLEObject Type="Embed" ProgID="Equation.3" ShapeID="_x0000_i1070" DrawAspect="Content" ObjectID="_1413993369" r:id="rId98"/>
              </w:object>
            </w:r>
          </w:p>
        </w:tc>
        <w:tc>
          <w:tcPr>
            <w:tcW w:w="1781" w:type="dxa"/>
            <w:shd w:val="clear" w:color="auto" w:fill="auto"/>
            <w:vAlign w:val="center"/>
          </w:tcPr>
          <w:p w14:paraId="77F1D624" w14:textId="77777777" w:rsidR="00EB0507" w:rsidRPr="005E5A74" w:rsidRDefault="00EB0507" w:rsidP="005C4117">
            <w:pPr>
              <w:spacing w:after="0"/>
              <w:rPr>
                <w:rFonts w:ascii="Times New Roman" w:eastAsiaTheme="majorEastAsia" w:hAnsi="Times New Roman" w:cstheme="majorBidi"/>
                <w:i/>
                <w:iCs/>
                <w:color w:val="243F60" w:themeColor="accent1" w:themeShade="7F"/>
              </w:rPr>
            </w:pPr>
            <w:r w:rsidRPr="005E5A74">
              <w:rPr>
                <w:rFonts w:ascii="Times New Roman" w:hAnsi="Times New Roman"/>
              </w:rPr>
              <w:t>211</w:t>
            </w:r>
          </w:p>
        </w:tc>
        <w:tc>
          <w:tcPr>
            <w:tcW w:w="821" w:type="dxa"/>
            <w:shd w:val="clear" w:color="auto" w:fill="auto"/>
            <w:vAlign w:val="center"/>
          </w:tcPr>
          <w:p w14:paraId="13B10DA1" w14:textId="73DCFA8D" w:rsidR="00EB0507" w:rsidRPr="005E5A74" w:rsidRDefault="00EB0507" w:rsidP="005C4117">
            <w:pPr>
              <w:spacing w:after="0"/>
              <w:rPr>
                <w:rFonts w:ascii="Times New Roman" w:eastAsiaTheme="majorEastAsia" w:hAnsi="Times New Roman" w:cstheme="majorBidi"/>
                <w:i/>
                <w:iCs/>
                <w:color w:val="243F60" w:themeColor="accent1" w:themeShade="7F"/>
              </w:rPr>
            </w:pPr>
            <w:r w:rsidRPr="005E5A74">
              <w:rPr>
                <w:rFonts w:ascii="Times New Roman" w:hAnsi="Times New Roman"/>
              </w:rPr>
              <w:fldChar w:fldCharType="begin" w:fldLock="1"/>
            </w:r>
            <w:r w:rsidR="00F755B8" w:rsidRPr="005E5A74">
              <w:rPr>
                <w:rFonts w:ascii="Times New Roman" w:hAnsi="Times New Roman"/>
              </w:rPr>
              <w:instrText>ADDIN CSL_CITATION { "citationItems" : [ { "id" : "ITEM-1", "itemData" : { "author" : [ { "dropping-particle" : "", "family" : "Ar\u00e9valo", "given" : "Andrea", "non-dropping-particle" : "", "parse-names" : false, "suffix" : "" }, { "dropping-particle" : "", "family" : "Carranza", "given" : "Julio C\u00e9sar", "non-dropping-particle" : "", "parse-names" : false, "suffix" : "" }, { "dropping-particle" : "", "family" : "Guhl", "given" : "Felipe", "non-dropping-particle" : "", "parse-names" : false, "suffix" : "" }, { "dropping-particle" : "", "family" : "Clavijo", "given" : "Jairo Alfonso", "non-dropping-particle" : "", "parse-names" : false, "suffix" : "" }, { "dropping-particle" : "", "family" : "Vallejo", "given" : "Gustavo Adolfo", "non-dropping-particle" : "", "parse-names" : false, "suffix" : "" } ], "container-title" : "Biom\u00e9dica", "id" : "ITEM-1", "issue" : "1", "issued" : { "date-parts" : [ [ "2007" ] ] }, "page" : "119-129", "title" : "Comparaci\u00f3n del ciclo de vida de &lt;i&gt;Rhodnius colombiensis&lt;/i&gt; Moreno , Jurberg &amp; Galv\u00e3o , 1999 y &lt;i&gt;Rhodnius prolixus&lt;/i&gt; Stal , 1872 (Hemiptera, Reduviidae, Triatominae) en condiciones de laboratorio", "type" : "article-journal", "volume" : "27" }, "uris" : [ "http://www.mendeley.com/documents/?uuid=9f8e0cd0-7c8d-4d7d-9533-d0d1819b6d99", "http://www.mendeley.com/documents/?uuid=9aca5f84-2157-4fc7-924e-7c62703d28f3" ] } ], "mendeley" : { "formattedCitation" : "[2]", "plainTextFormattedCitation" : "[2]", "previouslyFormattedCitation" : "[2]" }, "properties" : { "noteIndex" : 0 }, "schema" : "https://github.com/citation-style-language/schema/raw/master/csl-citation.json" }</w:instrText>
            </w:r>
            <w:r w:rsidRPr="005E5A74">
              <w:rPr>
                <w:rFonts w:ascii="Times New Roman" w:hAnsi="Times New Roman"/>
              </w:rPr>
              <w:fldChar w:fldCharType="separate"/>
            </w:r>
            <w:r w:rsidR="00F755B8" w:rsidRPr="005E5A74">
              <w:rPr>
                <w:rFonts w:ascii="Times New Roman" w:hAnsi="Times New Roman"/>
                <w:noProof/>
              </w:rPr>
              <w:t>[2]</w:t>
            </w:r>
            <w:r w:rsidRPr="005E5A74">
              <w:rPr>
                <w:rFonts w:ascii="Times New Roman" w:hAnsi="Times New Roman"/>
              </w:rPr>
              <w:fldChar w:fldCharType="end"/>
            </w:r>
          </w:p>
        </w:tc>
      </w:tr>
      <w:tr w:rsidR="00EB0507" w:rsidRPr="005E5A74" w14:paraId="577EA2FA" w14:textId="77777777" w:rsidTr="0000794F">
        <w:trPr>
          <w:jc w:val="center"/>
        </w:trPr>
        <w:tc>
          <w:tcPr>
            <w:tcW w:w="993" w:type="dxa"/>
            <w:tcBorders>
              <w:top w:val="single" w:sz="4" w:space="0" w:color="7F7F7F"/>
              <w:bottom w:val="single" w:sz="4" w:space="0" w:color="7F7F7F"/>
            </w:tcBorders>
            <w:shd w:val="clear" w:color="auto" w:fill="auto"/>
            <w:vAlign w:val="center"/>
          </w:tcPr>
          <w:p w14:paraId="50359DBE" w14:textId="77777777" w:rsidR="00EB0507" w:rsidRPr="005E5A74" w:rsidRDefault="00EB0507" w:rsidP="005C4117">
            <w:pPr>
              <w:spacing w:after="0"/>
              <w:rPr>
                <w:rFonts w:ascii="Times New Roman" w:eastAsiaTheme="majorEastAsia" w:hAnsi="Times New Roman" w:cstheme="majorBidi"/>
                <w:b/>
                <w:i/>
                <w:iCs/>
                <w:color w:val="243F60" w:themeColor="accent1" w:themeShade="7F"/>
              </w:rPr>
            </w:pPr>
            <w:r w:rsidRPr="005E5A74">
              <w:rPr>
                <w:rFonts w:ascii="Times New Roman" w:hAnsi="Times New Roman"/>
                <w:position w:val="-12"/>
              </w:rPr>
              <w:object w:dxaOrig="320" w:dyaOrig="360" w14:anchorId="5666E395">
                <v:shape id="_x0000_i1071" type="#_x0000_t75" style="width:16pt;height:18pt" o:ole="">
                  <v:imagedata r:id="rId99" o:title=""/>
                </v:shape>
                <o:OLEObject Type="Embed" ProgID="Equation.3" ShapeID="_x0000_i1071" DrawAspect="Content" ObjectID="_1413993370" r:id="rId100"/>
              </w:object>
            </w:r>
          </w:p>
        </w:tc>
        <w:tc>
          <w:tcPr>
            <w:tcW w:w="3289" w:type="dxa"/>
            <w:tcBorders>
              <w:top w:val="single" w:sz="4" w:space="0" w:color="7F7F7F"/>
              <w:bottom w:val="single" w:sz="4" w:space="0" w:color="7F7F7F"/>
            </w:tcBorders>
            <w:shd w:val="clear" w:color="auto" w:fill="auto"/>
            <w:vAlign w:val="center"/>
          </w:tcPr>
          <w:p w14:paraId="33F17530" w14:textId="77777777" w:rsidR="00EB0507" w:rsidRPr="005E5A74" w:rsidRDefault="00EB0507" w:rsidP="00916B68">
            <w:pPr>
              <w:spacing w:after="0"/>
              <w:rPr>
                <w:rFonts w:ascii="Times New Roman" w:hAnsi="Times New Roman"/>
                <w:i/>
              </w:rPr>
            </w:pPr>
            <w:r w:rsidRPr="005E5A74">
              <w:rPr>
                <w:rFonts w:ascii="Times New Roman" w:hAnsi="Times New Roman"/>
              </w:rPr>
              <w:t xml:space="preserve">Carrying capacity in patch </w:t>
            </w:r>
            <w:r w:rsidRPr="005E5A74">
              <w:rPr>
                <w:position w:val="-6"/>
              </w:rPr>
              <w:object w:dxaOrig="139" w:dyaOrig="260" w14:anchorId="44359F80">
                <v:shape id="_x0000_i1072" type="#_x0000_t75" style="width:7pt;height:13pt" o:ole="">
                  <v:imagedata r:id="rId101" o:title=""/>
                </v:shape>
                <o:OLEObject Type="Embed" ProgID="Equation.3" ShapeID="_x0000_i1072" DrawAspect="Content" ObjectID="_1413993371" r:id="rId102"/>
              </w:object>
            </w:r>
          </w:p>
        </w:tc>
        <w:tc>
          <w:tcPr>
            <w:tcW w:w="1843" w:type="dxa"/>
            <w:tcBorders>
              <w:top w:val="single" w:sz="4" w:space="0" w:color="7F7F7F"/>
              <w:bottom w:val="single" w:sz="4" w:space="0" w:color="7F7F7F"/>
            </w:tcBorders>
            <w:shd w:val="clear" w:color="auto" w:fill="auto"/>
            <w:vAlign w:val="center"/>
          </w:tcPr>
          <w:p w14:paraId="5129933E" w14:textId="77777777" w:rsidR="00EB0507" w:rsidRPr="005E5A74" w:rsidRDefault="00EB0507" w:rsidP="005C4117">
            <w:pPr>
              <w:spacing w:after="0"/>
              <w:rPr>
                <w:rFonts w:ascii="Times New Roman" w:eastAsiaTheme="majorEastAsia" w:hAnsi="Times New Roman" w:cstheme="majorBidi"/>
                <w:i/>
                <w:iCs/>
                <w:color w:val="243F60" w:themeColor="accent1" w:themeShade="7F"/>
              </w:rPr>
            </w:pPr>
            <w:r w:rsidRPr="005E5A74">
              <w:rPr>
                <w:position w:val="-6"/>
              </w:rPr>
              <w:object w:dxaOrig="1060" w:dyaOrig="279" w14:anchorId="5834B935">
                <v:shape id="_x0000_i1073" type="#_x0000_t75" style="width:52pt;height:14pt" o:ole="">
                  <v:imagedata r:id="rId103" o:title=""/>
                </v:shape>
                <o:OLEObject Type="Embed" ProgID="Equation.3" ShapeID="_x0000_i1073" DrawAspect="Content" ObjectID="_1413993372" r:id="rId104"/>
              </w:object>
            </w:r>
          </w:p>
        </w:tc>
        <w:tc>
          <w:tcPr>
            <w:tcW w:w="1781" w:type="dxa"/>
            <w:tcBorders>
              <w:top w:val="single" w:sz="4" w:space="0" w:color="7F7F7F"/>
              <w:bottom w:val="single" w:sz="4" w:space="0" w:color="7F7F7F"/>
            </w:tcBorders>
            <w:shd w:val="clear" w:color="auto" w:fill="auto"/>
            <w:vAlign w:val="center"/>
          </w:tcPr>
          <w:p w14:paraId="4302A570" w14:textId="77777777" w:rsidR="00EB0507" w:rsidRPr="005E5A74" w:rsidRDefault="00EB0507" w:rsidP="005C4117">
            <w:pPr>
              <w:spacing w:after="0"/>
              <w:rPr>
                <w:rFonts w:ascii="Times New Roman" w:eastAsiaTheme="majorEastAsia" w:hAnsi="Times New Roman" w:cstheme="majorBidi"/>
                <w:i/>
                <w:iCs/>
                <w:color w:val="243F60" w:themeColor="accent1" w:themeShade="7F"/>
              </w:rPr>
            </w:pPr>
            <w:r w:rsidRPr="005E5A74">
              <w:rPr>
                <w:rFonts w:ascii="Times New Roman" w:hAnsi="Times New Roman"/>
              </w:rPr>
              <w:t xml:space="preserve">Palms: 20 </w:t>
            </w:r>
          </w:p>
          <w:p w14:paraId="57919373" w14:textId="4AFEF54B" w:rsidR="00EB0507" w:rsidRPr="005E5A74" w:rsidRDefault="00EB0507" w:rsidP="005C4117">
            <w:pPr>
              <w:spacing w:after="0"/>
              <w:rPr>
                <w:rFonts w:ascii="Times New Roman" w:eastAsiaTheme="majorEastAsia" w:hAnsi="Times New Roman" w:cstheme="majorBidi"/>
                <w:i/>
                <w:iCs/>
                <w:color w:val="243F60" w:themeColor="accent1" w:themeShade="7F"/>
                <w:vertAlign w:val="superscript"/>
              </w:rPr>
            </w:pPr>
            <w:r w:rsidRPr="005E5A74">
              <w:rPr>
                <w:rFonts w:ascii="Times New Roman" w:hAnsi="Times New Roman"/>
              </w:rPr>
              <w:t>Houses: 1</w:t>
            </w:r>
            <w:r w:rsidR="00916B68" w:rsidRPr="005E5A74">
              <w:rPr>
                <w:rFonts w:ascii="Times New Roman" w:hAnsi="Times New Roman"/>
              </w:rPr>
              <w:t xml:space="preserve"> </w:t>
            </w:r>
            <w:r w:rsidR="00916B68" w:rsidRPr="005E5A74">
              <w:rPr>
                <w:rFonts w:ascii="Times New Roman" w:hAnsi="Times New Roman" w:cs="Times New Roman"/>
              </w:rPr>
              <w:t xml:space="preserve">× </w:t>
            </w:r>
            <w:r w:rsidRPr="005E5A74">
              <w:rPr>
                <w:rFonts w:ascii="Times New Roman" w:hAnsi="Times New Roman"/>
              </w:rPr>
              <w:t>10</w:t>
            </w:r>
            <w:r w:rsidRPr="005E5A74">
              <w:rPr>
                <w:rFonts w:ascii="Times New Roman" w:hAnsi="Times New Roman"/>
                <w:vertAlign w:val="superscript"/>
              </w:rPr>
              <w:t>-3</w:t>
            </w:r>
          </w:p>
        </w:tc>
        <w:tc>
          <w:tcPr>
            <w:tcW w:w="821" w:type="dxa"/>
            <w:tcBorders>
              <w:top w:val="single" w:sz="4" w:space="0" w:color="7F7F7F"/>
              <w:bottom w:val="single" w:sz="4" w:space="0" w:color="7F7F7F"/>
            </w:tcBorders>
            <w:shd w:val="clear" w:color="auto" w:fill="auto"/>
            <w:vAlign w:val="center"/>
          </w:tcPr>
          <w:p w14:paraId="06D293D9" w14:textId="76E196D2" w:rsidR="00EB0507" w:rsidRPr="005E5A74" w:rsidRDefault="00EB0507" w:rsidP="005C4117">
            <w:pPr>
              <w:spacing w:after="0"/>
              <w:rPr>
                <w:rFonts w:ascii="Times New Roman" w:eastAsiaTheme="majorEastAsia" w:hAnsi="Times New Roman" w:cstheme="majorBidi"/>
                <w:i/>
                <w:iCs/>
                <w:color w:val="243F60" w:themeColor="accent1" w:themeShade="7F"/>
              </w:rPr>
            </w:pPr>
            <w:r w:rsidRPr="005E5A74">
              <w:rPr>
                <w:rFonts w:ascii="Times New Roman" w:hAnsi="Times New Roman"/>
              </w:rPr>
              <w:fldChar w:fldCharType="begin" w:fldLock="1"/>
            </w:r>
            <w:r w:rsidR="00F755B8" w:rsidRPr="005E5A74">
              <w:rPr>
                <w:rFonts w:ascii="Times New Roman" w:hAnsi="Times New Roman"/>
              </w:rPr>
              <w:instrText>ADDIN CSL_CITATION { "citationItems" : [ { "id" : "ITEM-1", "itemData" : { "DOI" : "10.7705/biomedica.v32i2.430", "ISSN" : "0120-4157", "PMID" : "23242302", "abstract" : "Introducci\u00f3n. La presencia de Rhodnius prolixus en palmas en los Llanos Orientales, zona de alto riesgo para la infecci\u00f3n por Trypanosoma cruzi, y su frecuente visita al intradomicilio, hacen necesario confirmar este h\u00e1bitat como posible fuente de infestaci\u00f3n. Objetivo. Comprobar la infestaci\u00f3n por R. prolixus en Attalea butyracea pr\u00f3ximas a viviendas en los Llanos Orientales. Materiales y m\u00e9todos. Se examinaron palmas pr\u00f3ximas a las viviendas rurales en los departamentos de Casanare y Arauca, utilizando trampas con cebo vivo, y mediante b\u00fasqueda activa y vigilancia comunitaria, se recolectaron triatominos en el intradomicilio. Con criterios morfol\u00f3gicos se determin\u00f3 la especie recolectada y con la t\u00e9cnica de PCR se estableci\u00f3 la infecci\u00f3n natural. Resultados. Se recolectaron 529 ninfas y adultos de R. prolixus y 5 ninfas de Eratyrus mucronatus en 111/172 (64,53 %) A. butyracea ubicadas a menos de 500 m de las viviendas. En el mismo periodo se recolectaron en el intradomicilio 132 R. prolixus y espec\u00edmenes de Psammolestes arthuri, Cavernicola pilosa, Triatoma maculata, Panstrongylus geniculatus y 20 ninfas de E. mucronatus en un c\u00famulo de adobes en el corredor de una vivienda. Se detect\u00f3 infecci\u00f3n natural por T. cruzi en 28,76 % de R. prolixus de palmas y 30 % del intradomicilio. Conclusiones. Los resultados del presente estudio revelan una nueva situaci\u00f3n epidemiol\u00f3gica de transmisi\u00f3n de la enfermedad de Chagas, caracterizada por las altas tasas de infestaci\u00f3n de R. prolixus en palmas pr\u00f3ximas a viviendas y su frecuente intrusi\u00f3n; su impacto debe ser evaluado para dise\u00f1ar medidas de prevenci\u00f3n de la enfermedad.", "author" : [ { "dropping-particle" : "", "family" : "Angulo", "given" : "V\u00edctor Manuel", "non-dropping-particle" : "", "parse-names" : false, "suffix" : "" }, { "dropping-particle" : "", "family" : "Esteban", "given" : "Lyda", "non-dropping-particle" : "", "parse-names" : false, "suffix" : "" }, { "dropping-particle" : "", "family" : "Luna", "given" : "Katherine Paola", "non-dropping-particle" : "", "parse-names" : false, "suffix" : "" } ], "container-title" : "Biom\u00e9dica", "id" : "ITEM-1", "issue" : "2", "issued" : { "date-parts" : [ [ "2012" ] ] }, "page" : "277-285", "title" : "Attalea butyracea pr\u00f3ximas a las viviendas como posible fuente de infestaci\u00f3n domiciliaria por Rhodnius prolixus (Hemiptera: Reduviidae) en los Llanos Orientales de Colombia", "type" : "article-journal", "volume" : "32" }, "uris" : [ "http://www.mendeley.com/documents/?uuid=80652106-7c4e-46ff-8b73-13a303ffc36f", "http://www.mendeley.com/documents/?uuid=7ef4581f-d21f-4817-bd76-7e535901ee61" ] }, { "id" : "ITEM-2", "itemData" : { "DOI" : "10.1590/0074-02760140403", "ISSN" : "0074-0276", "PMID" : "25830543", "abstract" : "Rhodnius prolixus, a blood-sucking triatomine with domiciliary anthropophilic habits, is the main vector of Chagas disease. The current paradigm of Trypanosoma cruzi transmission in Columbia includes a sylvatic and domiciliary cycle co-existing with domestic and sylvatic populations of reservoirs. The aim of this study is to evaluate the population densities and relative abundance of triatomines and mammals that may be involved in the sylvatic cycle of Chagas disease to clarify the epidemiological scenario in an endemic area in the province of Casanare. Insect vectors on Attalea butyracea palms were captured using both manual searches and bait traps. The capture of mammals was performed using Sherman and Tomahawk traps. We report an infestation index of 88.5% in 148 palms and an index of T. cruzi natural infection of 60.2% in 269 dissected insects and 11.9% in 160 captured mammals. High population densities of triatomines were observed in the sylvatic environment and there was a high relative abundance of reservoirs in the area, suggesting a stable enzootic cycle. We found no evidence of insect domiciliation. Taken together, these observations suggest that eco-epidemiological factors shape the transmission dynamics of T. cruzi, creating diverse scenarios of disease transmission.", "author" : [ { "dropping-particle" : "", "family" : "Rend\u00f3n", "given" : "Lina Mar\u00eda", "non-dropping-particle" : "", "parse-names" : false, "suffix" : "" }, { "dropping-particle" : "", "family" : "Guhl", "given" : "Felipe", "non-dropping-particle" : "", "parse-names" : false, "suffix" : "" }, { "dropping-particle" : "", "family" : "Cordovez", "given" : "Juan Manuel", "non-dropping-particle" : "", "parse-names" : false, "suffix" : "" }, { "dropping-particle" : "", "family" : "Erazo", "given" : "Diana", "non-dropping-particle" : "", "parse-names" : false, "suffix" : "" } ], "container-title" : "Mem\u00f3rias do Instituto Oswaldo Cruz.", "id" : "ITEM-2", "issued" : { "date-parts" : [ [ "2015" ] ] }, "page" : "1-6", "title" : "New scenarios of Trypanosoma cruzi transmission in the Orinoco region of Colombia.", "type" : "article-journal" }, "uris" : [ "http://www.mendeley.com/documents/?uuid=062f2703-a5c7-4418-932c-51dcee4f509f", "http://www.mendeley.com/documents/?uuid=e0884ab1-5b5d-4b60-9a39-bc417c39c832", "http://www.mendeley.com/documents/?uuid=cd10844e-a38c-41f4-9522-6cec995e55f9" ] }, { "id" : "ITEM-3", "itemData" : { "DOI" : "10.1186/s13071-015-1209-3", "ISSN" : "1756-3305", "author" : [ { "dropping-particle" : "", "family" : "J\u00e1come-Pinilla", "given" : "David", "non-dropping-particle" : "", "parse-names" : false, "suffix" : "" }, { "dropping-particle" : "", "family" : "Hincapie-Pe\u00f1aloza", "given" : "Eduwin", "non-dropping-particle" : "", "parse-names" : false, "suffix" : "" }, { "dropping-particle" : "", "family" : "Ortiz", "given" : "Mario I.", "non-dropping-particle" : "", "parse-names" : false, "suffix" : "" }, { "dropping-particle" : "", "family" : "Ram\u00edrez", "given" : "Juan David", "non-dropping-particle" : "", "parse-names" : false, "suffix" : "" }, { "dropping-particle" : "", "family" : "Guhl", "given" : "Felipe", "non-dropping-particle" : "", "parse-names" : false, "suffix" : "" }, { "dropping-particle" : "", "family" : "Molina", "given" : "Jorge", "non-dropping-particle" : "", "parse-names" : false, "suffix" : "" } ], "container-title" : "Parasites &amp; Vectors", "id" : "ITEM-3", "issue" : "1", "issued" : { "date-parts" : [ [ "2015" ] ] }, "page" : "600", "publisher" : "Parasites &amp; Vectors", "title" : "Risks associated with dispersive nocturnal flights of sylvatic Triatominae to artificial lights in a model house in the northeastern plains of Colombia", "type" : "article-journal", "volume" : "8" }, "uris" : [ "http://www.mendeley.com/documents/?uuid=e28648a0-044f-4e48-a10b-fe1261eafeeb" ] } ], "mendeley" : { "formattedCitation" : "[4\u20136]", "plainTextFormattedCitation" : "[4\u20136]", "previouslyFormattedCitation" : "[4\u20136]" }, "properties" : { "noteIndex" : 0 }, "schema" : "https://github.com/citation-style-language/schema/raw/master/csl-citation.json" }</w:instrText>
            </w:r>
            <w:r w:rsidRPr="005E5A74">
              <w:rPr>
                <w:rFonts w:ascii="Times New Roman" w:hAnsi="Times New Roman"/>
              </w:rPr>
              <w:fldChar w:fldCharType="separate"/>
            </w:r>
            <w:r w:rsidR="00F755B8" w:rsidRPr="005E5A74">
              <w:rPr>
                <w:rFonts w:ascii="Times New Roman" w:hAnsi="Times New Roman"/>
                <w:noProof/>
              </w:rPr>
              <w:t>[4–6]</w:t>
            </w:r>
            <w:r w:rsidRPr="005E5A74">
              <w:rPr>
                <w:rFonts w:ascii="Times New Roman" w:hAnsi="Times New Roman"/>
              </w:rPr>
              <w:fldChar w:fldCharType="end"/>
            </w:r>
          </w:p>
        </w:tc>
      </w:tr>
      <w:tr w:rsidR="00EB0507" w:rsidRPr="005E5A74" w14:paraId="5FA48E87" w14:textId="77777777" w:rsidTr="0000794F">
        <w:trPr>
          <w:jc w:val="center"/>
        </w:trPr>
        <w:tc>
          <w:tcPr>
            <w:tcW w:w="993" w:type="dxa"/>
            <w:shd w:val="clear" w:color="auto" w:fill="auto"/>
            <w:vAlign w:val="center"/>
          </w:tcPr>
          <w:p w14:paraId="303F4509" w14:textId="77777777" w:rsidR="00EB0507" w:rsidRPr="005E5A74" w:rsidRDefault="00EB0507" w:rsidP="005C4117">
            <w:pPr>
              <w:spacing w:after="0"/>
              <w:rPr>
                <w:rFonts w:ascii="Times New Roman" w:eastAsiaTheme="majorEastAsia" w:hAnsi="Times New Roman" w:cstheme="majorBidi"/>
                <w:b/>
                <w:i/>
                <w:iCs/>
                <w:color w:val="243F60" w:themeColor="accent1" w:themeShade="7F"/>
                <w:vertAlign w:val="subscript"/>
              </w:rPr>
            </w:pPr>
            <w:r w:rsidRPr="005E5A74">
              <w:rPr>
                <w:position w:val="-6"/>
              </w:rPr>
              <w:object w:dxaOrig="240" w:dyaOrig="220" w14:anchorId="79B1F992">
                <v:shape id="_x0000_i1074" type="#_x0000_t75" style="width:12pt;height:11pt" o:ole="">
                  <v:imagedata r:id="rId105" o:title=""/>
                </v:shape>
                <o:OLEObject Type="Embed" ProgID="Equation.3" ShapeID="_x0000_i1074" DrawAspect="Content" ObjectID="_1413993373" r:id="rId106"/>
              </w:object>
            </w:r>
          </w:p>
        </w:tc>
        <w:tc>
          <w:tcPr>
            <w:tcW w:w="3289" w:type="dxa"/>
            <w:shd w:val="clear" w:color="auto" w:fill="auto"/>
            <w:vAlign w:val="center"/>
          </w:tcPr>
          <w:p w14:paraId="0648398C" w14:textId="77777777" w:rsidR="00EB0507" w:rsidRPr="005E5A74" w:rsidRDefault="00EB0507" w:rsidP="00916B68">
            <w:pPr>
              <w:spacing w:after="0"/>
              <w:rPr>
                <w:rFonts w:ascii="Times New Roman" w:hAnsi="Times New Roman"/>
              </w:rPr>
            </w:pPr>
            <w:r w:rsidRPr="005E5A74">
              <w:rPr>
                <w:rFonts w:ascii="Times New Roman" w:hAnsi="Times New Roman"/>
              </w:rPr>
              <w:t>Maximum per capita migration rate</w:t>
            </w:r>
          </w:p>
        </w:tc>
        <w:tc>
          <w:tcPr>
            <w:tcW w:w="1843" w:type="dxa"/>
            <w:shd w:val="clear" w:color="auto" w:fill="auto"/>
            <w:vAlign w:val="center"/>
          </w:tcPr>
          <w:p w14:paraId="1BD46A15" w14:textId="77777777" w:rsidR="00EB0507" w:rsidRPr="005E5A74" w:rsidRDefault="00EB0507" w:rsidP="005C4117">
            <w:pPr>
              <w:spacing w:after="0"/>
              <w:rPr>
                <w:rFonts w:ascii="Times New Roman" w:eastAsiaTheme="majorEastAsia" w:hAnsi="Times New Roman" w:cstheme="majorBidi"/>
                <w:i/>
                <w:iCs/>
                <w:color w:val="243F60" w:themeColor="accent1" w:themeShade="7F"/>
              </w:rPr>
            </w:pPr>
            <w:r w:rsidRPr="005E5A74">
              <w:rPr>
                <w:position w:val="-30"/>
              </w:rPr>
              <w:object w:dxaOrig="1579" w:dyaOrig="680" w14:anchorId="3BC055A4">
                <v:shape id="_x0000_i1075" type="#_x0000_t75" style="width:77pt;height:34pt" o:ole="">
                  <v:imagedata r:id="rId107" o:title=""/>
                </v:shape>
                <o:OLEObject Type="Embed" ProgID="Equation.3" ShapeID="_x0000_i1075" DrawAspect="Content" ObjectID="_1413993374" r:id="rId108"/>
              </w:object>
            </w:r>
          </w:p>
        </w:tc>
        <w:tc>
          <w:tcPr>
            <w:tcW w:w="1781" w:type="dxa"/>
            <w:shd w:val="clear" w:color="auto" w:fill="auto"/>
            <w:vAlign w:val="center"/>
          </w:tcPr>
          <w:p w14:paraId="3EF66046" w14:textId="77777777" w:rsidR="00EB0507" w:rsidRPr="005E5A74" w:rsidRDefault="00EB0507" w:rsidP="005C4117">
            <w:pPr>
              <w:spacing w:after="0"/>
              <w:rPr>
                <w:rFonts w:ascii="Times New Roman" w:eastAsiaTheme="majorEastAsia" w:hAnsi="Times New Roman" w:cstheme="majorBidi"/>
                <w:i/>
                <w:iCs/>
                <w:color w:val="243F60" w:themeColor="accent1" w:themeShade="7F"/>
              </w:rPr>
            </w:pPr>
            <w:r w:rsidRPr="005E5A74">
              <w:rPr>
                <w:rFonts w:ascii="Times New Roman" w:hAnsi="Times New Roman"/>
              </w:rPr>
              <w:t>0.1</w:t>
            </w:r>
          </w:p>
        </w:tc>
        <w:tc>
          <w:tcPr>
            <w:tcW w:w="821" w:type="dxa"/>
            <w:shd w:val="clear" w:color="auto" w:fill="auto"/>
            <w:vAlign w:val="center"/>
          </w:tcPr>
          <w:p w14:paraId="0CD8438F" w14:textId="77777777" w:rsidR="00EB0507" w:rsidRPr="005E5A74" w:rsidRDefault="00EB0507" w:rsidP="005C4117">
            <w:pPr>
              <w:spacing w:after="0"/>
              <w:rPr>
                <w:rFonts w:ascii="Times New Roman" w:eastAsiaTheme="majorEastAsia" w:hAnsi="Times New Roman" w:cstheme="majorBidi"/>
                <w:i/>
                <w:iCs/>
                <w:color w:val="243F60" w:themeColor="accent1" w:themeShade="7F"/>
              </w:rPr>
            </w:pPr>
            <w:r w:rsidRPr="005E5A74">
              <w:rPr>
                <w:rFonts w:ascii="Times New Roman" w:hAnsi="Times New Roman"/>
              </w:rPr>
              <w:t>-</w:t>
            </w:r>
          </w:p>
        </w:tc>
      </w:tr>
      <w:tr w:rsidR="00EB0507" w:rsidRPr="005E5A74" w14:paraId="6645C874" w14:textId="77777777" w:rsidTr="0000794F">
        <w:trPr>
          <w:jc w:val="center"/>
        </w:trPr>
        <w:tc>
          <w:tcPr>
            <w:tcW w:w="993" w:type="dxa"/>
            <w:tcBorders>
              <w:top w:val="single" w:sz="4" w:space="0" w:color="7F7F7F"/>
              <w:bottom w:val="single" w:sz="4" w:space="0" w:color="7F7F7F"/>
            </w:tcBorders>
            <w:shd w:val="clear" w:color="auto" w:fill="auto"/>
            <w:vAlign w:val="center"/>
          </w:tcPr>
          <w:p w14:paraId="46FCB91E" w14:textId="77777777" w:rsidR="00EB0507" w:rsidRPr="005E5A74" w:rsidRDefault="00EB0507" w:rsidP="005C4117">
            <w:pPr>
              <w:spacing w:after="0"/>
              <w:rPr>
                <w:rFonts w:ascii="Times New Roman" w:eastAsiaTheme="majorEastAsia" w:hAnsi="Times New Roman" w:cstheme="majorBidi"/>
                <w:b/>
                <w:i/>
                <w:iCs/>
                <w:color w:val="243F60" w:themeColor="accent1" w:themeShade="7F"/>
                <w:vertAlign w:val="subscript"/>
              </w:rPr>
            </w:pPr>
            <w:r w:rsidRPr="005E5A74">
              <w:rPr>
                <w:position w:val="-10"/>
              </w:rPr>
              <w:object w:dxaOrig="200" w:dyaOrig="260" w14:anchorId="5CA25B4E">
                <v:shape id="_x0000_i1076" type="#_x0000_t75" style="width:10pt;height:13pt" o:ole="">
                  <v:imagedata r:id="rId109" o:title=""/>
                </v:shape>
                <o:OLEObject Type="Embed" ProgID="Equation.3" ShapeID="_x0000_i1076" DrawAspect="Content" ObjectID="_1413993375" r:id="rId110"/>
              </w:object>
            </w:r>
          </w:p>
        </w:tc>
        <w:tc>
          <w:tcPr>
            <w:tcW w:w="3289" w:type="dxa"/>
            <w:tcBorders>
              <w:top w:val="single" w:sz="4" w:space="0" w:color="7F7F7F"/>
              <w:bottom w:val="single" w:sz="4" w:space="0" w:color="7F7F7F"/>
            </w:tcBorders>
            <w:shd w:val="clear" w:color="auto" w:fill="auto"/>
            <w:vAlign w:val="center"/>
          </w:tcPr>
          <w:p w14:paraId="68569933" w14:textId="77777777" w:rsidR="00EB0507" w:rsidRPr="005E5A74" w:rsidRDefault="00EB0507" w:rsidP="00916B68">
            <w:pPr>
              <w:spacing w:after="0"/>
              <w:rPr>
                <w:rFonts w:ascii="Times New Roman" w:hAnsi="Times New Roman"/>
              </w:rPr>
            </w:pPr>
            <w:r w:rsidRPr="005E5A74">
              <w:rPr>
                <w:rFonts w:ascii="Times New Roman" w:hAnsi="Times New Roman"/>
              </w:rPr>
              <w:t>Number of individuals at which half of the maximum per capita migration rate occurs</w:t>
            </w:r>
          </w:p>
        </w:tc>
        <w:tc>
          <w:tcPr>
            <w:tcW w:w="1843" w:type="dxa"/>
            <w:tcBorders>
              <w:top w:val="single" w:sz="4" w:space="0" w:color="7F7F7F"/>
              <w:bottom w:val="single" w:sz="4" w:space="0" w:color="7F7F7F"/>
            </w:tcBorders>
            <w:shd w:val="clear" w:color="auto" w:fill="auto"/>
            <w:vAlign w:val="center"/>
          </w:tcPr>
          <w:p w14:paraId="5D40298B" w14:textId="77777777" w:rsidR="00EB0507" w:rsidRPr="005E5A74" w:rsidRDefault="00EB0507" w:rsidP="005C4117">
            <w:pPr>
              <w:spacing w:after="0"/>
              <w:rPr>
                <w:rFonts w:ascii="Times New Roman" w:eastAsiaTheme="majorEastAsia" w:hAnsi="Times New Roman" w:cstheme="majorBidi"/>
                <w:i/>
                <w:iCs/>
                <w:color w:val="243F60" w:themeColor="accent1" w:themeShade="7F"/>
              </w:rPr>
            </w:pPr>
            <w:r w:rsidRPr="005E5A74">
              <w:rPr>
                <w:position w:val="-6"/>
              </w:rPr>
              <w:object w:dxaOrig="1060" w:dyaOrig="279" w14:anchorId="5B959A4C">
                <v:shape id="_x0000_i1077" type="#_x0000_t75" style="width:52pt;height:14pt" o:ole="">
                  <v:imagedata r:id="rId111" o:title=""/>
                </v:shape>
                <o:OLEObject Type="Embed" ProgID="Equation.3" ShapeID="_x0000_i1077" DrawAspect="Content" ObjectID="_1413993376" r:id="rId112"/>
              </w:object>
            </w:r>
          </w:p>
        </w:tc>
        <w:tc>
          <w:tcPr>
            <w:tcW w:w="1781" w:type="dxa"/>
            <w:tcBorders>
              <w:top w:val="single" w:sz="4" w:space="0" w:color="7F7F7F"/>
              <w:bottom w:val="single" w:sz="4" w:space="0" w:color="7F7F7F"/>
            </w:tcBorders>
            <w:shd w:val="clear" w:color="auto" w:fill="auto"/>
            <w:vAlign w:val="center"/>
          </w:tcPr>
          <w:p w14:paraId="0186A88B" w14:textId="32151AA2" w:rsidR="00EB0507" w:rsidRPr="005E5A74" w:rsidRDefault="00EB0507" w:rsidP="005C4117">
            <w:pPr>
              <w:spacing w:after="0"/>
              <w:rPr>
                <w:rFonts w:ascii="Times New Roman" w:eastAsiaTheme="majorEastAsia" w:hAnsi="Times New Roman" w:cstheme="majorBidi"/>
                <w:i/>
                <w:iCs/>
                <w:color w:val="243F60" w:themeColor="accent1" w:themeShade="7F"/>
                <w:vertAlign w:val="superscript"/>
              </w:rPr>
            </w:pPr>
            <w:r w:rsidRPr="005E5A74">
              <w:rPr>
                <w:rFonts w:ascii="Times New Roman" w:hAnsi="Times New Roman"/>
              </w:rPr>
              <w:t>1</w:t>
            </w:r>
            <w:r w:rsidR="00916B68" w:rsidRPr="005E5A74">
              <w:rPr>
                <w:rFonts w:ascii="Times New Roman" w:hAnsi="Times New Roman"/>
              </w:rPr>
              <w:t xml:space="preserve"> </w:t>
            </w:r>
            <w:r w:rsidR="00916B68" w:rsidRPr="005E5A74">
              <w:rPr>
                <w:rFonts w:ascii="Times New Roman" w:hAnsi="Times New Roman" w:cs="Times New Roman"/>
              </w:rPr>
              <w:t>×</w:t>
            </w:r>
            <w:r w:rsidR="00916B68" w:rsidRPr="005E5A74">
              <w:rPr>
                <w:rFonts w:ascii="Times New Roman" w:hAnsi="Times New Roman"/>
              </w:rPr>
              <w:t xml:space="preserve"> </w:t>
            </w:r>
            <w:r w:rsidRPr="005E5A74">
              <w:rPr>
                <w:rFonts w:ascii="Times New Roman" w:hAnsi="Times New Roman"/>
              </w:rPr>
              <w:t>10</w:t>
            </w:r>
            <w:r w:rsidRPr="005E5A74">
              <w:rPr>
                <w:rFonts w:ascii="Times New Roman" w:hAnsi="Times New Roman"/>
                <w:vertAlign w:val="superscript"/>
              </w:rPr>
              <w:t>-6</w:t>
            </w:r>
          </w:p>
        </w:tc>
        <w:tc>
          <w:tcPr>
            <w:tcW w:w="821" w:type="dxa"/>
            <w:tcBorders>
              <w:top w:val="single" w:sz="4" w:space="0" w:color="7F7F7F"/>
              <w:bottom w:val="single" w:sz="4" w:space="0" w:color="7F7F7F"/>
            </w:tcBorders>
            <w:shd w:val="clear" w:color="auto" w:fill="auto"/>
            <w:vAlign w:val="center"/>
          </w:tcPr>
          <w:p w14:paraId="25FC9751" w14:textId="77777777" w:rsidR="00EB0507" w:rsidRPr="005E5A74" w:rsidRDefault="00EB0507" w:rsidP="005C4117">
            <w:pPr>
              <w:spacing w:after="0"/>
              <w:rPr>
                <w:rFonts w:ascii="Times New Roman" w:eastAsiaTheme="majorEastAsia" w:hAnsi="Times New Roman" w:cstheme="majorBidi"/>
                <w:i/>
                <w:iCs/>
                <w:color w:val="243F60" w:themeColor="accent1" w:themeShade="7F"/>
              </w:rPr>
            </w:pPr>
            <w:r w:rsidRPr="005E5A74">
              <w:rPr>
                <w:rFonts w:ascii="Times New Roman" w:hAnsi="Times New Roman"/>
              </w:rPr>
              <w:t>-</w:t>
            </w:r>
          </w:p>
        </w:tc>
      </w:tr>
      <w:tr w:rsidR="00EB0507" w:rsidRPr="005E5A74" w14:paraId="5C7DFA02" w14:textId="77777777" w:rsidTr="0000794F">
        <w:trPr>
          <w:jc w:val="center"/>
        </w:trPr>
        <w:tc>
          <w:tcPr>
            <w:tcW w:w="993" w:type="dxa"/>
            <w:shd w:val="clear" w:color="auto" w:fill="auto"/>
            <w:vAlign w:val="center"/>
          </w:tcPr>
          <w:p w14:paraId="1E28012B" w14:textId="77777777" w:rsidR="00EB0507" w:rsidRPr="005E5A74" w:rsidRDefault="00EB0507" w:rsidP="005C4117">
            <w:pPr>
              <w:spacing w:after="0"/>
              <w:rPr>
                <w:rFonts w:ascii="Times New Roman" w:eastAsiaTheme="majorEastAsia" w:hAnsi="Times New Roman" w:cstheme="majorBidi"/>
                <w:b/>
                <w:bCs/>
                <w:i/>
                <w:iCs/>
                <w:color w:val="243F60" w:themeColor="accent1" w:themeShade="7F"/>
                <w:vertAlign w:val="subscript"/>
              </w:rPr>
            </w:pPr>
            <w:r w:rsidRPr="005E5A74">
              <w:rPr>
                <w:rFonts w:ascii="Times New Roman" w:hAnsi="Times New Roman"/>
                <w:position w:val="-14"/>
              </w:rPr>
              <w:object w:dxaOrig="340" w:dyaOrig="380" w14:anchorId="154D4315">
                <v:shape id="_x0000_i1078" type="#_x0000_t75" style="width:17pt;height:19pt" o:ole="">
                  <v:imagedata r:id="rId113" o:title=""/>
                </v:shape>
                <o:OLEObject Type="Embed" ProgID="Equation.3" ShapeID="_x0000_i1078" DrawAspect="Content" ObjectID="_1413993377" r:id="rId114"/>
              </w:object>
            </w:r>
          </w:p>
        </w:tc>
        <w:tc>
          <w:tcPr>
            <w:tcW w:w="3289" w:type="dxa"/>
            <w:shd w:val="clear" w:color="auto" w:fill="auto"/>
            <w:vAlign w:val="center"/>
          </w:tcPr>
          <w:p w14:paraId="7FC18384" w14:textId="77777777" w:rsidR="00EB0507" w:rsidRPr="005E5A74" w:rsidRDefault="00EB0507" w:rsidP="00916B68">
            <w:pPr>
              <w:spacing w:after="0"/>
              <w:rPr>
                <w:rFonts w:ascii="Times New Roman" w:hAnsi="Times New Roman"/>
              </w:rPr>
            </w:pPr>
            <w:r w:rsidRPr="005E5A74">
              <w:rPr>
                <w:rFonts w:ascii="Times New Roman" w:hAnsi="Times New Roman"/>
              </w:rPr>
              <w:t>Presence of light at destiny patch</w:t>
            </w:r>
            <w:r w:rsidRPr="005E5A74">
              <w:rPr>
                <w:rFonts w:ascii="Times New Roman" w:hAnsi="Times New Roman"/>
                <w:i/>
              </w:rPr>
              <w:t xml:space="preserve"> </w:t>
            </w:r>
            <w:r w:rsidRPr="005E5A74">
              <w:rPr>
                <w:position w:val="-6"/>
              </w:rPr>
              <w:object w:dxaOrig="139" w:dyaOrig="260" w14:anchorId="50133E91">
                <v:shape id="_x0000_i1079" type="#_x0000_t75" style="width:7pt;height:13pt" o:ole="">
                  <v:imagedata r:id="rId115" o:title=""/>
                </v:shape>
                <o:OLEObject Type="Embed" ProgID="Equation.3" ShapeID="_x0000_i1079" DrawAspect="Content" ObjectID="_1413993378" r:id="rId116"/>
              </w:object>
            </w:r>
            <w:r w:rsidRPr="005E5A74">
              <w:rPr>
                <w:rFonts w:ascii="Times New Roman" w:hAnsi="Times New Roman"/>
                <w:i/>
              </w:rPr>
              <w:t xml:space="preserve"> </w:t>
            </w:r>
            <w:r w:rsidRPr="005E5A74">
              <w:rPr>
                <w:rFonts w:ascii="Times New Roman" w:hAnsi="Times New Roman"/>
              </w:rPr>
              <w:t>seen from patch</w:t>
            </w:r>
            <w:r w:rsidRPr="005E5A74">
              <w:rPr>
                <w:rFonts w:ascii="Times New Roman" w:hAnsi="Times New Roman"/>
                <w:i/>
              </w:rPr>
              <w:t xml:space="preserve"> </w:t>
            </w:r>
            <w:r w:rsidRPr="005E5A74">
              <w:rPr>
                <w:position w:val="-10"/>
              </w:rPr>
              <w:object w:dxaOrig="200" w:dyaOrig="300" w14:anchorId="0D541486">
                <v:shape id="_x0000_i1080" type="#_x0000_t75" style="width:10pt;height:15pt" o:ole="">
                  <v:imagedata r:id="rId117" o:title=""/>
                </v:shape>
                <o:OLEObject Type="Embed" ProgID="Equation.3" ShapeID="_x0000_i1080" DrawAspect="Content" ObjectID="_1413993379" r:id="rId118"/>
              </w:object>
            </w:r>
          </w:p>
        </w:tc>
        <w:tc>
          <w:tcPr>
            <w:tcW w:w="1843" w:type="dxa"/>
            <w:shd w:val="clear" w:color="auto" w:fill="auto"/>
            <w:vAlign w:val="center"/>
          </w:tcPr>
          <w:p w14:paraId="3DDF684C" w14:textId="77777777" w:rsidR="00EB0507" w:rsidRPr="005E5A74" w:rsidRDefault="00EB0507" w:rsidP="005C4117">
            <w:pPr>
              <w:spacing w:after="0"/>
              <w:rPr>
                <w:rFonts w:ascii="Times New Roman" w:eastAsiaTheme="majorEastAsia" w:hAnsi="Times New Roman" w:cstheme="majorBidi"/>
                <w:i/>
                <w:iCs/>
                <w:color w:val="243F60" w:themeColor="accent1" w:themeShade="7F"/>
              </w:rPr>
            </w:pPr>
            <w:proofErr w:type="gramStart"/>
            <w:r w:rsidRPr="005E5A74">
              <w:rPr>
                <w:rFonts w:ascii="Times New Roman" w:hAnsi="Times New Roman"/>
                <w:i/>
              </w:rPr>
              <w:t>arbitrary</w:t>
            </w:r>
            <w:proofErr w:type="gramEnd"/>
            <w:r w:rsidRPr="005E5A74">
              <w:rPr>
                <w:rFonts w:ascii="Times New Roman" w:hAnsi="Times New Roman"/>
                <w:i/>
              </w:rPr>
              <w:t xml:space="preserve"> units</w:t>
            </w:r>
          </w:p>
        </w:tc>
        <w:tc>
          <w:tcPr>
            <w:tcW w:w="1781" w:type="dxa"/>
            <w:shd w:val="clear" w:color="auto" w:fill="auto"/>
            <w:vAlign w:val="center"/>
          </w:tcPr>
          <w:p w14:paraId="3EB10380" w14:textId="77777777" w:rsidR="00EB0507" w:rsidRPr="005E5A74" w:rsidRDefault="00EB0507" w:rsidP="005C4117">
            <w:pPr>
              <w:spacing w:after="0"/>
              <w:rPr>
                <w:rFonts w:ascii="Times New Roman" w:eastAsiaTheme="majorEastAsia" w:hAnsi="Times New Roman" w:cstheme="majorBidi"/>
                <w:i/>
                <w:iCs/>
                <w:color w:val="243F60" w:themeColor="accent1" w:themeShade="7F"/>
              </w:rPr>
            </w:pPr>
            <w:r w:rsidRPr="005E5A74">
              <w:rPr>
                <w:rFonts w:ascii="Times New Roman" w:hAnsi="Times New Roman"/>
              </w:rPr>
              <w:t>0,1</w:t>
            </w:r>
          </w:p>
        </w:tc>
        <w:tc>
          <w:tcPr>
            <w:tcW w:w="821" w:type="dxa"/>
            <w:shd w:val="clear" w:color="auto" w:fill="auto"/>
            <w:vAlign w:val="center"/>
          </w:tcPr>
          <w:p w14:paraId="27E021D0" w14:textId="77777777" w:rsidR="00EB0507" w:rsidRPr="005E5A74" w:rsidRDefault="00EB0507" w:rsidP="005C4117">
            <w:pPr>
              <w:spacing w:after="0"/>
              <w:rPr>
                <w:rFonts w:ascii="Times New Roman" w:eastAsiaTheme="majorEastAsia" w:hAnsi="Times New Roman" w:cstheme="majorBidi"/>
                <w:i/>
                <w:iCs/>
                <w:color w:val="243F60" w:themeColor="accent1" w:themeShade="7F"/>
              </w:rPr>
            </w:pPr>
            <w:r w:rsidRPr="005E5A74">
              <w:rPr>
                <w:rFonts w:ascii="Times New Roman" w:hAnsi="Times New Roman"/>
              </w:rPr>
              <w:t>-</w:t>
            </w:r>
          </w:p>
        </w:tc>
      </w:tr>
      <w:tr w:rsidR="00EB0507" w:rsidRPr="005E5A74" w14:paraId="1086C2E1" w14:textId="77777777" w:rsidTr="0000794F">
        <w:trPr>
          <w:jc w:val="center"/>
        </w:trPr>
        <w:tc>
          <w:tcPr>
            <w:tcW w:w="993" w:type="dxa"/>
            <w:tcBorders>
              <w:top w:val="single" w:sz="4" w:space="0" w:color="7F7F7F"/>
              <w:bottom w:val="single" w:sz="4" w:space="0" w:color="7F7F7F"/>
            </w:tcBorders>
            <w:shd w:val="clear" w:color="auto" w:fill="auto"/>
            <w:vAlign w:val="center"/>
          </w:tcPr>
          <w:p w14:paraId="67ED0992" w14:textId="77777777" w:rsidR="00EB0507" w:rsidRPr="005E5A74" w:rsidRDefault="00EB0507" w:rsidP="005C4117">
            <w:pPr>
              <w:spacing w:after="0"/>
              <w:rPr>
                <w:rFonts w:ascii="Times New Roman" w:eastAsiaTheme="majorEastAsia" w:hAnsi="Times New Roman" w:cstheme="majorBidi"/>
                <w:b/>
                <w:bCs/>
                <w:i/>
                <w:iCs/>
                <w:color w:val="243F60" w:themeColor="accent1" w:themeShade="7F"/>
                <w:vertAlign w:val="subscript"/>
              </w:rPr>
            </w:pPr>
            <w:r w:rsidRPr="005E5A74">
              <w:rPr>
                <w:rFonts w:ascii="Times New Roman" w:hAnsi="Times New Roman"/>
                <w:position w:val="-14"/>
              </w:rPr>
              <w:object w:dxaOrig="380" w:dyaOrig="380" w14:anchorId="6DA415F8">
                <v:shape id="_x0000_i1081" type="#_x0000_t75" style="width:19pt;height:19pt" o:ole="">
                  <v:imagedata r:id="rId119" o:title=""/>
                </v:shape>
                <o:OLEObject Type="Embed" ProgID="Equation.3" ShapeID="_x0000_i1081" DrawAspect="Content" ObjectID="_1413993380" r:id="rId120"/>
              </w:object>
            </w:r>
          </w:p>
        </w:tc>
        <w:tc>
          <w:tcPr>
            <w:tcW w:w="3289" w:type="dxa"/>
            <w:tcBorders>
              <w:top w:val="single" w:sz="4" w:space="0" w:color="7F7F7F"/>
              <w:bottom w:val="single" w:sz="4" w:space="0" w:color="7F7F7F"/>
            </w:tcBorders>
            <w:shd w:val="clear" w:color="auto" w:fill="auto"/>
            <w:vAlign w:val="center"/>
          </w:tcPr>
          <w:p w14:paraId="0B9526FF" w14:textId="77777777" w:rsidR="00EB0507" w:rsidRPr="005E5A74" w:rsidRDefault="00EB0507" w:rsidP="00916B68">
            <w:pPr>
              <w:spacing w:after="0"/>
              <w:rPr>
                <w:rFonts w:ascii="Times New Roman" w:hAnsi="Times New Roman"/>
              </w:rPr>
            </w:pPr>
            <w:r w:rsidRPr="005E5A74">
              <w:rPr>
                <w:rFonts w:ascii="Times New Roman" w:hAnsi="Times New Roman"/>
              </w:rPr>
              <w:t>Euclidean distance between patch</w:t>
            </w:r>
            <w:r w:rsidRPr="005E5A74">
              <w:rPr>
                <w:position w:val="-10"/>
              </w:rPr>
              <w:object w:dxaOrig="200" w:dyaOrig="300" w14:anchorId="4AEBBB43">
                <v:shape id="_x0000_i1082" type="#_x0000_t75" style="width:10pt;height:15pt" o:ole="">
                  <v:imagedata r:id="rId121" o:title=""/>
                </v:shape>
                <o:OLEObject Type="Embed" ProgID="Equation.3" ShapeID="_x0000_i1082" DrawAspect="Content" ObjectID="_1413993381" r:id="rId122"/>
              </w:object>
            </w:r>
            <w:r w:rsidRPr="005E5A74">
              <w:rPr>
                <w:rFonts w:ascii="Times New Roman" w:hAnsi="Times New Roman"/>
              </w:rPr>
              <w:t xml:space="preserve"> and patch</w:t>
            </w:r>
            <w:r w:rsidRPr="005E5A74">
              <w:rPr>
                <w:rFonts w:ascii="Times New Roman" w:hAnsi="Times New Roman"/>
                <w:i/>
              </w:rPr>
              <w:t xml:space="preserve"> </w:t>
            </w:r>
            <w:r w:rsidRPr="005E5A74">
              <w:rPr>
                <w:position w:val="-6"/>
              </w:rPr>
              <w:object w:dxaOrig="139" w:dyaOrig="260" w14:anchorId="507BD008">
                <v:shape id="_x0000_i1083" type="#_x0000_t75" style="width:7pt;height:13pt" o:ole="">
                  <v:imagedata r:id="rId123" o:title=""/>
                </v:shape>
                <o:OLEObject Type="Embed" ProgID="Equation.3" ShapeID="_x0000_i1083" DrawAspect="Content" ObjectID="_1413993382" r:id="rId124"/>
              </w:object>
            </w:r>
          </w:p>
        </w:tc>
        <w:tc>
          <w:tcPr>
            <w:tcW w:w="1843" w:type="dxa"/>
            <w:tcBorders>
              <w:top w:val="single" w:sz="4" w:space="0" w:color="7F7F7F"/>
              <w:bottom w:val="single" w:sz="4" w:space="0" w:color="7F7F7F"/>
            </w:tcBorders>
            <w:shd w:val="clear" w:color="auto" w:fill="auto"/>
            <w:vAlign w:val="center"/>
          </w:tcPr>
          <w:p w14:paraId="7405A8E6" w14:textId="77777777" w:rsidR="00EB0507" w:rsidRPr="005E5A74" w:rsidRDefault="00EB0507" w:rsidP="005C4117">
            <w:pPr>
              <w:spacing w:after="0"/>
              <w:rPr>
                <w:rFonts w:ascii="Times New Roman" w:eastAsiaTheme="majorEastAsia" w:hAnsi="Times New Roman" w:cstheme="majorBidi"/>
                <w:i/>
                <w:iCs/>
                <w:color w:val="243F60" w:themeColor="accent1" w:themeShade="7F"/>
              </w:rPr>
            </w:pPr>
            <w:r w:rsidRPr="005E5A74">
              <w:rPr>
                <w:position w:val="-6"/>
              </w:rPr>
              <w:object w:dxaOrig="639" w:dyaOrig="240" w14:anchorId="38E8A2D1">
                <v:shape id="_x0000_i1084" type="#_x0000_t75" style="width:31pt;height:12pt" o:ole="">
                  <v:imagedata r:id="rId125" o:title=""/>
                </v:shape>
                <o:OLEObject Type="Embed" ProgID="Equation.3" ShapeID="_x0000_i1084" DrawAspect="Content" ObjectID="_1413993383" r:id="rId126"/>
              </w:object>
            </w:r>
          </w:p>
        </w:tc>
        <w:tc>
          <w:tcPr>
            <w:tcW w:w="1781" w:type="dxa"/>
            <w:tcBorders>
              <w:top w:val="single" w:sz="4" w:space="0" w:color="7F7F7F"/>
              <w:bottom w:val="single" w:sz="4" w:space="0" w:color="7F7F7F"/>
            </w:tcBorders>
            <w:shd w:val="clear" w:color="auto" w:fill="auto"/>
            <w:vAlign w:val="center"/>
          </w:tcPr>
          <w:p w14:paraId="182D7C77" w14:textId="77777777" w:rsidR="00EB0507" w:rsidRPr="005E5A74" w:rsidRDefault="00EB0507" w:rsidP="005C4117">
            <w:pPr>
              <w:spacing w:after="0"/>
              <w:rPr>
                <w:rFonts w:ascii="Times New Roman" w:eastAsiaTheme="majorEastAsia" w:hAnsi="Times New Roman" w:cstheme="majorBidi"/>
                <w:i/>
                <w:iCs/>
                <w:color w:val="243F60" w:themeColor="accent1" w:themeShade="7F"/>
              </w:rPr>
            </w:pPr>
            <w:r w:rsidRPr="005E5A74">
              <w:rPr>
                <w:rFonts w:ascii="Times New Roman" w:hAnsi="Times New Roman"/>
              </w:rPr>
              <w:t>-</w:t>
            </w:r>
          </w:p>
        </w:tc>
        <w:tc>
          <w:tcPr>
            <w:tcW w:w="821" w:type="dxa"/>
            <w:tcBorders>
              <w:top w:val="single" w:sz="4" w:space="0" w:color="7F7F7F"/>
              <w:bottom w:val="single" w:sz="4" w:space="0" w:color="7F7F7F"/>
            </w:tcBorders>
            <w:shd w:val="clear" w:color="auto" w:fill="auto"/>
            <w:vAlign w:val="center"/>
          </w:tcPr>
          <w:p w14:paraId="240C8CEA" w14:textId="77777777" w:rsidR="00EB0507" w:rsidRPr="005E5A74" w:rsidRDefault="00EB0507" w:rsidP="005C4117">
            <w:pPr>
              <w:spacing w:after="0"/>
              <w:rPr>
                <w:rFonts w:ascii="Times New Roman" w:eastAsiaTheme="majorEastAsia" w:hAnsi="Times New Roman" w:cstheme="majorBidi"/>
                <w:i/>
                <w:iCs/>
                <w:color w:val="243F60" w:themeColor="accent1" w:themeShade="7F"/>
              </w:rPr>
            </w:pPr>
            <w:r w:rsidRPr="005E5A74">
              <w:rPr>
                <w:rFonts w:ascii="Times New Roman" w:hAnsi="Times New Roman"/>
              </w:rPr>
              <w:t>-</w:t>
            </w:r>
          </w:p>
        </w:tc>
      </w:tr>
      <w:tr w:rsidR="00EB0507" w:rsidRPr="005E5A74" w14:paraId="09FDFB41" w14:textId="77777777" w:rsidTr="0000794F">
        <w:trPr>
          <w:jc w:val="center"/>
        </w:trPr>
        <w:tc>
          <w:tcPr>
            <w:tcW w:w="993" w:type="dxa"/>
            <w:shd w:val="clear" w:color="auto" w:fill="auto"/>
            <w:vAlign w:val="center"/>
          </w:tcPr>
          <w:p w14:paraId="1CEEEB5C" w14:textId="77777777" w:rsidR="00EB0507" w:rsidRPr="005E5A74" w:rsidRDefault="00EB0507" w:rsidP="005C4117">
            <w:pPr>
              <w:spacing w:after="0"/>
              <w:rPr>
                <w:rFonts w:ascii="Times New Roman" w:hAnsi="Times New Roman"/>
                <w:b/>
                <w:bCs/>
                <w:i/>
              </w:rPr>
            </w:pPr>
          </w:p>
        </w:tc>
        <w:tc>
          <w:tcPr>
            <w:tcW w:w="3289" w:type="dxa"/>
            <w:shd w:val="clear" w:color="auto" w:fill="auto"/>
            <w:vAlign w:val="center"/>
          </w:tcPr>
          <w:p w14:paraId="14C7F60D" w14:textId="77777777" w:rsidR="00EB0507" w:rsidRPr="005E5A74" w:rsidRDefault="00EB0507" w:rsidP="00916B68">
            <w:pPr>
              <w:spacing w:after="0"/>
              <w:rPr>
                <w:rFonts w:ascii="Times New Roman" w:hAnsi="Times New Roman"/>
              </w:rPr>
            </w:pPr>
            <w:r w:rsidRPr="005E5A74">
              <w:rPr>
                <w:rFonts w:ascii="Times New Roman" w:hAnsi="Times New Roman"/>
              </w:rPr>
              <w:t xml:space="preserve">Maximum dispersal distance </w:t>
            </w:r>
            <w:r w:rsidRPr="005E5A74">
              <w:rPr>
                <w:rFonts w:ascii="Times New Roman" w:hAnsi="Times New Roman"/>
                <w:i/>
              </w:rPr>
              <w:t xml:space="preserve">R. </w:t>
            </w:r>
            <w:proofErr w:type="spellStart"/>
            <w:r w:rsidRPr="005E5A74">
              <w:rPr>
                <w:rFonts w:ascii="Times New Roman" w:hAnsi="Times New Roman"/>
                <w:i/>
              </w:rPr>
              <w:t>prolixus</w:t>
            </w:r>
            <w:proofErr w:type="spellEnd"/>
          </w:p>
        </w:tc>
        <w:tc>
          <w:tcPr>
            <w:tcW w:w="1843" w:type="dxa"/>
            <w:shd w:val="clear" w:color="auto" w:fill="auto"/>
            <w:vAlign w:val="center"/>
          </w:tcPr>
          <w:p w14:paraId="56370B17" w14:textId="77777777" w:rsidR="00EB0507" w:rsidRPr="005E5A74" w:rsidRDefault="00EB0507" w:rsidP="005C4117">
            <w:pPr>
              <w:spacing w:after="0"/>
              <w:rPr>
                <w:rFonts w:ascii="Times New Roman" w:eastAsiaTheme="majorEastAsia" w:hAnsi="Times New Roman" w:cstheme="majorBidi"/>
                <w:i/>
                <w:iCs/>
                <w:color w:val="243F60" w:themeColor="accent1" w:themeShade="7F"/>
              </w:rPr>
            </w:pPr>
            <w:r w:rsidRPr="005E5A74">
              <w:rPr>
                <w:position w:val="-6"/>
              </w:rPr>
              <w:object w:dxaOrig="639" w:dyaOrig="240" w14:anchorId="4FBAF295">
                <v:shape id="_x0000_i1085" type="#_x0000_t75" style="width:31pt;height:12pt" o:ole="">
                  <v:imagedata r:id="rId127" o:title=""/>
                </v:shape>
                <o:OLEObject Type="Embed" ProgID="Equation.3" ShapeID="_x0000_i1085" DrawAspect="Content" ObjectID="_1413993384" r:id="rId128"/>
              </w:object>
            </w:r>
          </w:p>
        </w:tc>
        <w:tc>
          <w:tcPr>
            <w:tcW w:w="1781" w:type="dxa"/>
            <w:shd w:val="clear" w:color="auto" w:fill="auto"/>
            <w:vAlign w:val="center"/>
          </w:tcPr>
          <w:p w14:paraId="18B15E4E" w14:textId="77777777" w:rsidR="00EB0507" w:rsidRPr="005E5A74" w:rsidRDefault="00EB0507" w:rsidP="005C4117">
            <w:pPr>
              <w:spacing w:after="0"/>
              <w:rPr>
                <w:rFonts w:ascii="Times New Roman" w:eastAsiaTheme="majorEastAsia" w:hAnsi="Times New Roman" w:cstheme="majorBidi"/>
                <w:i/>
                <w:iCs/>
                <w:color w:val="243F60" w:themeColor="accent1" w:themeShade="7F"/>
              </w:rPr>
            </w:pPr>
            <w:r w:rsidRPr="005E5A74">
              <w:rPr>
                <w:rFonts w:ascii="Times New Roman" w:hAnsi="Times New Roman"/>
              </w:rPr>
              <w:t>200</w:t>
            </w:r>
          </w:p>
        </w:tc>
        <w:tc>
          <w:tcPr>
            <w:tcW w:w="821" w:type="dxa"/>
            <w:shd w:val="clear" w:color="auto" w:fill="auto"/>
            <w:vAlign w:val="center"/>
          </w:tcPr>
          <w:p w14:paraId="677B8DDB" w14:textId="75B59391" w:rsidR="00EB0507" w:rsidRPr="005E5A74" w:rsidRDefault="00EB0507" w:rsidP="005C4117">
            <w:pPr>
              <w:spacing w:after="0"/>
              <w:rPr>
                <w:rFonts w:ascii="Times New Roman" w:eastAsiaTheme="majorEastAsia" w:hAnsi="Times New Roman" w:cstheme="majorBidi"/>
                <w:i/>
                <w:iCs/>
                <w:color w:val="243F60" w:themeColor="accent1" w:themeShade="7F"/>
              </w:rPr>
            </w:pPr>
            <w:r w:rsidRPr="005E5A74">
              <w:rPr>
                <w:rFonts w:ascii="Times New Roman" w:hAnsi="Times New Roman"/>
              </w:rPr>
              <w:fldChar w:fldCharType="begin" w:fldLock="1"/>
            </w:r>
            <w:r w:rsidR="00F755B8" w:rsidRPr="005E5A74">
              <w:rPr>
                <w:rFonts w:ascii="Times New Roman" w:hAnsi="Times New Roman"/>
              </w:rPr>
              <w:instrText>ADDIN CSL_CITATION { "citationItems" : [ { "id" : "ITEM-1", "itemData" : { "DOI" : "10.1146/annurev.en.26.010181.000533", "ISSN" : "0066-4170", "PMID" : "6791582", "author" : [ { "dropping-particle" : "", "family" : "Zeled\u00f3n", "given" : "R", "non-dropping-particle" : "", "parse-names" : false, "suffix" : "" }, { "dropping-particle" : "", "family" : "Rabinovich", "given" : "J E", "non-dropping-particle" : "", "parse-names" : false, "suffix" : "" } ], "container-title" : "Annual review of entomology", "id" : "ITEM-1", "issued" : { "date-parts" : [ [ "1981", "1" ] ] }, "language" : "en", "page" : "101-33", "publisher" : "Annual Reviews  4139 El Camino Way, P.O. Box 10139, Palo Alto, CA 94303-0139, USA", "title" : "Chagas' disease: an ecological appraisal with special emphasis on its insect vectors.", "type" : "article-journal", "volume" : "26" }, "uris" : [ "http://www.mendeley.com/documents/?uuid=2822e06e-98fd-42d7-809e-3bedf0fc37d9", "http://www.mendeley.com/documents/?uuid=fd665125-3cf1-45b8-a910-70a78a87e4b3" ] }, { "id" : "ITEM-2", "itemData" : { "ISBN" : "0022-5304 (Print)\\r0022-5304 (Linking)", "PMID" : "3906147", "abstract" : "Dispersive flight by Triatoma infestans was modelled by assuming either unidirectional flight in a straight line, or that flight followed a pattern of 'random walk' analogous to two-dimensional Brownian motion. Parameter estimates for the models were derived from previous fieldwork in Argentina and Brazil. Calculated probabilities of houses becoming infested over a 1 year period were compared with actual changes of house infestation in a small farming community in central Brazil. It was found that infestation could be explained partly by the dispersive flight of the bugs according to the distances between houses, and partly by the predisposition of houses to infestation by virtue of their construction, since houses with cracked mud walls were particularly susceptible to infestation. Infested houses lying more than 200 m from uninfested houses appeared to make an almost negligible contribution to infestation of the uninfested houses. This suggests that buffer zones of this size around treated areas could help to minimize the risk of reinfestation after treatment.", "author" : [ { "dropping-particle" : "", "family" : "Schofield", "given" : "C J", "non-dropping-particle" : "", "parse-names" : false, "suffix" : "" }, { "dropping-particle" : "", "family" : "Matthews", "given" : "J N", "non-dropping-particle" : "", "parse-names" : false, "suffix" : "" } ], "container-title" : "J Trop Med Hyg", "id" : "ITEM-2", "issue" : "3", "issued" : { "date-parts" : [ [ "1985" ] ] }, "page" : "211-22.", "title" : "Theoretical approach to active dispersal and colonization of houses by Triatoma infestans", "type" : "article-journal", "volume" : "88" }, "uris" : [ "http://www.mendeley.com/documents/?uuid=4ccb6508-1257-4345-aa23-d9d19836ca75", "http://www.mendeley.com/documents/?uuid=1bf7992f-97fb-43be-aeac-14b8029c484d" ] } ], "mendeley" : { "formattedCitation" : "[1, 7]", "plainTextFormattedCitation" : "[1, 7]", "previouslyFormattedCitation" : "[1, 7]" }, "properties" : { "noteIndex" : 0 }, "schema" : "https://github.com/citation-style-language/schema/raw/master/csl-citation.json" }</w:instrText>
            </w:r>
            <w:r w:rsidRPr="005E5A74">
              <w:rPr>
                <w:rFonts w:ascii="Times New Roman" w:hAnsi="Times New Roman"/>
              </w:rPr>
              <w:fldChar w:fldCharType="separate"/>
            </w:r>
            <w:r w:rsidR="00F755B8" w:rsidRPr="005E5A74">
              <w:rPr>
                <w:rFonts w:ascii="Times New Roman" w:hAnsi="Times New Roman"/>
                <w:noProof/>
              </w:rPr>
              <w:t>[1, 7]</w:t>
            </w:r>
            <w:r w:rsidRPr="005E5A74">
              <w:rPr>
                <w:rFonts w:ascii="Times New Roman" w:hAnsi="Times New Roman"/>
              </w:rPr>
              <w:fldChar w:fldCharType="end"/>
            </w:r>
          </w:p>
        </w:tc>
      </w:tr>
    </w:tbl>
    <w:p w14:paraId="722B3B59" w14:textId="77777777" w:rsidR="00EB0507" w:rsidRPr="005E5A74" w:rsidRDefault="00EB0507" w:rsidP="005C4117">
      <w:pPr>
        <w:spacing w:line="480" w:lineRule="auto"/>
        <w:rPr>
          <w:rFonts w:ascii="Times" w:hAnsi="Times"/>
        </w:rPr>
      </w:pPr>
    </w:p>
    <w:p w14:paraId="2B64BC49" w14:textId="77777777" w:rsidR="0075732B" w:rsidRPr="005E5A74" w:rsidRDefault="0075732B" w:rsidP="005C4117">
      <w:pPr>
        <w:spacing w:line="480" w:lineRule="auto"/>
        <w:rPr>
          <w:rFonts w:ascii="Times" w:hAnsi="Times"/>
          <w:i/>
        </w:rPr>
      </w:pPr>
      <w:proofErr w:type="spellStart"/>
      <w:r w:rsidRPr="005E5A74">
        <w:rPr>
          <w:rFonts w:ascii="Times" w:hAnsi="Times"/>
          <w:i/>
        </w:rPr>
        <w:t>Trypanosoma</w:t>
      </w:r>
      <w:proofErr w:type="spellEnd"/>
      <w:r w:rsidRPr="005E5A74">
        <w:rPr>
          <w:rFonts w:ascii="Times" w:hAnsi="Times"/>
          <w:i/>
        </w:rPr>
        <w:t xml:space="preserve"> </w:t>
      </w:r>
      <w:proofErr w:type="spellStart"/>
      <w:r w:rsidRPr="005E5A74">
        <w:rPr>
          <w:rFonts w:ascii="Times" w:hAnsi="Times"/>
          <w:i/>
        </w:rPr>
        <w:t>cruzi</w:t>
      </w:r>
      <w:proofErr w:type="spellEnd"/>
      <w:r w:rsidRPr="005E5A74">
        <w:rPr>
          <w:rFonts w:ascii="Times" w:hAnsi="Times"/>
          <w:i/>
        </w:rPr>
        <w:t xml:space="preserve"> infection prediction</w:t>
      </w:r>
    </w:p>
    <w:p w14:paraId="13CBA01E" w14:textId="1DAC8B00" w:rsidR="0075732B" w:rsidRPr="005E5A74" w:rsidRDefault="00FD4200" w:rsidP="005C4117">
      <w:pPr>
        <w:pStyle w:val="NormalWeb"/>
        <w:spacing w:line="480" w:lineRule="auto"/>
        <w:rPr>
          <w:rFonts w:ascii="Times" w:eastAsia="Times New Roman" w:hAnsi="Times"/>
          <w:lang w:val="en-US"/>
        </w:rPr>
      </w:pPr>
      <w:r w:rsidRPr="005E5A74">
        <w:rPr>
          <w:rFonts w:ascii="Times" w:hAnsi="Times"/>
          <w:lang w:val="en-US"/>
        </w:rPr>
        <w:t>To</w:t>
      </w:r>
      <w:r w:rsidR="0075732B" w:rsidRPr="005E5A74">
        <w:rPr>
          <w:rFonts w:ascii="Times" w:hAnsi="Times"/>
          <w:lang w:val="en-US"/>
        </w:rPr>
        <w:t xml:space="preserve"> estimate the number of </w:t>
      </w:r>
      <w:r w:rsidR="00FA253E" w:rsidRPr="005E5A74">
        <w:rPr>
          <w:rFonts w:ascii="Times" w:hAnsi="Times"/>
          <w:lang w:val="en-US"/>
        </w:rPr>
        <w:t xml:space="preserve">cases with </w:t>
      </w:r>
      <w:r w:rsidR="00FA253E" w:rsidRPr="005E5A74">
        <w:rPr>
          <w:rFonts w:ascii="Times" w:hAnsi="Times"/>
          <w:i/>
          <w:lang w:val="en-US"/>
        </w:rPr>
        <w:t xml:space="preserve">T. </w:t>
      </w:r>
      <w:proofErr w:type="spellStart"/>
      <w:r w:rsidR="00FA253E" w:rsidRPr="005E5A74">
        <w:rPr>
          <w:rFonts w:ascii="Times" w:hAnsi="Times"/>
          <w:i/>
          <w:lang w:val="en-US"/>
        </w:rPr>
        <w:t>cruzi</w:t>
      </w:r>
      <w:proofErr w:type="spellEnd"/>
      <w:r w:rsidR="00FA253E" w:rsidRPr="005E5A74">
        <w:rPr>
          <w:rFonts w:ascii="Times" w:hAnsi="Times"/>
          <w:lang w:val="en-US"/>
        </w:rPr>
        <w:t xml:space="preserve"> infection in humans as a function of palm proximity </w:t>
      </w:r>
      <w:r w:rsidR="00CD2708" w:rsidRPr="005E5A74">
        <w:rPr>
          <w:rFonts w:ascii="Times" w:hAnsi="Times"/>
          <w:lang w:val="en-US"/>
        </w:rPr>
        <w:t xml:space="preserve">we used the model output indices VI and PIH along with </w:t>
      </w:r>
      <w:r w:rsidRPr="005E5A74">
        <w:rPr>
          <w:rFonts w:ascii="Times" w:hAnsi="Times"/>
          <w:lang w:val="en-US"/>
        </w:rPr>
        <w:t>the following reports:</w:t>
      </w:r>
      <w:r w:rsidR="00CD2708" w:rsidRPr="005E5A74">
        <w:rPr>
          <w:rFonts w:ascii="Times" w:hAnsi="Times"/>
          <w:lang w:val="en-US"/>
        </w:rPr>
        <w:t xml:space="preserve"> </w:t>
      </w:r>
      <w:r w:rsidR="00EB0507" w:rsidRPr="005E5A74">
        <w:rPr>
          <w:rFonts w:ascii="Times" w:eastAsia="Times New Roman" w:hAnsi="Times"/>
          <w:i/>
          <w:lang w:val="en-US"/>
        </w:rPr>
        <w:t xml:space="preserve">R. </w:t>
      </w:r>
      <w:proofErr w:type="spellStart"/>
      <w:r w:rsidR="00EB0507" w:rsidRPr="005E5A74">
        <w:rPr>
          <w:rFonts w:ascii="Times" w:eastAsia="Times New Roman" w:hAnsi="Times"/>
          <w:i/>
          <w:lang w:val="en-US"/>
        </w:rPr>
        <w:t>prolixus</w:t>
      </w:r>
      <w:proofErr w:type="spellEnd"/>
      <w:r w:rsidR="0075732B" w:rsidRPr="005E5A74">
        <w:rPr>
          <w:rFonts w:ascii="Times" w:eastAsia="Times New Roman" w:hAnsi="Times"/>
          <w:lang w:val="en-US"/>
        </w:rPr>
        <w:t xml:space="preserve"> natural infection </w:t>
      </w:r>
      <w:r w:rsidR="00EB0507" w:rsidRPr="005E5A74">
        <w:rPr>
          <w:rFonts w:ascii="Times" w:eastAsia="Times New Roman" w:hAnsi="Times"/>
          <w:lang w:val="en-US"/>
        </w:rPr>
        <w:t>in the study area (</w:t>
      </w:r>
      <w:r w:rsidR="0075732B" w:rsidRPr="005E5A74">
        <w:rPr>
          <w:rFonts w:ascii="Times" w:eastAsia="Times New Roman" w:hAnsi="Times"/>
          <w:lang w:val="en-US"/>
        </w:rPr>
        <w:t xml:space="preserve">60.3% </w:t>
      </w:r>
      <w:r w:rsidR="0075732B" w:rsidRPr="005E5A74">
        <w:rPr>
          <w:rFonts w:ascii="Times" w:eastAsia="Times New Roman" w:hAnsi="Times"/>
          <w:lang w:val="en-US"/>
        </w:rPr>
        <w:fldChar w:fldCharType="begin" w:fldLock="1"/>
      </w:r>
      <w:r w:rsidR="00F755B8" w:rsidRPr="005E5A74">
        <w:rPr>
          <w:rFonts w:ascii="Times" w:eastAsia="Times New Roman" w:hAnsi="Times"/>
          <w:lang w:val="en-US"/>
        </w:rPr>
        <w:instrText>ADDIN CSL_CITATION { "citationItems" : [ { "id" : "ITEM-1", "itemData" : { "DOI" : "10.1590/0074-02760140403", "ISSN" : "0074-0276", "PMID" : "25830543", "abstract" : "Rhodnius prolixus, a blood-sucking triatomine with domiciliary anthropophilic habits, is the main vector of Chagas disease. The current paradigm of Trypanosoma cruzi transmission in Columbia includes a sylvatic and domiciliary cycle co-existing with domestic and sylvatic populations of reservoirs. The aim of this study is to evaluate the population densities and relative abundance of triatomines and mammals that may be involved in the sylvatic cycle of Chagas disease to clarify the epidemiological scenario in an endemic area in the province of Casanare. Insect vectors on Attalea butyracea palms were captured using both manual searches and bait traps. The capture of mammals was performed using Sherman and Tomahawk traps. We report an infestation index of 88.5% in 148 palms and an index of T. cruzi natural infection of 60.2% in 269 dissected insects and 11.9% in 160 captured mammals. High population densities of triatomines were observed in the sylvatic environment and there was a high relative abundance of reservoirs in the area, suggesting a stable enzootic cycle. We found no evidence of insect domiciliation. Taken together, these observations suggest that eco-epidemiological factors shape the transmission dynamics of T. cruzi, creating diverse scenarios of disease transmission.", "author" : [ { "dropping-particle" : "", "family" : "Rend\u00f3n", "given" : "Lina Mar\u00eda", "non-dropping-particle" : "", "parse-names" : false, "suffix" : "" }, { "dropping-particle" : "", "family" : "Guhl", "given" : "Felipe", "non-dropping-particle" : "", "parse-names" : false, "suffix" : "" }, { "dropping-particle" : "", "family" : "Cordovez", "given" : "Juan Manuel", "non-dropping-particle" : "", "parse-names" : false, "suffix" : "" }, { "dropping-particle" : "", "family" : "Erazo", "given" : "Diana", "non-dropping-particle" : "", "parse-names" : false, "suffix" : "" } ], "container-title" : "Mem\u00f3rias do Instituto Oswaldo Cruz.", "id" : "ITEM-1", "issued" : { "date-parts" : [ [ "2015" ] ] }, "page" : "1-6", "title" : "New scenarios of Trypanosoma cruzi transmission in the Orinoco region of Colombia.", "type" : "article-journal" }, "uris" : [ "http://www.mendeley.com/documents/?uuid=062f2703-a5c7-4418-932c-51dcee4f509f", "http://www.mendeley.com/documents/?uuid=e0884ab1-5b5d-4b60-9a39-bc417c39c832" ] } ], "mendeley" : { "formattedCitation" : "[5]", "plainTextFormattedCitation" : "[5]", "previouslyFormattedCitation" : "[5]" }, "properties" : { "noteIndex" : 0 }, "schema" : "https://github.com/citation-style-language/schema/raw/master/csl-citation.json" }</w:instrText>
      </w:r>
      <w:r w:rsidR="0075732B" w:rsidRPr="005E5A74">
        <w:rPr>
          <w:rFonts w:ascii="Times" w:eastAsia="Times New Roman" w:hAnsi="Times"/>
          <w:lang w:val="en-US"/>
        </w:rPr>
        <w:fldChar w:fldCharType="separate"/>
      </w:r>
      <w:r w:rsidR="00F755B8" w:rsidRPr="005E5A74">
        <w:rPr>
          <w:rFonts w:ascii="Times" w:eastAsia="Times New Roman" w:hAnsi="Times"/>
          <w:noProof/>
          <w:lang w:val="en-US"/>
        </w:rPr>
        <w:t>[5]</w:t>
      </w:r>
      <w:r w:rsidR="0075732B" w:rsidRPr="005E5A74">
        <w:rPr>
          <w:rFonts w:ascii="Times" w:eastAsia="Times New Roman" w:hAnsi="Times"/>
          <w:lang w:val="en-US"/>
        </w:rPr>
        <w:fldChar w:fldCharType="end"/>
      </w:r>
      <w:r w:rsidR="00EB0507" w:rsidRPr="005E5A74">
        <w:rPr>
          <w:rFonts w:ascii="Times" w:eastAsia="Times New Roman" w:hAnsi="Times"/>
          <w:lang w:val="en-US"/>
        </w:rPr>
        <w:t>)</w:t>
      </w:r>
      <w:r w:rsidR="00415BF9" w:rsidRPr="005E5A74">
        <w:rPr>
          <w:rFonts w:ascii="Times" w:eastAsia="Times New Roman" w:hAnsi="Times"/>
          <w:lang w:val="en-US"/>
        </w:rPr>
        <w:t>,</w:t>
      </w:r>
      <w:r w:rsidR="00415BF9" w:rsidRPr="005E5A74">
        <w:rPr>
          <w:rFonts w:ascii="Times" w:hAnsi="Times"/>
          <w:lang w:val="en-US"/>
        </w:rPr>
        <w:t xml:space="preserve"> </w:t>
      </w:r>
      <w:proofErr w:type="spellStart"/>
      <w:r w:rsidR="00EB0507" w:rsidRPr="005E5A74">
        <w:rPr>
          <w:rFonts w:ascii="Times" w:eastAsia="Times New Roman" w:hAnsi="Times"/>
          <w:lang w:val="en-US"/>
        </w:rPr>
        <w:t>Triatomine</w:t>
      </w:r>
      <w:proofErr w:type="spellEnd"/>
      <w:r w:rsidR="00EB0507" w:rsidRPr="005E5A74">
        <w:rPr>
          <w:rFonts w:ascii="Times" w:eastAsia="Times New Roman" w:hAnsi="Times"/>
          <w:lang w:val="en-US"/>
        </w:rPr>
        <w:t xml:space="preserve"> bug</w:t>
      </w:r>
      <w:r w:rsidR="0075732B" w:rsidRPr="005E5A74">
        <w:rPr>
          <w:rFonts w:ascii="Times" w:eastAsia="Times New Roman" w:hAnsi="Times"/>
          <w:lang w:val="en-US"/>
        </w:rPr>
        <w:t xml:space="preserve"> feed</w:t>
      </w:r>
      <w:r w:rsidR="00EB0507" w:rsidRPr="005E5A74">
        <w:rPr>
          <w:rFonts w:ascii="Times" w:eastAsia="Times New Roman" w:hAnsi="Times"/>
          <w:lang w:val="en-US"/>
        </w:rPr>
        <w:t>ing rate</w:t>
      </w:r>
      <w:r w:rsidR="00415BF9" w:rsidRPr="005E5A74">
        <w:rPr>
          <w:rFonts w:ascii="Times" w:eastAsia="Times New Roman" w:hAnsi="Times"/>
          <w:lang w:val="en-US"/>
        </w:rPr>
        <w:t xml:space="preserve"> </w:t>
      </w:r>
      <w:r w:rsidR="00EB0507" w:rsidRPr="005E5A74">
        <w:rPr>
          <w:rFonts w:ascii="Times" w:eastAsia="Times New Roman" w:hAnsi="Times"/>
          <w:lang w:val="en-US"/>
        </w:rPr>
        <w:t>(</w:t>
      </w:r>
      <w:r w:rsidR="0075732B" w:rsidRPr="005E5A74">
        <w:rPr>
          <w:rFonts w:ascii="Times" w:eastAsia="Times New Roman" w:hAnsi="Times"/>
          <w:lang w:val="en-US"/>
        </w:rPr>
        <w:t>once every 3</w:t>
      </w:r>
      <w:r w:rsidR="00916B68" w:rsidRPr="005E5A74">
        <w:rPr>
          <w:rFonts w:ascii="Times" w:eastAsia="Times New Roman" w:hAnsi="Times" w:cs="Times"/>
          <w:lang w:val="en-US"/>
        </w:rPr>
        <w:t>–</w:t>
      </w:r>
      <w:r w:rsidR="0075732B" w:rsidRPr="005E5A74">
        <w:rPr>
          <w:rFonts w:ascii="Times" w:eastAsia="Times New Roman" w:hAnsi="Times"/>
          <w:lang w:val="en-US"/>
        </w:rPr>
        <w:t xml:space="preserve">6 weeks </w:t>
      </w:r>
      <w:r w:rsidR="0075732B" w:rsidRPr="005E5A74">
        <w:rPr>
          <w:rFonts w:ascii="Times" w:eastAsia="Times New Roman" w:hAnsi="Times"/>
          <w:lang w:val="en-US"/>
        </w:rPr>
        <w:fldChar w:fldCharType="begin" w:fldLock="1"/>
      </w:r>
      <w:r w:rsidR="00F755B8" w:rsidRPr="005E5A74">
        <w:rPr>
          <w:rFonts w:ascii="Times" w:eastAsia="Times New Roman" w:hAnsi="Times"/>
          <w:lang w:val="en-US"/>
        </w:rPr>
        <w:instrText>ADDIN CSL_CITATION { "citationItems" : [ { "id" : "ITEM-1", "itemData" : { "ISSN" : "00029637", "PMID" : "11508386", "abstract" : "The probability of Trypanosoma cruzi transmission to opossums by independent events of predation and fecal contamination during feeding (\"biting\") with positive Triatoma infestans was estimated. Negative female opossums were challenged for 23 hr with 10 infected third and fourth instars of T. infestans, and tests for positivity for T. cruzi by xenodiagnosis were performed at 30, 60, and 90 days. From these data, seven probability parameters were estimated by maximum likelihood, and likelihood ratio statistics confidence intervals were calculated. Simultaneous estimation of p1 (probability that a \"bite\" will infect an opossum), p3 (probability that a bug that has been eaten by an opossum will infect it), and p6 (probability that the opossum will become infected if faced with an infected triatomine), resulted in p1 = 0.06, p3 = 0.075, and p6 = 0.059. On average, each opossum should be exposed to an average of 700 encounters with bugs during its life, resulting in about eight potentially infective contacts, to produce the 35% opossum prevalence found in the field.", "author" : [ { "dropping-particle" : "", "family" : "Rabinovich", "given" : "J.", "non-dropping-particle" : "", "parse-names" : false, "suffix" : "" }, { "dropping-particle" : "", "family" : "Schweigmann", "given" : "N.", "non-dropping-particle" : "", "parse-names" : false, "suffix" : "" }, { "dropping-particle" : "", "family" : "Yohai", "given" : "V.", "non-dropping-particle" : "", "parse-names" : false, "suffix" : "" }, { "dropping-particle" : "", "family" : "Wisnivesky-Colli", "given" : "C.", "non-dropping-particle" : "", "parse-names" : false, "suffix" : "" } ], "container-title" : "American Journal of Tropical Medicine and Hygiene", "id" : "ITEM-1", "issue" : "2", "issued" : { "date-parts" : [ [ "2001" ] ] }, "page" : "125-130", "title" : "Probability of Trypanosoma cruzi transmission by Triatoma infestans (Hemiptera: Reduviidae) to the opossum Didelphis albiventris (Marsupialia: Didelphidae)", "type" : "article-journal", "volume" : "65" }, "uris" : [ "http://www.mendeley.com/documents/?uuid=e984bc7d-a79e-47a6-9f14-ad2b71ec6a37", "http://www.mendeley.com/documents/?uuid=fb277547-9e68-4297-b8fc-c2da80713fdb" ] } ], "mendeley" : { "formattedCitation" : "[8]", "plainTextFormattedCitation" : "[8]", "previouslyFormattedCitation" : "[8]" }, "properties" : { "noteIndex" : 0 }, "schema" : "https://github.com/citation-style-language/schema/raw/master/csl-citation.json" }</w:instrText>
      </w:r>
      <w:r w:rsidR="0075732B" w:rsidRPr="005E5A74">
        <w:rPr>
          <w:rFonts w:ascii="Times" w:eastAsia="Times New Roman" w:hAnsi="Times"/>
          <w:lang w:val="en-US"/>
        </w:rPr>
        <w:fldChar w:fldCharType="separate"/>
      </w:r>
      <w:r w:rsidR="00F755B8" w:rsidRPr="005E5A74">
        <w:rPr>
          <w:rFonts w:ascii="Times" w:eastAsia="Times New Roman" w:hAnsi="Times"/>
          <w:noProof/>
          <w:lang w:val="en-US"/>
        </w:rPr>
        <w:t>[8]</w:t>
      </w:r>
      <w:r w:rsidR="0075732B" w:rsidRPr="005E5A74">
        <w:rPr>
          <w:rFonts w:ascii="Times" w:eastAsia="Times New Roman" w:hAnsi="Times"/>
          <w:lang w:val="en-US"/>
        </w:rPr>
        <w:fldChar w:fldCharType="end"/>
      </w:r>
      <w:r w:rsidR="00EB0507" w:rsidRPr="005E5A74">
        <w:rPr>
          <w:rFonts w:ascii="Times" w:eastAsia="Times New Roman" w:hAnsi="Times"/>
          <w:lang w:val="en-US"/>
        </w:rPr>
        <w:t>)</w:t>
      </w:r>
      <w:r w:rsidR="00D91BA4" w:rsidRPr="005E5A74">
        <w:rPr>
          <w:rFonts w:ascii="Times" w:eastAsia="Times New Roman" w:hAnsi="Times"/>
          <w:lang w:val="en-US"/>
        </w:rPr>
        <w:t>,</w:t>
      </w:r>
      <w:r w:rsidR="00D91BA4" w:rsidRPr="005E5A74">
        <w:rPr>
          <w:rFonts w:ascii="Times" w:hAnsi="Times"/>
          <w:lang w:val="en-US"/>
        </w:rPr>
        <w:t xml:space="preserve"> </w:t>
      </w:r>
      <w:r w:rsidR="0075732B" w:rsidRPr="005E5A74">
        <w:rPr>
          <w:rFonts w:ascii="Times" w:eastAsia="Times New Roman" w:hAnsi="Times"/>
          <w:i/>
          <w:lang w:val="en-US"/>
        </w:rPr>
        <w:t xml:space="preserve">R. </w:t>
      </w:r>
      <w:proofErr w:type="spellStart"/>
      <w:r w:rsidR="0075732B" w:rsidRPr="005E5A74">
        <w:rPr>
          <w:rFonts w:ascii="Times" w:eastAsia="Times New Roman" w:hAnsi="Times"/>
          <w:i/>
          <w:lang w:val="en-US"/>
        </w:rPr>
        <w:t>prolixus</w:t>
      </w:r>
      <w:proofErr w:type="spellEnd"/>
      <w:r w:rsidR="0075732B" w:rsidRPr="005E5A74">
        <w:rPr>
          <w:rFonts w:ascii="Times" w:eastAsia="Times New Roman" w:hAnsi="Times"/>
          <w:i/>
          <w:lang w:val="en-US"/>
        </w:rPr>
        <w:t xml:space="preserve"> </w:t>
      </w:r>
      <w:r w:rsidR="00EB0507" w:rsidRPr="005E5A74">
        <w:rPr>
          <w:rFonts w:ascii="Times" w:eastAsia="Times New Roman" w:hAnsi="Times"/>
          <w:lang w:val="en-US"/>
        </w:rPr>
        <w:t>feeding frequency on</w:t>
      </w:r>
      <w:r w:rsidR="0075732B" w:rsidRPr="005E5A74">
        <w:rPr>
          <w:rFonts w:ascii="Times" w:eastAsia="Times New Roman" w:hAnsi="Times"/>
          <w:lang w:val="en-US"/>
        </w:rPr>
        <w:t xml:space="preserve"> humans</w:t>
      </w:r>
      <w:r w:rsidRPr="005E5A74">
        <w:rPr>
          <w:rFonts w:ascii="Times" w:eastAsia="Times New Roman" w:hAnsi="Times"/>
          <w:lang w:val="en-US"/>
        </w:rPr>
        <w:t xml:space="preserve"> </w:t>
      </w:r>
      <w:r w:rsidR="00EB0507" w:rsidRPr="005E5A74">
        <w:rPr>
          <w:rFonts w:ascii="Times" w:eastAsia="Times New Roman" w:hAnsi="Times"/>
          <w:lang w:val="en-US"/>
        </w:rPr>
        <w:t>(</w:t>
      </w:r>
      <w:r w:rsidR="0075732B" w:rsidRPr="005E5A74">
        <w:rPr>
          <w:rFonts w:ascii="Times" w:eastAsia="Times New Roman" w:hAnsi="Times"/>
          <w:lang w:val="en-US"/>
        </w:rPr>
        <w:t xml:space="preserve">0.583 </w:t>
      </w:r>
      <w:r w:rsidR="0075732B" w:rsidRPr="005E5A74">
        <w:rPr>
          <w:rFonts w:ascii="Times" w:eastAsia="Times New Roman" w:hAnsi="Times"/>
          <w:lang w:val="en-US"/>
        </w:rPr>
        <w:fldChar w:fldCharType="begin" w:fldLock="1"/>
      </w:r>
      <w:r w:rsidR="00F755B8" w:rsidRPr="005E5A74">
        <w:rPr>
          <w:rFonts w:ascii="Times" w:eastAsia="Times New Roman" w:hAnsi="Times"/>
          <w:lang w:val="en-US"/>
        </w:rPr>
        <w:instrText>ADDIN CSL_CITATION { "citationItems" : [ { "id" : "ITEM-1", "itemData" : { "ISSN" : "0002-9637", "PMID" : "15516649", "abstract" : "Mixed infestation of nymphs and adults of Rhodnius prolixus Stal, 1859 and Panstrongylus geniculatus Latreille, 1811 was detected in 3 (15%) of 20 dwellings in El Guamito, an endemic focus of Chagas disease in Lara State, Venezuela. In one of the houses, both species were positive for Trypanosoma cruzi: 14.3% (R. prolixus) and 20% (P. geniculatus ). The overall infection rate in 143 of 352 R. prolixus was 16.1%. Parasites isolated from R. prolixus were identified as T. cruzi I by random amplified polymorphic DNA analysis. Dot-enzyme-linked immunosorbent assays of 36 R. prolixus showed that 58.3% of the R. prolixus had fed on humans. The gut contents of one fifth-instar nymph of P. geniculatus that was positive for T. cruzi also reacted with anti-human serum. A questionnaire was used to gather data on the demographic and socioeconomic characteristics of the population. An indirect immunofluorescent test, an indirect hemaglutination test, and an ELISA were used to detect the presence of antibodies against T. cruzi in 84 of 86 inhabitants and in 15.5% of people more than 20 years old. The relative risk (RR) of infection was greater in men than in women (RR = 1.61, 95% confidence interval = 0.54-4.80). Of the people more than 15 years old, 36.6% had no formal education. All respondents recognized triatomine bugs, but they did not relate them to Chagas disease transmission. A total of 85.7% of the houses were \"ranchos\" suitable for the colonization of triatomine bugs. The possible domiciliation of P. geniculatus and the implications of competition with R. prolixus for resources are discussed. Since there is no clear separation of food sources, abiotic factors such as microclimatic variation within houses may be critical to predict the outcome of the process of competition and potential domestication of this generally sylvatic species.", "author" : [ { "dropping-particle" : "", "family" : "Feliciangeli", "given" : "M Dora", "non-dropping-particle" : "", "parse-names" : false, "suffix" : "" }, { "dropping-particle" : "", "family" : "Carrasco", "given" : "Hern\u00e1n", "non-dropping-particle" : "", "parse-names" : false, "suffix" : "" }, { "dropping-particle" : "", "family" : "Patterson", "given" : "James S", "non-dropping-particle" : "", "parse-names" : false, "suffix" : "" }, { "dropping-particle" : "", "family" : "Suarez", "given" : "Benny", "non-dropping-particle" : "", "parse-names" : false, "suffix" : "" }, { "dropping-particle" : "", "family" : "Mart\u00ednez", "given" : "Clara", "non-dropping-particle" : "", "parse-names" : false, "suffix" : "" }, { "dropping-particle" : "", "family" : "Medina", "given" : "Mehudy", "non-dropping-particle" : "", "parse-names" : false, "suffix" : "" } ], "container-title" : "The American journal of tropical medicine and hygiene", "id" : "ITEM-1", "issue" : "4", "issued" : { "date-parts" : [ [ "2004", "10" ] ] }, "page" : "501-5", "title" : "Mixed domestic infestation by Rhodnius prolixus Stal, 1859 and Panstrongylus geniculatus Latreille, 1811, vector incrimination, and seroprevalence for Trypanosoma cruzi among inhabitants in El Guamito, Lara State, Venezuela.", "type" : "article-journal", "volume" : "71" }, "uris" : [ "http://www.mendeley.com/documents/?uuid=5465fc94-16a0-4596-a323-01782002d85b", "http://www.mendeley.com/documents/?uuid=4ebddc73-9f57-4cec-85af-eda22a77356f" ] } ], "mendeley" : { "formattedCitation" : "[9]", "plainTextFormattedCitation" : "[9]", "previouslyFormattedCitation" : "[9]" }, "properties" : { "noteIndex" : 0 }, "schema" : "https://github.com/citation-style-language/schema/raw/master/csl-citation.json" }</w:instrText>
      </w:r>
      <w:r w:rsidR="0075732B" w:rsidRPr="005E5A74">
        <w:rPr>
          <w:rFonts w:ascii="Times" w:eastAsia="Times New Roman" w:hAnsi="Times"/>
          <w:lang w:val="en-US"/>
        </w:rPr>
        <w:fldChar w:fldCharType="separate"/>
      </w:r>
      <w:r w:rsidR="00F755B8" w:rsidRPr="005E5A74">
        <w:rPr>
          <w:rFonts w:ascii="Times" w:eastAsia="Times New Roman" w:hAnsi="Times"/>
          <w:noProof/>
          <w:lang w:val="en-US"/>
        </w:rPr>
        <w:t>[9]</w:t>
      </w:r>
      <w:r w:rsidR="0075732B" w:rsidRPr="005E5A74">
        <w:rPr>
          <w:rFonts w:ascii="Times" w:eastAsia="Times New Roman" w:hAnsi="Times"/>
          <w:lang w:val="en-US"/>
        </w:rPr>
        <w:fldChar w:fldCharType="end"/>
      </w:r>
      <w:r w:rsidR="00EB0507" w:rsidRPr="005E5A74">
        <w:rPr>
          <w:rFonts w:ascii="Times" w:eastAsia="Times New Roman" w:hAnsi="Times"/>
          <w:lang w:val="en-US"/>
        </w:rPr>
        <w:t>)</w:t>
      </w:r>
      <w:r w:rsidR="00EB0507" w:rsidRPr="005E5A74">
        <w:rPr>
          <w:rFonts w:ascii="Times" w:hAnsi="Times"/>
          <w:lang w:val="en-US"/>
        </w:rPr>
        <w:t xml:space="preserve"> and </w:t>
      </w:r>
      <w:r w:rsidR="00D91BA4" w:rsidRPr="005E5A74">
        <w:rPr>
          <w:rFonts w:ascii="Times" w:eastAsia="Times New Roman" w:hAnsi="Times"/>
          <w:lang w:val="en-US"/>
        </w:rPr>
        <w:t>p</w:t>
      </w:r>
      <w:r w:rsidR="0075732B" w:rsidRPr="005E5A74">
        <w:rPr>
          <w:rFonts w:ascii="Times" w:eastAsia="Times New Roman" w:hAnsi="Times"/>
          <w:lang w:val="en-US"/>
        </w:rPr>
        <w:t xml:space="preserve">robability of transmission per contact with an infected </w:t>
      </w:r>
      <w:proofErr w:type="spellStart"/>
      <w:r w:rsidR="0075732B" w:rsidRPr="005E5A74">
        <w:rPr>
          <w:rFonts w:ascii="Times" w:eastAsia="Times New Roman" w:hAnsi="Times"/>
          <w:lang w:val="en-US"/>
        </w:rPr>
        <w:t>Triatomine</w:t>
      </w:r>
      <w:proofErr w:type="spellEnd"/>
      <w:r w:rsidR="00EB0507" w:rsidRPr="005E5A74">
        <w:rPr>
          <w:rFonts w:ascii="Times" w:eastAsia="Times New Roman" w:hAnsi="Times"/>
          <w:lang w:val="en-US"/>
        </w:rPr>
        <w:t xml:space="preserve"> (</w:t>
      </w:r>
      <w:r w:rsidR="0075732B" w:rsidRPr="005E5A74">
        <w:rPr>
          <w:rFonts w:ascii="Times" w:hAnsi="Times"/>
          <w:lang w:val="en-US"/>
        </w:rPr>
        <w:t xml:space="preserve">5.8 </w:t>
      </w:r>
      <w:r w:rsidR="00916B68" w:rsidRPr="005E5A74">
        <w:rPr>
          <w:rFonts w:ascii="Times" w:hAnsi="Times" w:cs="Times"/>
          <w:lang w:val="en-US"/>
        </w:rPr>
        <w:t>×</w:t>
      </w:r>
      <w:r w:rsidR="00916B68" w:rsidRPr="005E5A74">
        <w:rPr>
          <w:rFonts w:ascii="Times" w:hAnsi="Times"/>
          <w:lang w:val="en-US"/>
        </w:rPr>
        <w:t xml:space="preserve"> </w:t>
      </w:r>
      <w:r w:rsidR="0075732B" w:rsidRPr="005E5A74">
        <w:rPr>
          <w:rFonts w:ascii="Times" w:hAnsi="Times"/>
          <w:lang w:val="en-US"/>
        </w:rPr>
        <w:t>10</w:t>
      </w:r>
      <w:r w:rsidR="0075732B" w:rsidRPr="005E5A74">
        <w:rPr>
          <w:rFonts w:ascii="Times" w:hAnsi="Times"/>
          <w:vertAlign w:val="superscript"/>
          <w:lang w:val="en-US"/>
        </w:rPr>
        <w:t>-4</w:t>
      </w:r>
      <w:r w:rsidR="0075732B" w:rsidRPr="005E5A74">
        <w:rPr>
          <w:rFonts w:ascii="Times" w:eastAsia="Times New Roman" w:hAnsi="Times"/>
          <w:lang w:val="en-US"/>
        </w:rPr>
        <w:t xml:space="preserve"> </w:t>
      </w:r>
      <w:r w:rsidR="0075732B" w:rsidRPr="005E5A74">
        <w:rPr>
          <w:rFonts w:ascii="Times" w:eastAsia="Times New Roman" w:hAnsi="Times"/>
          <w:lang w:val="en-US"/>
        </w:rPr>
        <w:fldChar w:fldCharType="begin" w:fldLock="1"/>
      </w:r>
      <w:r w:rsidR="00F755B8" w:rsidRPr="005E5A74">
        <w:rPr>
          <w:rFonts w:ascii="Times" w:eastAsia="Times New Roman" w:hAnsi="Times"/>
          <w:lang w:val="en-US"/>
        </w:rPr>
        <w:instrText>ADDIN CSL_CITATION { "citationItems" : [ { "id" : "ITEM-1", "itemData" : { "DOI" : "10.1371/journal.pntd.0002505", "ISSN" : "1935-2735", "author" : [ { "dropping-particle" : "", "family" : "Nouvellet", "given" : "Pierre", "non-dropping-particle" : "", "parse-names" : false, "suffix" : "" }, { "dropping-particle" : "", "family" : "Dumonteil", "given" : "Eric", "non-dropping-particle" : "", "parse-names" : false, "suffix" : "" }, { "dropping-particle" : "", "family" : "Gourbi\u00c3\u00a8re", "given" : "S\u00c3\u00a9bastien", "non-dropping-particle" : "", "parse-names" : false, "suffix" : "" } ], "container-title" : "PLoS Neglected Tropical Diseases", "id" : "ITEM-1", "issue" : "11", "issued" : { "date-parts" : [ [ "2013" ] ] }, "page" : "e2505", "title" : "The Improbable Transmission of Trypanosoma cruzi to Human: The Missing Link in the Dynamics and Control of Chagas Disease", "type" : "article-journal", "volume" : "7" }, "uris" : [ "http://www.mendeley.com/documents/?uuid=997f1bfa-ec3d-45bc-88c4-cad99fbe8e91", "http://www.mendeley.com/documents/?uuid=47d27e83-6962-4407-9c1a-95228fb4c32d" ] } ], "mendeley" : { "formattedCitation" : "[10]", "plainTextFormattedCitation" : "[10]", "previouslyFormattedCitation" : "[10]" }, "properties" : { "noteIndex" : 0 }, "schema" : "https://github.com/citation-style-language/schema/raw/master/csl-citation.json" }</w:instrText>
      </w:r>
      <w:r w:rsidR="0075732B" w:rsidRPr="005E5A74">
        <w:rPr>
          <w:rFonts w:ascii="Times" w:eastAsia="Times New Roman" w:hAnsi="Times"/>
          <w:lang w:val="en-US"/>
        </w:rPr>
        <w:fldChar w:fldCharType="separate"/>
      </w:r>
      <w:r w:rsidR="00F755B8" w:rsidRPr="005E5A74">
        <w:rPr>
          <w:rFonts w:ascii="Times" w:eastAsia="Times New Roman" w:hAnsi="Times"/>
          <w:noProof/>
          <w:lang w:val="en-US"/>
        </w:rPr>
        <w:t>[10]</w:t>
      </w:r>
      <w:r w:rsidR="0075732B" w:rsidRPr="005E5A74">
        <w:rPr>
          <w:rFonts w:ascii="Times" w:eastAsia="Times New Roman" w:hAnsi="Times"/>
          <w:lang w:val="en-US"/>
        </w:rPr>
        <w:fldChar w:fldCharType="end"/>
      </w:r>
      <w:r w:rsidR="00EB0507" w:rsidRPr="005E5A74">
        <w:rPr>
          <w:rFonts w:ascii="Times" w:eastAsia="Times New Roman" w:hAnsi="Times"/>
          <w:lang w:val="en-US"/>
        </w:rPr>
        <w:t>)</w:t>
      </w:r>
      <w:r w:rsidR="00D91BA4" w:rsidRPr="005E5A74">
        <w:rPr>
          <w:rFonts w:ascii="Times" w:eastAsia="Times New Roman" w:hAnsi="Times"/>
          <w:lang w:val="en-US"/>
        </w:rPr>
        <w:t>.</w:t>
      </w:r>
      <w:r w:rsidR="00EB0507" w:rsidRPr="005E5A74">
        <w:rPr>
          <w:rFonts w:ascii="Times" w:eastAsia="Times New Roman" w:hAnsi="Times"/>
          <w:lang w:val="en-US"/>
        </w:rPr>
        <w:t xml:space="preserve"> Therefore</w:t>
      </w:r>
      <w:r w:rsidR="007F3E92" w:rsidRPr="005E5A74">
        <w:rPr>
          <w:rFonts w:ascii="Times" w:eastAsia="Times New Roman" w:hAnsi="Times"/>
          <w:lang w:val="en-US"/>
        </w:rPr>
        <w:t>, we</w:t>
      </w:r>
      <w:r w:rsidR="0075732B" w:rsidRPr="005E5A74">
        <w:rPr>
          <w:rFonts w:ascii="Times" w:eastAsia="Times New Roman" w:hAnsi="Times"/>
          <w:lang w:val="en-US"/>
        </w:rPr>
        <w:t xml:space="preserve"> obtain </w:t>
      </w:r>
      <w:r w:rsidR="0075732B" w:rsidRPr="005E5A74">
        <w:rPr>
          <w:rFonts w:ascii="Times" w:hAnsi="Times"/>
          <w:lang w:val="en-US"/>
        </w:rPr>
        <w:t xml:space="preserve">3.9 </w:t>
      </w:r>
      <w:r w:rsidR="00916B68" w:rsidRPr="005E5A74">
        <w:rPr>
          <w:rFonts w:ascii="Times" w:hAnsi="Times" w:cs="Times"/>
          <w:lang w:val="en-US"/>
        </w:rPr>
        <w:t xml:space="preserve">× </w:t>
      </w:r>
      <w:r w:rsidR="0075732B" w:rsidRPr="005E5A74">
        <w:rPr>
          <w:rFonts w:ascii="Times" w:hAnsi="Times"/>
          <w:lang w:val="en-US"/>
        </w:rPr>
        <w:t>10</w:t>
      </w:r>
      <w:r w:rsidR="0075732B" w:rsidRPr="005E5A74">
        <w:rPr>
          <w:rFonts w:ascii="Times" w:hAnsi="Times"/>
          <w:vertAlign w:val="superscript"/>
          <w:lang w:val="en-US"/>
        </w:rPr>
        <w:t>-4</w:t>
      </w:r>
      <w:r w:rsidR="0075732B" w:rsidRPr="005E5A74">
        <w:rPr>
          <w:rFonts w:ascii="Times" w:eastAsia="Times New Roman" w:hAnsi="Times"/>
          <w:lang w:val="en-US"/>
        </w:rPr>
        <w:t xml:space="preserve"> new infected people per insect per year.</w:t>
      </w:r>
      <w:r w:rsidR="00415BF9" w:rsidRPr="005E5A74">
        <w:rPr>
          <w:rFonts w:ascii="Times" w:eastAsia="Times New Roman" w:hAnsi="Times"/>
          <w:lang w:val="en-US"/>
        </w:rPr>
        <w:t xml:space="preserve"> </w:t>
      </w:r>
      <w:r w:rsidR="00EB0507" w:rsidRPr="005E5A74">
        <w:rPr>
          <w:rFonts w:ascii="Times" w:eastAsia="Times New Roman" w:hAnsi="Times"/>
          <w:lang w:val="en-US"/>
        </w:rPr>
        <w:t>F</w:t>
      </w:r>
      <w:r w:rsidR="0075732B" w:rsidRPr="005E5A74">
        <w:rPr>
          <w:rFonts w:ascii="Times" w:eastAsia="Times New Roman" w:hAnsi="Times"/>
          <w:lang w:val="en-US"/>
        </w:rPr>
        <w:t xml:space="preserve">or </w:t>
      </w:r>
      <w:proofErr w:type="spellStart"/>
      <w:r w:rsidR="0075732B" w:rsidRPr="005E5A74">
        <w:rPr>
          <w:rFonts w:ascii="Times" w:eastAsia="Times New Roman" w:hAnsi="Times"/>
          <w:lang w:val="en-US"/>
        </w:rPr>
        <w:t>Chavinave</w:t>
      </w:r>
      <w:proofErr w:type="spellEnd"/>
      <w:r w:rsidR="00EB0507" w:rsidRPr="005E5A74">
        <w:rPr>
          <w:rFonts w:ascii="Times" w:eastAsia="Times New Roman" w:hAnsi="Times"/>
          <w:lang w:val="en-US"/>
        </w:rPr>
        <w:t xml:space="preserve"> village with</w:t>
      </w:r>
      <w:r w:rsidR="0075732B" w:rsidRPr="005E5A74">
        <w:rPr>
          <w:rFonts w:ascii="Times" w:eastAsia="Times New Roman" w:hAnsi="Times"/>
          <w:lang w:val="en-US"/>
        </w:rPr>
        <w:t xml:space="preserve"> a hum</w:t>
      </w:r>
      <w:r w:rsidR="00EB0507" w:rsidRPr="005E5A74">
        <w:rPr>
          <w:rFonts w:ascii="Times" w:eastAsia="Times New Roman" w:hAnsi="Times"/>
          <w:lang w:val="en-US"/>
        </w:rPr>
        <w:t xml:space="preserve">an population of </w:t>
      </w:r>
      <w:r w:rsidR="00EB0507" w:rsidRPr="005E5A74">
        <w:rPr>
          <w:rFonts w:ascii="Times" w:eastAsia="Times New Roman" w:hAnsi="Times"/>
          <w:lang w:val="en-US"/>
        </w:rPr>
        <w:lastRenderedPageBreak/>
        <w:t>122 people (2012),</w:t>
      </w:r>
      <w:r w:rsidR="0075732B" w:rsidRPr="005E5A74">
        <w:rPr>
          <w:rFonts w:ascii="Times" w:eastAsia="Times New Roman" w:hAnsi="Times"/>
          <w:lang w:val="en-US"/>
        </w:rPr>
        <w:t xml:space="preserve"> an average of </w:t>
      </w:r>
      <w:r w:rsidR="00415BF9" w:rsidRPr="005E5A74">
        <w:rPr>
          <w:rFonts w:ascii="Times" w:eastAsia="Times New Roman" w:hAnsi="Times"/>
          <w:lang w:val="en-US"/>
        </w:rPr>
        <w:t>3.</w:t>
      </w:r>
      <w:r w:rsidR="0075732B" w:rsidRPr="005E5A74">
        <w:rPr>
          <w:rFonts w:ascii="Times" w:eastAsia="Times New Roman" w:hAnsi="Times"/>
          <w:lang w:val="en-US"/>
        </w:rPr>
        <w:t>2</w:t>
      </w:r>
      <w:r w:rsidR="00EB0507" w:rsidRPr="005E5A74">
        <w:rPr>
          <w:rFonts w:ascii="Times" w:eastAsia="Times New Roman" w:hAnsi="Times"/>
          <w:lang w:val="en-US"/>
        </w:rPr>
        <w:t xml:space="preserve">5 insects per house per year and </w:t>
      </w:r>
      <w:r w:rsidR="0075732B" w:rsidRPr="005E5A74">
        <w:rPr>
          <w:rFonts w:ascii="Times" w:eastAsia="Times New Roman" w:hAnsi="Times"/>
          <w:lang w:val="en-US"/>
        </w:rPr>
        <w:t>8</w:t>
      </w:r>
      <w:r w:rsidR="00415BF9" w:rsidRPr="005E5A74">
        <w:rPr>
          <w:rFonts w:ascii="Times" w:eastAsia="Times New Roman" w:hAnsi="Times"/>
          <w:lang w:val="en-US"/>
        </w:rPr>
        <w:t>5</w:t>
      </w:r>
      <w:r w:rsidR="0075732B" w:rsidRPr="005E5A74">
        <w:rPr>
          <w:rFonts w:ascii="Times" w:eastAsia="Times New Roman" w:hAnsi="Times"/>
          <w:lang w:val="en-US"/>
        </w:rPr>
        <w:t xml:space="preserve">% </w:t>
      </w:r>
      <w:r w:rsidR="00EB0507" w:rsidRPr="005E5A74">
        <w:rPr>
          <w:rFonts w:ascii="Times" w:eastAsia="Times New Roman" w:hAnsi="Times"/>
          <w:lang w:val="en-US"/>
        </w:rPr>
        <w:t xml:space="preserve">of </w:t>
      </w:r>
      <w:r w:rsidR="0075732B" w:rsidRPr="005E5A74">
        <w:rPr>
          <w:rFonts w:ascii="Times" w:eastAsia="Times New Roman" w:hAnsi="Times"/>
          <w:lang w:val="en-US"/>
        </w:rPr>
        <w:t xml:space="preserve">infested houses would result in 1 new case </w:t>
      </w:r>
      <w:r w:rsidR="007F3E92" w:rsidRPr="005E5A74">
        <w:rPr>
          <w:rFonts w:ascii="Times" w:eastAsia="Times New Roman" w:hAnsi="Times"/>
          <w:lang w:val="en-US"/>
        </w:rPr>
        <w:t xml:space="preserve">every </w:t>
      </w:r>
      <w:r w:rsidR="00415BF9" w:rsidRPr="005E5A74">
        <w:rPr>
          <w:rFonts w:ascii="Times" w:eastAsia="Times New Roman" w:hAnsi="Times"/>
          <w:lang w:val="en-US"/>
        </w:rPr>
        <w:t>year</w:t>
      </w:r>
      <w:r w:rsidR="007F3E92" w:rsidRPr="005E5A74">
        <w:rPr>
          <w:rFonts w:ascii="Times" w:eastAsia="Times New Roman" w:hAnsi="Times"/>
          <w:lang w:val="en-US"/>
        </w:rPr>
        <w:t xml:space="preserve">. </w:t>
      </w:r>
    </w:p>
    <w:p w14:paraId="519DC5CF" w14:textId="2CBA82EC" w:rsidR="00F755B8" w:rsidRPr="005E5A74" w:rsidRDefault="00F755B8" w:rsidP="005C4117">
      <w:pPr>
        <w:pStyle w:val="NormalWeb"/>
        <w:spacing w:line="480" w:lineRule="auto"/>
        <w:rPr>
          <w:rFonts w:ascii="Times" w:eastAsia="Times New Roman" w:hAnsi="Times"/>
          <w:b/>
          <w:lang w:val="en-US"/>
        </w:rPr>
      </w:pPr>
      <w:r w:rsidRPr="005E5A74">
        <w:rPr>
          <w:rFonts w:ascii="Times" w:eastAsia="Times New Roman" w:hAnsi="Times"/>
          <w:b/>
          <w:lang w:val="en-US"/>
        </w:rPr>
        <w:t>References</w:t>
      </w:r>
    </w:p>
    <w:p w14:paraId="3C3BE40D" w14:textId="3962B615" w:rsidR="00F755B8" w:rsidRPr="005E5A74" w:rsidRDefault="00F755B8" w:rsidP="005C4117">
      <w:pPr>
        <w:widowControl w:val="0"/>
        <w:autoSpaceDE w:val="0"/>
        <w:autoSpaceDN w:val="0"/>
        <w:adjustRightInd w:val="0"/>
        <w:spacing w:before="100" w:after="100" w:line="480" w:lineRule="auto"/>
        <w:rPr>
          <w:rFonts w:ascii="Times" w:hAnsi="Times"/>
          <w:noProof/>
          <w:lang w:val="es-ES"/>
        </w:rPr>
      </w:pPr>
      <w:r w:rsidRPr="005E5A74">
        <w:rPr>
          <w:rFonts w:ascii="Times" w:hAnsi="Times"/>
          <w:noProof/>
        </w:rPr>
        <w:t>1. Schofield CJ, Matthews JN</w:t>
      </w:r>
      <w:r w:rsidR="00916B68" w:rsidRPr="005E5A74">
        <w:rPr>
          <w:rFonts w:ascii="Times" w:hAnsi="Times"/>
          <w:noProof/>
        </w:rPr>
        <w:t xml:space="preserve">. </w:t>
      </w:r>
      <w:r w:rsidRPr="005E5A74">
        <w:rPr>
          <w:rFonts w:ascii="Times" w:hAnsi="Times"/>
          <w:bCs/>
          <w:noProof/>
        </w:rPr>
        <w:t xml:space="preserve">Theoretical approach to active dispersal and colonization of houses by </w:t>
      </w:r>
      <w:r w:rsidRPr="005E5A74">
        <w:rPr>
          <w:rFonts w:ascii="Times" w:hAnsi="Times"/>
          <w:bCs/>
          <w:i/>
          <w:noProof/>
        </w:rPr>
        <w:t>Triatoma infestans</w:t>
      </w:r>
      <w:r w:rsidRPr="005E5A74">
        <w:rPr>
          <w:rFonts w:ascii="Times" w:hAnsi="Times"/>
          <w:noProof/>
        </w:rPr>
        <w:t xml:space="preserve">. </w:t>
      </w:r>
      <w:r w:rsidRPr="005E5A74">
        <w:rPr>
          <w:rFonts w:ascii="Times" w:hAnsi="Times"/>
          <w:iCs/>
          <w:noProof/>
          <w:lang w:val="es-ES"/>
        </w:rPr>
        <w:t>J Trop Med Hyg</w:t>
      </w:r>
      <w:r w:rsidR="00916B68" w:rsidRPr="005E5A74">
        <w:rPr>
          <w:rFonts w:ascii="Times" w:hAnsi="Times"/>
          <w:iCs/>
          <w:noProof/>
          <w:lang w:val="es-ES"/>
        </w:rPr>
        <w:t>.</w:t>
      </w:r>
      <w:r w:rsidRPr="005E5A74">
        <w:rPr>
          <w:rFonts w:ascii="Times" w:hAnsi="Times"/>
          <w:noProof/>
          <w:lang w:val="es-ES"/>
        </w:rPr>
        <w:t xml:space="preserve"> 1985</w:t>
      </w:r>
      <w:r w:rsidR="00916B68" w:rsidRPr="005E5A74">
        <w:rPr>
          <w:rFonts w:ascii="Times" w:hAnsi="Times"/>
          <w:noProof/>
          <w:lang w:val="es-ES"/>
        </w:rPr>
        <w:t>;</w:t>
      </w:r>
      <w:r w:rsidRPr="005E5A74">
        <w:rPr>
          <w:rFonts w:ascii="Times" w:hAnsi="Times"/>
          <w:bCs/>
          <w:noProof/>
          <w:lang w:val="es-ES"/>
        </w:rPr>
        <w:t>88</w:t>
      </w:r>
      <w:r w:rsidRPr="005E5A74">
        <w:rPr>
          <w:rFonts w:ascii="Times" w:hAnsi="Times"/>
          <w:noProof/>
          <w:lang w:val="es-ES"/>
        </w:rPr>
        <w:t>:211–22.</w:t>
      </w:r>
    </w:p>
    <w:p w14:paraId="60A8946C" w14:textId="07D29FD7" w:rsidR="00F755B8" w:rsidRPr="005E5A74" w:rsidRDefault="00F755B8" w:rsidP="005C4117">
      <w:pPr>
        <w:widowControl w:val="0"/>
        <w:autoSpaceDE w:val="0"/>
        <w:autoSpaceDN w:val="0"/>
        <w:adjustRightInd w:val="0"/>
        <w:spacing w:before="100" w:after="100" w:line="480" w:lineRule="auto"/>
        <w:rPr>
          <w:rFonts w:ascii="Times" w:hAnsi="Times"/>
          <w:noProof/>
          <w:lang w:val="es-ES"/>
        </w:rPr>
      </w:pPr>
      <w:r w:rsidRPr="005E5A74">
        <w:rPr>
          <w:rFonts w:ascii="Times" w:hAnsi="Times"/>
          <w:noProof/>
          <w:lang w:val="es-ES"/>
        </w:rPr>
        <w:t>2. Arévalo A, Carranza JC, Guhl F, Clavijo JA, Vallejo GA</w:t>
      </w:r>
      <w:r w:rsidR="00916B68" w:rsidRPr="005E5A74">
        <w:rPr>
          <w:rFonts w:ascii="Times" w:hAnsi="Times"/>
          <w:noProof/>
          <w:lang w:val="es-ES"/>
        </w:rPr>
        <w:t>.</w:t>
      </w:r>
      <w:r w:rsidRPr="005E5A74">
        <w:rPr>
          <w:rFonts w:ascii="Times" w:hAnsi="Times"/>
          <w:noProof/>
          <w:lang w:val="es-ES"/>
        </w:rPr>
        <w:t xml:space="preserve"> </w:t>
      </w:r>
      <w:r w:rsidRPr="005E5A74">
        <w:rPr>
          <w:rFonts w:ascii="Times" w:hAnsi="Times"/>
          <w:bCs/>
          <w:noProof/>
          <w:lang w:val="es-ES"/>
        </w:rPr>
        <w:t xml:space="preserve">Comparación del ciclo de vida de </w:t>
      </w:r>
      <w:r w:rsidRPr="005E5A74">
        <w:rPr>
          <w:rFonts w:ascii="Times" w:hAnsi="Times"/>
          <w:bCs/>
          <w:i/>
          <w:iCs/>
          <w:noProof/>
          <w:lang w:val="es-ES"/>
        </w:rPr>
        <w:t>Rhodnius colombiensis</w:t>
      </w:r>
      <w:r w:rsidRPr="005E5A74">
        <w:rPr>
          <w:rFonts w:ascii="Times" w:hAnsi="Times"/>
          <w:bCs/>
          <w:noProof/>
          <w:lang w:val="es-ES"/>
        </w:rPr>
        <w:t xml:space="preserve"> Moreno , Jurberg &amp; Galvão , 1999 y </w:t>
      </w:r>
      <w:r w:rsidRPr="005E5A74">
        <w:rPr>
          <w:rFonts w:ascii="Times" w:hAnsi="Times"/>
          <w:bCs/>
          <w:i/>
          <w:iCs/>
          <w:noProof/>
          <w:lang w:val="es-ES"/>
        </w:rPr>
        <w:t>Rhodnius prolixus</w:t>
      </w:r>
      <w:r w:rsidRPr="005E5A74">
        <w:rPr>
          <w:rFonts w:ascii="Times" w:hAnsi="Times"/>
          <w:bCs/>
          <w:noProof/>
          <w:lang w:val="es-ES"/>
        </w:rPr>
        <w:t xml:space="preserve"> Stal , 1872 (Hemiptera, Reduviidae, Triatominae) en condiciones de laboratorio</w:t>
      </w:r>
      <w:r w:rsidRPr="005E5A74">
        <w:rPr>
          <w:rFonts w:ascii="Times" w:hAnsi="Times"/>
          <w:noProof/>
          <w:lang w:val="es-ES"/>
        </w:rPr>
        <w:t xml:space="preserve">. </w:t>
      </w:r>
      <w:r w:rsidRPr="005E5A74">
        <w:rPr>
          <w:rFonts w:ascii="Times" w:hAnsi="Times"/>
          <w:iCs/>
          <w:noProof/>
          <w:lang w:val="es-ES"/>
        </w:rPr>
        <w:t>Biomédica</w:t>
      </w:r>
      <w:r w:rsidR="00916B68" w:rsidRPr="005E5A74">
        <w:rPr>
          <w:rFonts w:ascii="Times" w:hAnsi="Times"/>
          <w:i/>
          <w:iCs/>
          <w:noProof/>
          <w:lang w:val="es-ES"/>
        </w:rPr>
        <w:t>.</w:t>
      </w:r>
      <w:r w:rsidRPr="005E5A74">
        <w:rPr>
          <w:rFonts w:ascii="Times" w:hAnsi="Times"/>
          <w:noProof/>
          <w:lang w:val="es-ES"/>
        </w:rPr>
        <w:t xml:space="preserve"> 2007</w:t>
      </w:r>
      <w:r w:rsidR="00916B68" w:rsidRPr="005E5A74">
        <w:rPr>
          <w:rFonts w:ascii="Times" w:hAnsi="Times"/>
          <w:noProof/>
          <w:lang w:val="es-ES"/>
        </w:rPr>
        <w:t>;</w:t>
      </w:r>
      <w:r w:rsidRPr="005E5A74">
        <w:rPr>
          <w:rFonts w:ascii="Times" w:hAnsi="Times"/>
          <w:bCs/>
          <w:noProof/>
          <w:lang w:val="es-ES"/>
        </w:rPr>
        <w:t>27</w:t>
      </w:r>
      <w:r w:rsidRPr="005E5A74">
        <w:rPr>
          <w:rFonts w:ascii="Times" w:hAnsi="Times"/>
          <w:noProof/>
          <w:lang w:val="es-ES"/>
        </w:rPr>
        <w:t>:119–129.</w:t>
      </w:r>
    </w:p>
    <w:p w14:paraId="3E52DAF0" w14:textId="69BC5FF0" w:rsidR="00F755B8" w:rsidRPr="005E5A74" w:rsidRDefault="00F755B8" w:rsidP="005C4117">
      <w:pPr>
        <w:widowControl w:val="0"/>
        <w:autoSpaceDE w:val="0"/>
        <w:autoSpaceDN w:val="0"/>
        <w:adjustRightInd w:val="0"/>
        <w:spacing w:before="100" w:after="100" w:line="480" w:lineRule="auto"/>
        <w:rPr>
          <w:rFonts w:ascii="Times" w:hAnsi="Times"/>
          <w:noProof/>
          <w:lang w:val="es-ES"/>
        </w:rPr>
      </w:pPr>
      <w:r w:rsidRPr="005E5A74">
        <w:rPr>
          <w:rFonts w:ascii="Times" w:hAnsi="Times"/>
          <w:noProof/>
          <w:lang w:val="es-ES"/>
        </w:rPr>
        <w:t>3. Chaves LF, Hernandez M-J, Revilla T a., Rodríguez DJ, Rabinovich JE</w:t>
      </w:r>
      <w:r w:rsidR="00916B68" w:rsidRPr="005E5A74">
        <w:rPr>
          <w:rFonts w:ascii="Times" w:hAnsi="Times"/>
          <w:noProof/>
          <w:lang w:val="es-ES"/>
        </w:rPr>
        <w:t>.</w:t>
      </w:r>
      <w:r w:rsidRPr="005E5A74">
        <w:rPr>
          <w:rFonts w:ascii="Times" w:hAnsi="Times"/>
          <w:noProof/>
          <w:lang w:val="es-ES"/>
        </w:rPr>
        <w:t xml:space="preserve"> </w:t>
      </w:r>
      <w:r w:rsidRPr="005E5A74">
        <w:rPr>
          <w:rFonts w:ascii="Times" w:hAnsi="Times"/>
          <w:bCs/>
          <w:noProof/>
          <w:lang w:val="es-ES"/>
        </w:rPr>
        <w:t xml:space="preserve">Mortality profiles of </w:t>
      </w:r>
      <w:r w:rsidRPr="005E5A74">
        <w:rPr>
          <w:rFonts w:ascii="Times" w:hAnsi="Times"/>
          <w:bCs/>
          <w:i/>
          <w:noProof/>
          <w:lang w:val="es-ES"/>
        </w:rPr>
        <w:t>Rhodnius prolixus</w:t>
      </w:r>
      <w:r w:rsidRPr="005E5A74">
        <w:rPr>
          <w:rFonts w:ascii="Times" w:hAnsi="Times"/>
          <w:bCs/>
          <w:noProof/>
          <w:lang w:val="es-ES"/>
        </w:rPr>
        <w:t xml:space="preserve"> (Heteroptera: Reduviidae), vector of Chagas disease</w:t>
      </w:r>
      <w:r w:rsidRPr="005E5A74">
        <w:rPr>
          <w:rFonts w:ascii="Times" w:hAnsi="Times"/>
          <w:noProof/>
          <w:lang w:val="es-ES"/>
        </w:rPr>
        <w:t xml:space="preserve">. </w:t>
      </w:r>
      <w:r w:rsidRPr="005E5A74">
        <w:rPr>
          <w:rFonts w:ascii="Times" w:hAnsi="Times"/>
          <w:iCs/>
          <w:noProof/>
          <w:lang w:val="es-ES"/>
        </w:rPr>
        <w:t>Acta Trop</w:t>
      </w:r>
      <w:r w:rsidR="00916B68" w:rsidRPr="005E5A74">
        <w:rPr>
          <w:rFonts w:ascii="Times" w:hAnsi="Times"/>
          <w:i/>
          <w:iCs/>
          <w:noProof/>
          <w:lang w:val="es-ES"/>
        </w:rPr>
        <w:t>.</w:t>
      </w:r>
      <w:r w:rsidRPr="005E5A74">
        <w:rPr>
          <w:rFonts w:ascii="Times" w:hAnsi="Times"/>
          <w:noProof/>
          <w:lang w:val="es-ES"/>
        </w:rPr>
        <w:t xml:space="preserve"> 2004</w:t>
      </w:r>
      <w:r w:rsidR="00916B68" w:rsidRPr="005E5A74">
        <w:rPr>
          <w:rFonts w:ascii="Times" w:hAnsi="Times"/>
          <w:noProof/>
          <w:lang w:val="es-ES"/>
        </w:rPr>
        <w:t>;</w:t>
      </w:r>
      <w:r w:rsidRPr="005E5A74">
        <w:rPr>
          <w:rFonts w:ascii="Times" w:hAnsi="Times"/>
          <w:bCs/>
          <w:noProof/>
          <w:lang w:val="es-ES"/>
        </w:rPr>
        <w:t>92</w:t>
      </w:r>
      <w:r w:rsidRPr="005E5A74">
        <w:rPr>
          <w:rFonts w:ascii="Times" w:hAnsi="Times"/>
          <w:noProof/>
          <w:lang w:val="es-ES"/>
        </w:rPr>
        <w:t>:119–125.</w:t>
      </w:r>
    </w:p>
    <w:p w14:paraId="0BA5EBA7" w14:textId="354C0606" w:rsidR="00F755B8" w:rsidRPr="005E5A74" w:rsidRDefault="00F755B8" w:rsidP="005C4117">
      <w:pPr>
        <w:widowControl w:val="0"/>
        <w:autoSpaceDE w:val="0"/>
        <w:autoSpaceDN w:val="0"/>
        <w:adjustRightInd w:val="0"/>
        <w:spacing w:before="100" w:after="100" w:line="480" w:lineRule="auto"/>
        <w:rPr>
          <w:rFonts w:ascii="Times" w:hAnsi="Times"/>
          <w:noProof/>
          <w:lang w:val="es-ES"/>
        </w:rPr>
      </w:pPr>
      <w:r w:rsidRPr="005E5A74">
        <w:rPr>
          <w:rFonts w:ascii="Times" w:hAnsi="Times"/>
          <w:noProof/>
          <w:lang w:val="es-ES"/>
        </w:rPr>
        <w:t>4. Angulo VM, Esteban L, Luna KP</w:t>
      </w:r>
      <w:r w:rsidR="00916B68" w:rsidRPr="005E5A74">
        <w:rPr>
          <w:rFonts w:ascii="Times" w:hAnsi="Times"/>
          <w:noProof/>
          <w:lang w:val="es-ES"/>
        </w:rPr>
        <w:t>.</w:t>
      </w:r>
      <w:r w:rsidRPr="005E5A74">
        <w:rPr>
          <w:rFonts w:ascii="Times" w:hAnsi="Times"/>
          <w:noProof/>
          <w:lang w:val="es-ES"/>
        </w:rPr>
        <w:t xml:space="preserve"> </w:t>
      </w:r>
      <w:r w:rsidRPr="005E5A74">
        <w:rPr>
          <w:rFonts w:ascii="Times" w:hAnsi="Times"/>
          <w:bCs/>
          <w:i/>
          <w:noProof/>
          <w:lang w:val="es-ES"/>
        </w:rPr>
        <w:t>Attalea butyracea</w:t>
      </w:r>
      <w:r w:rsidRPr="005E5A74">
        <w:rPr>
          <w:rFonts w:ascii="Times" w:hAnsi="Times"/>
          <w:bCs/>
          <w:noProof/>
          <w:lang w:val="es-ES"/>
        </w:rPr>
        <w:t xml:space="preserve"> próximas a las viviendas como posible fuente de infestación domiciliaria por </w:t>
      </w:r>
      <w:r w:rsidRPr="005E5A74">
        <w:rPr>
          <w:rFonts w:ascii="Times" w:hAnsi="Times"/>
          <w:bCs/>
          <w:i/>
          <w:noProof/>
          <w:lang w:val="es-ES"/>
        </w:rPr>
        <w:t>Rhodnius prolixus</w:t>
      </w:r>
      <w:r w:rsidRPr="005E5A74">
        <w:rPr>
          <w:rFonts w:ascii="Times" w:hAnsi="Times"/>
          <w:bCs/>
          <w:noProof/>
          <w:lang w:val="es-ES"/>
        </w:rPr>
        <w:t xml:space="preserve"> (Hemiptera: Reduviidae) en los Llanos Orientales de Colombia</w:t>
      </w:r>
      <w:r w:rsidRPr="005E5A74">
        <w:rPr>
          <w:rFonts w:ascii="Times" w:hAnsi="Times"/>
          <w:noProof/>
          <w:lang w:val="es-ES"/>
        </w:rPr>
        <w:t xml:space="preserve">. </w:t>
      </w:r>
      <w:r w:rsidRPr="005E5A74">
        <w:rPr>
          <w:rFonts w:ascii="Times" w:hAnsi="Times"/>
          <w:iCs/>
          <w:noProof/>
          <w:lang w:val="es-ES"/>
        </w:rPr>
        <w:t>Biomédica</w:t>
      </w:r>
      <w:r w:rsidR="00916B68" w:rsidRPr="005E5A74">
        <w:rPr>
          <w:rFonts w:ascii="Times" w:hAnsi="Times"/>
          <w:iCs/>
          <w:noProof/>
          <w:lang w:val="es-ES"/>
        </w:rPr>
        <w:t>.</w:t>
      </w:r>
      <w:r w:rsidRPr="005E5A74">
        <w:rPr>
          <w:rFonts w:ascii="Times" w:hAnsi="Times"/>
          <w:noProof/>
          <w:lang w:val="es-ES"/>
        </w:rPr>
        <w:t xml:space="preserve"> 2012</w:t>
      </w:r>
      <w:r w:rsidR="00916B68" w:rsidRPr="005E5A74">
        <w:rPr>
          <w:rFonts w:ascii="Times" w:hAnsi="Times"/>
          <w:noProof/>
          <w:lang w:val="es-ES"/>
        </w:rPr>
        <w:t>;</w:t>
      </w:r>
      <w:r w:rsidRPr="005E5A74">
        <w:rPr>
          <w:rFonts w:ascii="Times" w:hAnsi="Times"/>
          <w:bCs/>
          <w:noProof/>
          <w:lang w:val="es-ES"/>
        </w:rPr>
        <w:t>32</w:t>
      </w:r>
      <w:r w:rsidRPr="005E5A74">
        <w:rPr>
          <w:rFonts w:ascii="Times" w:hAnsi="Times"/>
          <w:noProof/>
          <w:lang w:val="es-ES"/>
        </w:rPr>
        <w:t>:277–285.</w:t>
      </w:r>
    </w:p>
    <w:p w14:paraId="774E1D90" w14:textId="7099EF67" w:rsidR="00F755B8" w:rsidRPr="005E5A74" w:rsidRDefault="00F755B8" w:rsidP="005C4117">
      <w:pPr>
        <w:widowControl w:val="0"/>
        <w:autoSpaceDE w:val="0"/>
        <w:autoSpaceDN w:val="0"/>
        <w:adjustRightInd w:val="0"/>
        <w:spacing w:before="100" w:after="100" w:line="480" w:lineRule="auto"/>
        <w:rPr>
          <w:rFonts w:ascii="Times" w:hAnsi="Times"/>
          <w:noProof/>
          <w:lang w:val="en-GB"/>
        </w:rPr>
      </w:pPr>
      <w:r w:rsidRPr="005E5A74">
        <w:rPr>
          <w:rFonts w:ascii="Times" w:hAnsi="Times"/>
          <w:noProof/>
          <w:lang w:val="es-ES"/>
        </w:rPr>
        <w:t>5. Rendón LM, Guhl F, Cordovez JM, Erazo D</w:t>
      </w:r>
      <w:r w:rsidR="00916B68" w:rsidRPr="005E5A74">
        <w:rPr>
          <w:rFonts w:ascii="Times" w:hAnsi="Times"/>
          <w:noProof/>
          <w:lang w:val="es-ES"/>
        </w:rPr>
        <w:t>.</w:t>
      </w:r>
      <w:r w:rsidRPr="005E5A74">
        <w:rPr>
          <w:rFonts w:ascii="Times" w:hAnsi="Times"/>
          <w:noProof/>
          <w:lang w:val="es-ES"/>
        </w:rPr>
        <w:t xml:space="preserve"> </w:t>
      </w:r>
      <w:r w:rsidRPr="005E5A74">
        <w:rPr>
          <w:rFonts w:ascii="Times" w:hAnsi="Times"/>
          <w:bCs/>
          <w:noProof/>
          <w:lang w:val="es-ES"/>
        </w:rPr>
        <w:t xml:space="preserve">New scenarios of </w:t>
      </w:r>
      <w:r w:rsidRPr="005E5A74">
        <w:rPr>
          <w:rFonts w:ascii="Times" w:hAnsi="Times"/>
          <w:bCs/>
          <w:i/>
          <w:noProof/>
          <w:lang w:val="es-ES"/>
        </w:rPr>
        <w:t xml:space="preserve">Trypanosoma cruzi </w:t>
      </w:r>
      <w:r w:rsidRPr="005E5A74">
        <w:rPr>
          <w:rFonts w:ascii="Times" w:hAnsi="Times"/>
          <w:bCs/>
          <w:noProof/>
          <w:lang w:val="es-ES"/>
        </w:rPr>
        <w:t>transmission in the Orinoco region of Colombia.</w:t>
      </w:r>
      <w:r w:rsidRPr="005E5A74">
        <w:rPr>
          <w:rFonts w:ascii="Times" w:hAnsi="Times"/>
          <w:noProof/>
          <w:lang w:val="es-ES"/>
        </w:rPr>
        <w:t xml:space="preserve"> </w:t>
      </w:r>
      <w:r w:rsidRPr="005E5A74">
        <w:rPr>
          <w:rFonts w:ascii="Times" w:hAnsi="Times"/>
          <w:iCs/>
          <w:noProof/>
          <w:lang w:val="en-GB"/>
        </w:rPr>
        <w:t>Memórias do Inst Oswaldo Cruz</w:t>
      </w:r>
      <w:r w:rsidR="00916B68" w:rsidRPr="005E5A74">
        <w:rPr>
          <w:rFonts w:ascii="Times" w:hAnsi="Times"/>
          <w:iCs/>
          <w:noProof/>
          <w:lang w:val="en-GB"/>
        </w:rPr>
        <w:t>.</w:t>
      </w:r>
      <w:r w:rsidRPr="005E5A74">
        <w:rPr>
          <w:rFonts w:ascii="Times" w:hAnsi="Times"/>
          <w:noProof/>
          <w:lang w:val="en-GB"/>
        </w:rPr>
        <w:t xml:space="preserve"> 2015</w:t>
      </w:r>
      <w:r w:rsidR="00916B68" w:rsidRPr="005E5A74">
        <w:rPr>
          <w:rFonts w:ascii="Times" w:hAnsi="Times"/>
          <w:noProof/>
          <w:lang w:val="en-GB"/>
        </w:rPr>
        <w:t>; volume</w:t>
      </w:r>
      <w:r w:rsidRPr="005E5A74">
        <w:rPr>
          <w:rFonts w:ascii="Times" w:hAnsi="Times"/>
          <w:noProof/>
          <w:lang w:val="en-GB"/>
        </w:rPr>
        <w:t>:</w:t>
      </w:r>
      <w:r w:rsidR="000A0FF0" w:rsidRPr="005E5A74">
        <w:rPr>
          <w:rFonts w:ascii="Times" w:hAnsi="Times"/>
          <w:noProof/>
          <w:lang w:val="en-GB"/>
        </w:rPr>
        <w:t>110(3):283-288</w:t>
      </w:r>
      <w:r w:rsidRPr="005E5A74">
        <w:rPr>
          <w:rFonts w:ascii="Times" w:hAnsi="Times"/>
          <w:noProof/>
          <w:lang w:val="en-GB"/>
        </w:rPr>
        <w:t>.</w:t>
      </w:r>
    </w:p>
    <w:p w14:paraId="0AD10A7D" w14:textId="33C81FDB" w:rsidR="00F755B8" w:rsidRPr="005E5A74" w:rsidRDefault="00F755B8" w:rsidP="005C4117">
      <w:pPr>
        <w:widowControl w:val="0"/>
        <w:autoSpaceDE w:val="0"/>
        <w:autoSpaceDN w:val="0"/>
        <w:adjustRightInd w:val="0"/>
        <w:spacing w:before="100" w:after="100" w:line="480" w:lineRule="auto"/>
        <w:rPr>
          <w:rFonts w:ascii="Times" w:hAnsi="Times"/>
          <w:noProof/>
        </w:rPr>
      </w:pPr>
      <w:r w:rsidRPr="005E5A74">
        <w:rPr>
          <w:rFonts w:ascii="Times" w:hAnsi="Times"/>
          <w:noProof/>
          <w:lang w:val="en-GB"/>
        </w:rPr>
        <w:t>6. J</w:t>
      </w:r>
      <w:r w:rsidRPr="005E5A74">
        <w:rPr>
          <w:rFonts w:ascii="Times" w:hAnsi="Times"/>
          <w:noProof/>
        </w:rPr>
        <w:t>ácome-Pinilla D, Hincapie-Peñaloza E, Ortiz MI, Ramírez JD, Guhl F, Molina J</w:t>
      </w:r>
      <w:r w:rsidR="00916B68" w:rsidRPr="005E5A74">
        <w:rPr>
          <w:rFonts w:ascii="Times" w:hAnsi="Times"/>
          <w:noProof/>
        </w:rPr>
        <w:t>.</w:t>
      </w:r>
      <w:r w:rsidRPr="005E5A74">
        <w:rPr>
          <w:rFonts w:ascii="Times" w:hAnsi="Times"/>
          <w:noProof/>
        </w:rPr>
        <w:t xml:space="preserve"> </w:t>
      </w:r>
      <w:r w:rsidRPr="005E5A74">
        <w:rPr>
          <w:rFonts w:ascii="Times" w:hAnsi="Times"/>
          <w:bCs/>
          <w:noProof/>
        </w:rPr>
        <w:t>Risks associated with dispersive nocturnal flights of sylvatic Triatominae to artificial lights in a model house in the northeastern plains of Colombia</w:t>
      </w:r>
      <w:r w:rsidRPr="005E5A74">
        <w:rPr>
          <w:rFonts w:ascii="Times" w:hAnsi="Times"/>
          <w:noProof/>
        </w:rPr>
        <w:t xml:space="preserve">. </w:t>
      </w:r>
      <w:r w:rsidRPr="005E5A74">
        <w:rPr>
          <w:rFonts w:ascii="Times" w:hAnsi="Times"/>
          <w:iCs/>
          <w:noProof/>
        </w:rPr>
        <w:t>Parasit Vectors</w:t>
      </w:r>
      <w:r w:rsidR="00916B68" w:rsidRPr="005E5A74">
        <w:rPr>
          <w:rFonts w:ascii="Times" w:hAnsi="Times"/>
          <w:i/>
          <w:iCs/>
          <w:noProof/>
        </w:rPr>
        <w:t>.</w:t>
      </w:r>
      <w:r w:rsidRPr="005E5A74">
        <w:rPr>
          <w:rFonts w:ascii="Times" w:hAnsi="Times"/>
          <w:noProof/>
        </w:rPr>
        <w:t xml:space="preserve"> 2015</w:t>
      </w:r>
      <w:r w:rsidR="00916B68" w:rsidRPr="005E5A74">
        <w:rPr>
          <w:rFonts w:ascii="Times" w:hAnsi="Times"/>
          <w:noProof/>
        </w:rPr>
        <w:t>;</w:t>
      </w:r>
      <w:r w:rsidRPr="005E5A74">
        <w:rPr>
          <w:rFonts w:ascii="Times" w:hAnsi="Times"/>
          <w:bCs/>
          <w:noProof/>
        </w:rPr>
        <w:t>8</w:t>
      </w:r>
      <w:r w:rsidRPr="005E5A74">
        <w:rPr>
          <w:rFonts w:ascii="Times" w:hAnsi="Times"/>
          <w:noProof/>
        </w:rPr>
        <w:t>:600.</w:t>
      </w:r>
    </w:p>
    <w:p w14:paraId="108C038D" w14:textId="4A0934C1" w:rsidR="00F755B8" w:rsidRPr="005E5A74" w:rsidRDefault="00F755B8" w:rsidP="005C4117">
      <w:pPr>
        <w:widowControl w:val="0"/>
        <w:autoSpaceDE w:val="0"/>
        <w:autoSpaceDN w:val="0"/>
        <w:adjustRightInd w:val="0"/>
        <w:spacing w:before="100" w:after="100" w:line="480" w:lineRule="auto"/>
        <w:rPr>
          <w:rFonts w:ascii="Times" w:hAnsi="Times"/>
          <w:noProof/>
        </w:rPr>
      </w:pPr>
      <w:r w:rsidRPr="005E5A74">
        <w:rPr>
          <w:rFonts w:ascii="Times" w:hAnsi="Times"/>
          <w:noProof/>
        </w:rPr>
        <w:lastRenderedPageBreak/>
        <w:t>7. Zeledón R, Rabinovich JE</w:t>
      </w:r>
      <w:r w:rsidR="00916B68" w:rsidRPr="005E5A74">
        <w:rPr>
          <w:rFonts w:ascii="Times" w:hAnsi="Times"/>
          <w:noProof/>
        </w:rPr>
        <w:t>.</w:t>
      </w:r>
      <w:r w:rsidRPr="005E5A74">
        <w:rPr>
          <w:rFonts w:ascii="Times" w:hAnsi="Times"/>
          <w:noProof/>
        </w:rPr>
        <w:t xml:space="preserve"> </w:t>
      </w:r>
      <w:r w:rsidRPr="005E5A74">
        <w:rPr>
          <w:rFonts w:ascii="Times" w:hAnsi="Times"/>
          <w:bCs/>
          <w:noProof/>
        </w:rPr>
        <w:t>Chagas’ disease: an ecological appraisal with special emphasis on its insect vectors.</w:t>
      </w:r>
      <w:r w:rsidRPr="005E5A74">
        <w:rPr>
          <w:rFonts w:ascii="Times" w:hAnsi="Times"/>
          <w:noProof/>
        </w:rPr>
        <w:t xml:space="preserve"> </w:t>
      </w:r>
      <w:r w:rsidRPr="005E5A74">
        <w:rPr>
          <w:rFonts w:ascii="Times" w:hAnsi="Times"/>
          <w:iCs/>
          <w:noProof/>
        </w:rPr>
        <w:t xml:space="preserve">Annu Rev </w:t>
      </w:r>
      <w:r w:rsidR="00916B68" w:rsidRPr="005E5A74">
        <w:rPr>
          <w:rFonts w:ascii="Times" w:hAnsi="Times"/>
          <w:iCs/>
          <w:noProof/>
        </w:rPr>
        <w:t>Entomol</w:t>
      </w:r>
      <w:r w:rsidR="00916B68" w:rsidRPr="005E5A74">
        <w:rPr>
          <w:rFonts w:ascii="Times" w:hAnsi="Times"/>
          <w:noProof/>
        </w:rPr>
        <w:t xml:space="preserve">. </w:t>
      </w:r>
      <w:r w:rsidRPr="005E5A74">
        <w:rPr>
          <w:rFonts w:ascii="Times" w:hAnsi="Times"/>
          <w:noProof/>
        </w:rPr>
        <w:t>1981</w:t>
      </w:r>
      <w:r w:rsidR="00916B68" w:rsidRPr="005E5A74">
        <w:rPr>
          <w:rFonts w:ascii="Times" w:hAnsi="Times"/>
          <w:noProof/>
        </w:rPr>
        <w:t>;</w:t>
      </w:r>
      <w:r w:rsidRPr="005E5A74">
        <w:rPr>
          <w:rFonts w:ascii="Times" w:hAnsi="Times"/>
          <w:bCs/>
          <w:noProof/>
        </w:rPr>
        <w:t>26</w:t>
      </w:r>
      <w:r w:rsidRPr="005E5A74">
        <w:rPr>
          <w:rFonts w:ascii="Times" w:hAnsi="Times"/>
          <w:noProof/>
        </w:rPr>
        <w:t>:101–33.</w:t>
      </w:r>
    </w:p>
    <w:p w14:paraId="6670FD28" w14:textId="33CBCC87" w:rsidR="00F755B8" w:rsidRPr="005E5A74" w:rsidRDefault="00F755B8" w:rsidP="005C4117">
      <w:pPr>
        <w:widowControl w:val="0"/>
        <w:autoSpaceDE w:val="0"/>
        <w:autoSpaceDN w:val="0"/>
        <w:adjustRightInd w:val="0"/>
        <w:spacing w:before="100" w:after="100" w:line="480" w:lineRule="auto"/>
        <w:rPr>
          <w:rFonts w:ascii="Times" w:hAnsi="Times"/>
          <w:noProof/>
        </w:rPr>
      </w:pPr>
      <w:r w:rsidRPr="005E5A74">
        <w:rPr>
          <w:rFonts w:ascii="Times" w:hAnsi="Times"/>
          <w:noProof/>
        </w:rPr>
        <w:t>8. Rabinovich J, Schweigmann N, Yohai V, Wisnivesky-Colli C</w:t>
      </w:r>
      <w:r w:rsidR="00916B68" w:rsidRPr="005E5A74">
        <w:rPr>
          <w:rFonts w:ascii="Times" w:hAnsi="Times"/>
          <w:noProof/>
        </w:rPr>
        <w:t>.</w:t>
      </w:r>
      <w:r w:rsidRPr="005E5A74">
        <w:rPr>
          <w:rFonts w:ascii="Times" w:hAnsi="Times"/>
          <w:noProof/>
        </w:rPr>
        <w:t xml:space="preserve"> </w:t>
      </w:r>
      <w:r w:rsidRPr="005E5A74">
        <w:rPr>
          <w:rFonts w:ascii="Times" w:hAnsi="Times"/>
          <w:bCs/>
          <w:noProof/>
        </w:rPr>
        <w:t xml:space="preserve">Probability of </w:t>
      </w:r>
      <w:r w:rsidRPr="005E5A74">
        <w:rPr>
          <w:rFonts w:ascii="Times" w:hAnsi="Times"/>
          <w:bCs/>
          <w:i/>
          <w:noProof/>
        </w:rPr>
        <w:t xml:space="preserve">Trypanosoma cruzi </w:t>
      </w:r>
      <w:r w:rsidRPr="005E5A74">
        <w:rPr>
          <w:rFonts w:ascii="Times" w:hAnsi="Times"/>
          <w:bCs/>
          <w:noProof/>
        </w:rPr>
        <w:t>transmission by</w:t>
      </w:r>
      <w:r w:rsidRPr="005E5A74">
        <w:rPr>
          <w:rFonts w:ascii="Times" w:hAnsi="Times"/>
          <w:bCs/>
          <w:i/>
          <w:noProof/>
        </w:rPr>
        <w:t xml:space="preserve"> Triatoma infestans</w:t>
      </w:r>
      <w:r w:rsidRPr="005E5A74">
        <w:rPr>
          <w:rFonts w:ascii="Times" w:hAnsi="Times"/>
          <w:bCs/>
          <w:noProof/>
        </w:rPr>
        <w:t xml:space="preserve"> (Hemiptera: Reduviidae) to the opossum </w:t>
      </w:r>
      <w:r w:rsidRPr="005E5A74">
        <w:rPr>
          <w:rFonts w:ascii="Times" w:hAnsi="Times"/>
          <w:bCs/>
          <w:i/>
          <w:noProof/>
        </w:rPr>
        <w:t xml:space="preserve">Didelphis albiventris </w:t>
      </w:r>
      <w:r w:rsidRPr="005E5A74">
        <w:rPr>
          <w:rFonts w:ascii="Times" w:hAnsi="Times"/>
          <w:bCs/>
          <w:noProof/>
        </w:rPr>
        <w:t>(Marsupialia: Didelphidae)</w:t>
      </w:r>
      <w:r w:rsidRPr="005E5A74">
        <w:rPr>
          <w:rFonts w:ascii="Times" w:hAnsi="Times"/>
          <w:noProof/>
        </w:rPr>
        <w:t xml:space="preserve">. </w:t>
      </w:r>
      <w:r w:rsidRPr="005E5A74">
        <w:rPr>
          <w:rFonts w:ascii="Times" w:hAnsi="Times"/>
          <w:iCs/>
          <w:noProof/>
        </w:rPr>
        <w:t>Am J Trop Med Hyg</w:t>
      </w:r>
      <w:r w:rsidR="00916B68" w:rsidRPr="005E5A74">
        <w:rPr>
          <w:rFonts w:ascii="Times" w:hAnsi="Times"/>
          <w:iCs/>
          <w:noProof/>
        </w:rPr>
        <w:t>.</w:t>
      </w:r>
      <w:r w:rsidR="00916B68" w:rsidRPr="005E5A74">
        <w:rPr>
          <w:rFonts w:ascii="Times" w:hAnsi="Times"/>
          <w:i/>
          <w:iCs/>
          <w:noProof/>
        </w:rPr>
        <w:t xml:space="preserve"> </w:t>
      </w:r>
      <w:r w:rsidRPr="005E5A74">
        <w:rPr>
          <w:rFonts w:ascii="Times" w:hAnsi="Times"/>
          <w:noProof/>
        </w:rPr>
        <w:t>2001</w:t>
      </w:r>
      <w:r w:rsidR="00916B68" w:rsidRPr="005E5A74">
        <w:rPr>
          <w:rFonts w:ascii="Times" w:hAnsi="Times"/>
          <w:noProof/>
        </w:rPr>
        <w:t>;</w:t>
      </w:r>
      <w:r w:rsidRPr="005E5A74">
        <w:rPr>
          <w:rFonts w:ascii="Times" w:hAnsi="Times"/>
          <w:bCs/>
          <w:noProof/>
        </w:rPr>
        <w:t>65</w:t>
      </w:r>
      <w:r w:rsidRPr="005E5A74">
        <w:rPr>
          <w:rFonts w:ascii="Times" w:hAnsi="Times"/>
          <w:noProof/>
        </w:rPr>
        <w:t>:125–130.</w:t>
      </w:r>
    </w:p>
    <w:p w14:paraId="17ACC592" w14:textId="33236747" w:rsidR="00F755B8" w:rsidRPr="005E5A74" w:rsidRDefault="00F755B8" w:rsidP="005C4117">
      <w:pPr>
        <w:widowControl w:val="0"/>
        <w:autoSpaceDE w:val="0"/>
        <w:autoSpaceDN w:val="0"/>
        <w:adjustRightInd w:val="0"/>
        <w:spacing w:before="100" w:after="100" w:line="480" w:lineRule="auto"/>
        <w:rPr>
          <w:rFonts w:ascii="Times" w:hAnsi="Times"/>
          <w:noProof/>
        </w:rPr>
      </w:pPr>
      <w:r w:rsidRPr="005E5A74">
        <w:rPr>
          <w:rFonts w:ascii="Times" w:hAnsi="Times"/>
          <w:noProof/>
        </w:rPr>
        <w:t>9. Feliciangeli MD, Carrasco H, Patterson JS, Suarez B, Martínez C, Medina M</w:t>
      </w:r>
      <w:r w:rsidR="00916B68" w:rsidRPr="005E5A74">
        <w:rPr>
          <w:rFonts w:ascii="Times" w:hAnsi="Times"/>
          <w:noProof/>
        </w:rPr>
        <w:t>.</w:t>
      </w:r>
      <w:r w:rsidRPr="005E5A74">
        <w:rPr>
          <w:rFonts w:ascii="Times" w:hAnsi="Times"/>
          <w:noProof/>
        </w:rPr>
        <w:t xml:space="preserve"> </w:t>
      </w:r>
      <w:r w:rsidRPr="005E5A74">
        <w:rPr>
          <w:rFonts w:ascii="Times" w:hAnsi="Times"/>
          <w:bCs/>
          <w:noProof/>
        </w:rPr>
        <w:t xml:space="preserve">Mixed domestic infestation by </w:t>
      </w:r>
      <w:r w:rsidRPr="005E5A74">
        <w:rPr>
          <w:rFonts w:ascii="Times" w:hAnsi="Times"/>
          <w:bCs/>
          <w:i/>
          <w:noProof/>
        </w:rPr>
        <w:t>Rhodnius prolixus</w:t>
      </w:r>
      <w:r w:rsidRPr="005E5A74">
        <w:rPr>
          <w:rFonts w:ascii="Times" w:hAnsi="Times"/>
          <w:bCs/>
          <w:noProof/>
        </w:rPr>
        <w:t xml:space="preserve"> Stal, 1859 and </w:t>
      </w:r>
      <w:r w:rsidRPr="005E5A74">
        <w:rPr>
          <w:rFonts w:ascii="Times" w:hAnsi="Times"/>
          <w:bCs/>
          <w:i/>
          <w:noProof/>
        </w:rPr>
        <w:t>Panstrongylus geniculatus</w:t>
      </w:r>
      <w:r w:rsidRPr="005E5A74">
        <w:rPr>
          <w:rFonts w:ascii="Times" w:hAnsi="Times"/>
          <w:bCs/>
          <w:noProof/>
        </w:rPr>
        <w:t xml:space="preserve"> Latreille, 1811, vector incrimination, and seroprevalence for </w:t>
      </w:r>
      <w:r w:rsidRPr="005E5A74">
        <w:rPr>
          <w:rFonts w:ascii="Times" w:hAnsi="Times"/>
          <w:bCs/>
          <w:i/>
          <w:noProof/>
        </w:rPr>
        <w:t>Trypanosoma cruzi</w:t>
      </w:r>
      <w:r w:rsidRPr="005E5A74">
        <w:rPr>
          <w:rFonts w:ascii="Times" w:hAnsi="Times"/>
          <w:bCs/>
          <w:noProof/>
        </w:rPr>
        <w:t xml:space="preserve"> among inhabitants in El Guamito, Lara State, Venezuela.</w:t>
      </w:r>
      <w:r w:rsidRPr="005E5A74">
        <w:rPr>
          <w:rFonts w:ascii="Times" w:hAnsi="Times"/>
          <w:noProof/>
        </w:rPr>
        <w:t xml:space="preserve"> </w:t>
      </w:r>
      <w:r w:rsidRPr="005E5A74">
        <w:rPr>
          <w:rFonts w:ascii="Times" w:hAnsi="Times"/>
          <w:iCs/>
          <w:noProof/>
        </w:rPr>
        <w:t>Am J Trop Med Hyg</w:t>
      </w:r>
      <w:r w:rsidR="00916B68" w:rsidRPr="005E5A74">
        <w:rPr>
          <w:rFonts w:ascii="Times" w:hAnsi="Times"/>
          <w:iCs/>
          <w:noProof/>
        </w:rPr>
        <w:t>.</w:t>
      </w:r>
      <w:r w:rsidRPr="005E5A74">
        <w:rPr>
          <w:rFonts w:ascii="Times" w:hAnsi="Times"/>
          <w:noProof/>
        </w:rPr>
        <w:t xml:space="preserve"> 2004</w:t>
      </w:r>
      <w:r w:rsidR="00916B68" w:rsidRPr="005E5A74">
        <w:rPr>
          <w:rFonts w:ascii="Times" w:hAnsi="Times"/>
          <w:noProof/>
        </w:rPr>
        <w:t>;</w:t>
      </w:r>
      <w:r w:rsidRPr="005E5A74">
        <w:rPr>
          <w:rFonts w:ascii="Times" w:hAnsi="Times"/>
          <w:bCs/>
          <w:noProof/>
        </w:rPr>
        <w:t>71</w:t>
      </w:r>
      <w:r w:rsidRPr="005E5A74">
        <w:rPr>
          <w:rFonts w:ascii="Times" w:hAnsi="Times"/>
          <w:noProof/>
        </w:rPr>
        <w:t>:501–5.</w:t>
      </w:r>
    </w:p>
    <w:p w14:paraId="5A2423F1" w14:textId="09D89B3E" w:rsidR="00F755B8" w:rsidRPr="00F755B8" w:rsidRDefault="00F755B8" w:rsidP="005C4117">
      <w:pPr>
        <w:widowControl w:val="0"/>
        <w:autoSpaceDE w:val="0"/>
        <w:autoSpaceDN w:val="0"/>
        <w:adjustRightInd w:val="0"/>
        <w:spacing w:before="100" w:after="100" w:line="480" w:lineRule="auto"/>
        <w:rPr>
          <w:rFonts w:ascii="Times" w:hAnsi="Times"/>
          <w:noProof/>
        </w:rPr>
      </w:pPr>
      <w:r w:rsidRPr="005E5A74">
        <w:rPr>
          <w:rFonts w:ascii="Times" w:hAnsi="Times"/>
          <w:noProof/>
        </w:rPr>
        <w:t>10. Nouvellet P, Dumonteil E, Gour</w:t>
      </w:r>
      <w:r w:rsidR="005C4117" w:rsidRPr="005E5A74">
        <w:rPr>
          <w:rFonts w:ascii="Times" w:hAnsi="Times"/>
          <w:noProof/>
        </w:rPr>
        <w:t>biè</w:t>
      </w:r>
      <w:r w:rsidRPr="005E5A74">
        <w:rPr>
          <w:rFonts w:ascii="Times" w:hAnsi="Times"/>
          <w:noProof/>
        </w:rPr>
        <w:t>re S</w:t>
      </w:r>
      <w:r w:rsidR="00916B68" w:rsidRPr="005E5A74">
        <w:rPr>
          <w:rFonts w:ascii="Times" w:hAnsi="Times"/>
          <w:noProof/>
        </w:rPr>
        <w:t>.</w:t>
      </w:r>
      <w:r w:rsidRPr="005E5A74">
        <w:rPr>
          <w:rFonts w:ascii="Times" w:hAnsi="Times"/>
          <w:noProof/>
        </w:rPr>
        <w:t xml:space="preserve"> </w:t>
      </w:r>
      <w:r w:rsidRPr="005E5A74">
        <w:rPr>
          <w:rFonts w:ascii="Times" w:hAnsi="Times"/>
          <w:bCs/>
          <w:noProof/>
        </w:rPr>
        <w:t xml:space="preserve">The </w:t>
      </w:r>
      <w:r w:rsidR="00916B68" w:rsidRPr="005E5A74">
        <w:rPr>
          <w:rFonts w:ascii="Times" w:hAnsi="Times"/>
          <w:bCs/>
          <w:noProof/>
        </w:rPr>
        <w:t>i</w:t>
      </w:r>
      <w:r w:rsidRPr="005E5A74">
        <w:rPr>
          <w:rFonts w:ascii="Times" w:hAnsi="Times"/>
          <w:bCs/>
          <w:noProof/>
        </w:rPr>
        <w:t xml:space="preserve">mprobable </w:t>
      </w:r>
      <w:r w:rsidR="00916B68" w:rsidRPr="005E5A74">
        <w:rPr>
          <w:rFonts w:ascii="Times" w:hAnsi="Times"/>
          <w:bCs/>
          <w:noProof/>
        </w:rPr>
        <w:t xml:space="preserve">transmission </w:t>
      </w:r>
      <w:r w:rsidRPr="005E5A74">
        <w:rPr>
          <w:rFonts w:ascii="Times" w:hAnsi="Times"/>
          <w:bCs/>
          <w:noProof/>
        </w:rPr>
        <w:t xml:space="preserve">of </w:t>
      </w:r>
      <w:r w:rsidRPr="005E5A74">
        <w:rPr>
          <w:rFonts w:ascii="Times" w:hAnsi="Times"/>
          <w:bCs/>
          <w:i/>
          <w:noProof/>
        </w:rPr>
        <w:t>Trypanosoma cruzi</w:t>
      </w:r>
      <w:r w:rsidRPr="005E5A74">
        <w:rPr>
          <w:rFonts w:ascii="Times" w:hAnsi="Times"/>
          <w:bCs/>
          <w:noProof/>
        </w:rPr>
        <w:t xml:space="preserve"> to </w:t>
      </w:r>
      <w:r w:rsidR="00916B68" w:rsidRPr="005E5A74">
        <w:rPr>
          <w:rFonts w:ascii="Times" w:hAnsi="Times"/>
          <w:bCs/>
          <w:noProof/>
        </w:rPr>
        <w:t>h</w:t>
      </w:r>
      <w:r w:rsidRPr="005E5A74">
        <w:rPr>
          <w:rFonts w:ascii="Times" w:hAnsi="Times"/>
          <w:bCs/>
          <w:noProof/>
        </w:rPr>
        <w:t xml:space="preserve">uman: The </w:t>
      </w:r>
      <w:r w:rsidR="00916B68" w:rsidRPr="005E5A74">
        <w:rPr>
          <w:rFonts w:ascii="Times" w:hAnsi="Times"/>
          <w:bCs/>
          <w:noProof/>
        </w:rPr>
        <w:t>m</w:t>
      </w:r>
      <w:r w:rsidRPr="005E5A74">
        <w:rPr>
          <w:rFonts w:ascii="Times" w:hAnsi="Times"/>
          <w:bCs/>
          <w:noProof/>
        </w:rPr>
        <w:t xml:space="preserve">issing </w:t>
      </w:r>
      <w:r w:rsidR="00916B68" w:rsidRPr="005E5A74">
        <w:rPr>
          <w:rFonts w:ascii="Times" w:hAnsi="Times"/>
          <w:bCs/>
          <w:noProof/>
        </w:rPr>
        <w:t>l</w:t>
      </w:r>
      <w:r w:rsidRPr="005E5A74">
        <w:rPr>
          <w:rFonts w:ascii="Times" w:hAnsi="Times"/>
          <w:bCs/>
          <w:noProof/>
        </w:rPr>
        <w:t xml:space="preserve">ink in the </w:t>
      </w:r>
      <w:r w:rsidR="00916B68" w:rsidRPr="005E5A74">
        <w:rPr>
          <w:rFonts w:ascii="Times" w:hAnsi="Times"/>
          <w:bCs/>
          <w:noProof/>
        </w:rPr>
        <w:t>d</w:t>
      </w:r>
      <w:r w:rsidRPr="005E5A74">
        <w:rPr>
          <w:rFonts w:ascii="Times" w:hAnsi="Times"/>
          <w:bCs/>
          <w:noProof/>
        </w:rPr>
        <w:t xml:space="preserve">ynamics and </w:t>
      </w:r>
      <w:r w:rsidR="00916B68" w:rsidRPr="005E5A74">
        <w:rPr>
          <w:rFonts w:ascii="Times" w:hAnsi="Times"/>
          <w:bCs/>
          <w:noProof/>
        </w:rPr>
        <w:t>c</w:t>
      </w:r>
      <w:r w:rsidRPr="005E5A74">
        <w:rPr>
          <w:rFonts w:ascii="Times" w:hAnsi="Times"/>
          <w:bCs/>
          <w:noProof/>
        </w:rPr>
        <w:t xml:space="preserve">ontrol of Chagas </w:t>
      </w:r>
      <w:r w:rsidR="00916B68" w:rsidRPr="005E5A74">
        <w:rPr>
          <w:rFonts w:ascii="Times" w:hAnsi="Times"/>
          <w:bCs/>
          <w:noProof/>
        </w:rPr>
        <w:t>d</w:t>
      </w:r>
      <w:r w:rsidRPr="005E5A74">
        <w:rPr>
          <w:rFonts w:ascii="Times" w:hAnsi="Times"/>
          <w:bCs/>
          <w:noProof/>
        </w:rPr>
        <w:t>isease</w:t>
      </w:r>
      <w:r w:rsidRPr="005E5A74">
        <w:rPr>
          <w:rFonts w:ascii="Times" w:hAnsi="Times"/>
          <w:noProof/>
        </w:rPr>
        <w:t xml:space="preserve">. </w:t>
      </w:r>
      <w:r w:rsidRPr="005E5A74">
        <w:rPr>
          <w:rFonts w:ascii="Times" w:hAnsi="Times"/>
          <w:iCs/>
          <w:noProof/>
        </w:rPr>
        <w:t>PLoS Negl Trop Dis</w:t>
      </w:r>
      <w:r w:rsidR="00916B68" w:rsidRPr="005E5A74">
        <w:rPr>
          <w:rFonts w:ascii="Times" w:hAnsi="Times"/>
          <w:iCs/>
          <w:noProof/>
        </w:rPr>
        <w:t>.</w:t>
      </w:r>
      <w:r w:rsidRPr="005E5A74">
        <w:rPr>
          <w:rFonts w:ascii="Times" w:hAnsi="Times"/>
          <w:noProof/>
        </w:rPr>
        <w:t xml:space="preserve"> 2013</w:t>
      </w:r>
      <w:r w:rsidR="00916B68" w:rsidRPr="005E5A74">
        <w:rPr>
          <w:rFonts w:ascii="Times" w:hAnsi="Times"/>
          <w:noProof/>
        </w:rPr>
        <w:t>;</w:t>
      </w:r>
      <w:r w:rsidRPr="005E5A74">
        <w:rPr>
          <w:rFonts w:ascii="Times" w:hAnsi="Times"/>
          <w:bCs/>
          <w:noProof/>
        </w:rPr>
        <w:t>7</w:t>
      </w:r>
      <w:r w:rsidRPr="005E5A74">
        <w:rPr>
          <w:rFonts w:ascii="Times" w:hAnsi="Times"/>
          <w:noProof/>
        </w:rPr>
        <w:t>:e2505.</w:t>
      </w:r>
      <w:bookmarkStart w:id="0" w:name="_GoBack"/>
      <w:bookmarkEnd w:id="0"/>
    </w:p>
    <w:p w14:paraId="02D37A05" w14:textId="7BD75974" w:rsidR="00F755B8" w:rsidRPr="00EB0507" w:rsidRDefault="00F755B8" w:rsidP="005C4117">
      <w:pPr>
        <w:widowControl w:val="0"/>
        <w:autoSpaceDE w:val="0"/>
        <w:autoSpaceDN w:val="0"/>
        <w:adjustRightInd w:val="0"/>
        <w:spacing w:before="100" w:after="100" w:line="480" w:lineRule="auto"/>
        <w:rPr>
          <w:rFonts w:ascii="Times" w:hAnsi="Times"/>
        </w:rPr>
      </w:pPr>
    </w:p>
    <w:sectPr w:rsidR="00F755B8" w:rsidRPr="00EB0507" w:rsidSect="00D91BA4">
      <w:pgSz w:w="12240" w:h="15840"/>
      <w:pgMar w:top="1440" w:right="1440" w:bottom="1440" w:left="1440"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E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00000001" w:usb1="08070000" w:usb2="00000010" w:usb3="00000000" w:csb0="00020000" w:csb1="00000000"/>
  </w:font>
  <w:font w:name="MS Mincho">
    <w:altName w:val="ＭＳ 明朝"/>
    <w:charset w:val="80"/>
    <w:family w:val="modern"/>
    <w:pitch w:val="fixed"/>
    <w:sig w:usb0="E00002FF" w:usb1="6AC7FDFB" w:usb2="08000012" w:usb3="00000000" w:csb0="0002009F" w:csb1="00000000"/>
  </w:font>
  <w:font w:name="Segoe UI">
    <w:altName w:val="Calibri"/>
    <w:charset w:val="00"/>
    <w:family w:val="swiss"/>
    <w:pitch w:val="variable"/>
    <w:sig w:usb0="E4002EFF" w:usb1="C000E47F" w:usb2="00000009" w:usb3="00000000" w:csb0="000001FF" w:csb1="00000000"/>
  </w:font>
  <w:font w:name="Times">
    <w:panose1 w:val="02000500000000000000"/>
    <w:charset w:val="00"/>
    <w:family w:val="auto"/>
    <w:pitch w:val="variable"/>
    <w:sig w:usb0="00000003" w:usb1="00000000" w:usb2="00000000" w:usb3="00000000" w:csb0="00000001" w:csb1="00000000"/>
  </w:font>
  <w:font w:name="ＭＳ ゴシック">
    <w:charset w:val="4E"/>
    <w:family w:val="auto"/>
    <w:pitch w:val="variable"/>
    <w:sig w:usb0="00000001" w:usb1="08070000" w:usb2="00000010" w:usb3="00000000" w:csb0="00020000" w:csb1="00000000"/>
  </w:font>
  <w:font w:name="Arial">
    <w:panose1 w:val="020B0604020202020204"/>
    <w:charset w:val="00"/>
    <w:family w:val="auto"/>
    <w:pitch w:val="variable"/>
    <w:sig w:usb0="E0002AFF" w:usb1="C0007843" w:usb2="00000009" w:usb3="00000000" w:csb0="000001FF" w:csb1="00000000"/>
  </w:font>
  <w:font w:name="Calibri">
    <w:panose1 w:val="020F0502020204030204"/>
    <w:charset w:val="00"/>
    <w:family w:val="auto"/>
    <w:pitch w:val="variable"/>
    <w:sig w:usb0="E10002FF" w:usb1="4000ACFF" w:usb2="00000009"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6303760"/>
    <w:multiLevelType w:val="hybridMultilevel"/>
    <w:tmpl w:val="1CFAFCC6"/>
    <w:lvl w:ilvl="0" w:tplc="A6800070">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movePersonalInformation/>
  <w:embedSystemFonts/>
  <w:proofState w:spelling="clean" w:grammar="clean"/>
  <w:defaultTabStop w:val="720"/>
  <w:drawingGridHorizontalSpacing w:val="360"/>
  <w:drawingGridVerticalSpacing w:val="360"/>
  <w:displayHorizontalDrawingGridEvery w:val="0"/>
  <w:displayVerticalDrawingGridEvery w:val="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5732B"/>
    <w:rsid w:val="00002C21"/>
    <w:rsid w:val="0000794F"/>
    <w:rsid w:val="000A0FF0"/>
    <w:rsid w:val="000A76DF"/>
    <w:rsid w:val="001C6C52"/>
    <w:rsid w:val="001D4996"/>
    <w:rsid w:val="001E7756"/>
    <w:rsid w:val="00415BF9"/>
    <w:rsid w:val="00464FE9"/>
    <w:rsid w:val="005C4117"/>
    <w:rsid w:val="005E5A74"/>
    <w:rsid w:val="006C5567"/>
    <w:rsid w:val="00702465"/>
    <w:rsid w:val="0075732B"/>
    <w:rsid w:val="00780179"/>
    <w:rsid w:val="007D1882"/>
    <w:rsid w:val="007F3E92"/>
    <w:rsid w:val="008C4AAF"/>
    <w:rsid w:val="00907AAE"/>
    <w:rsid w:val="00916B68"/>
    <w:rsid w:val="00936EED"/>
    <w:rsid w:val="009B591A"/>
    <w:rsid w:val="00B2630A"/>
    <w:rsid w:val="00B521C7"/>
    <w:rsid w:val="00BE6889"/>
    <w:rsid w:val="00BF7035"/>
    <w:rsid w:val="00CC66A2"/>
    <w:rsid w:val="00CD2708"/>
    <w:rsid w:val="00D91BA4"/>
    <w:rsid w:val="00D95AED"/>
    <w:rsid w:val="00E16981"/>
    <w:rsid w:val="00EB0507"/>
    <w:rsid w:val="00F755B8"/>
    <w:rsid w:val="00FA253E"/>
    <w:rsid w:val="00FD4200"/>
  </w:rsids>
  <m:mathPr>
    <m:mathFont m:val="Cambria Math"/>
    <m:brkBin m:val="before"/>
    <m:brkBinSub m:val="--"/>
    <m:smallFrac m:val="0"/>
    <m:dispDef m:val="0"/>
    <m:lMargin m:val="0"/>
    <m:rMargin m:val="0"/>
    <m:defJc m:val="centerGroup"/>
    <m:wrapRight/>
    <m:intLim m:val="subSup"/>
    <m:naryLim m:val="subSup"/>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89"/>
    <o:shapelayout v:ext="edit">
      <o:idmap v:ext="edit" data="1"/>
    </o:shapelayout>
  </w:shapeDefaults>
  <w:decimalSymbol w:val="."/>
  <w:listSeparator w:val=","/>
  <w14:docId w14:val="656080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ja-JP" w:bidi="ar-SA"/>
      </w:rPr>
    </w:rPrDefault>
    <w:pPrDefault>
      <w:pPr>
        <w:spacing w:after="200"/>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75732B"/>
    <w:pPr>
      <w:spacing w:before="100" w:beforeAutospacing="1" w:after="100" w:afterAutospacing="1"/>
    </w:pPr>
    <w:rPr>
      <w:rFonts w:ascii="Times New Roman" w:eastAsia="MS Mincho" w:hAnsi="Times New Roman" w:cs="Times New Roman"/>
      <w:lang w:val="es-CO" w:eastAsia="es-CO"/>
    </w:rPr>
  </w:style>
  <w:style w:type="paragraph" w:styleId="BalloonText">
    <w:name w:val="Balloon Text"/>
    <w:basedOn w:val="Normal"/>
    <w:link w:val="BalloonTextChar"/>
    <w:uiPriority w:val="99"/>
    <w:semiHidden/>
    <w:unhideWhenUsed/>
    <w:rsid w:val="00CC66A2"/>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C66A2"/>
    <w:rPr>
      <w:rFonts w:ascii="Segoe UI" w:hAnsi="Segoe UI" w:cs="Segoe UI"/>
      <w:sz w:val="18"/>
      <w:szCs w:val="1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ja-JP" w:bidi="ar-SA"/>
      </w:rPr>
    </w:rPrDefault>
    <w:pPrDefault>
      <w:pPr>
        <w:spacing w:after="200"/>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75732B"/>
    <w:pPr>
      <w:spacing w:before="100" w:beforeAutospacing="1" w:after="100" w:afterAutospacing="1"/>
    </w:pPr>
    <w:rPr>
      <w:rFonts w:ascii="Times New Roman" w:eastAsia="MS Mincho" w:hAnsi="Times New Roman" w:cs="Times New Roman"/>
      <w:lang w:val="es-CO" w:eastAsia="es-CO"/>
    </w:rPr>
  </w:style>
  <w:style w:type="paragraph" w:styleId="BalloonText">
    <w:name w:val="Balloon Text"/>
    <w:basedOn w:val="Normal"/>
    <w:link w:val="BalloonTextChar"/>
    <w:uiPriority w:val="99"/>
    <w:semiHidden/>
    <w:unhideWhenUsed/>
    <w:rsid w:val="00CC66A2"/>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C66A2"/>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10" Type="http://schemas.openxmlformats.org/officeDocument/2006/relationships/image" Target="media/image3.wmf"/><Relationship Id="rId11" Type="http://schemas.openxmlformats.org/officeDocument/2006/relationships/oleObject" Target="embeddings/Microsoft_Equation3.bin"/><Relationship Id="rId12" Type="http://schemas.openxmlformats.org/officeDocument/2006/relationships/image" Target="media/image4.wmf"/><Relationship Id="rId13" Type="http://schemas.openxmlformats.org/officeDocument/2006/relationships/image" Target="media/image5.wmf"/><Relationship Id="rId14" Type="http://schemas.openxmlformats.org/officeDocument/2006/relationships/oleObject" Target="embeddings/Microsoft_Equation4.bin"/><Relationship Id="rId15" Type="http://schemas.openxmlformats.org/officeDocument/2006/relationships/image" Target="media/image6.wmf"/><Relationship Id="rId16" Type="http://schemas.openxmlformats.org/officeDocument/2006/relationships/oleObject" Target="embeddings/Microsoft_Equation5.bin"/><Relationship Id="rId17" Type="http://schemas.openxmlformats.org/officeDocument/2006/relationships/image" Target="media/image7.wmf"/><Relationship Id="rId18" Type="http://schemas.openxmlformats.org/officeDocument/2006/relationships/oleObject" Target="embeddings/Microsoft_Equation6.bin"/><Relationship Id="rId19" Type="http://schemas.openxmlformats.org/officeDocument/2006/relationships/image" Target="media/image8.wmf"/><Relationship Id="rId60" Type="http://schemas.openxmlformats.org/officeDocument/2006/relationships/oleObject" Target="embeddings/Microsoft_Equation27.bin"/><Relationship Id="rId61" Type="http://schemas.openxmlformats.org/officeDocument/2006/relationships/image" Target="media/image29.wmf"/><Relationship Id="rId62" Type="http://schemas.openxmlformats.org/officeDocument/2006/relationships/oleObject" Target="embeddings/Microsoft_Equation28.bin"/><Relationship Id="rId63" Type="http://schemas.openxmlformats.org/officeDocument/2006/relationships/image" Target="media/image30.wmf"/><Relationship Id="rId64" Type="http://schemas.openxmlformats.org/officeDocument/2006/relationships/oleObject" Target="embeddings/Microsoft_Equation29.bin"/><Relationship Id="rId65" Type="http://schemas.openxmlformats.org/officeDocument/2006/relationships/image" Target="media/image31.wmf"/><Relationship Id="rId66" Type="http://schemas.openxmlformats.org/officeDocument/2006/relationships/oleObject" Target="embeddings/Microsoft_Equation30.bin"/><Relationship Id="rId67" Type="http://schemas.openxmlformats.org/officeDocument/2006/relationships/image" Target="media/image32.wmf"/><Relationship Id="rId68" Type="http://schemas.openxmlformats.org/officeDocument/2006/relationships/oleObject" Target="embeddings/Microsoft_Equation31.bin"/><Relationship Id="rId69" Type="http://schemas.openxmlformats.org/officeDocument/2006/relationships/image" Target="media/image33.wmf"/><Relationship Id="rId120" Type="http://schemas.openxmlformats.org/officeDocument/2006/relationships/oleObject" Target="embeddings/Microsoft_Equation57.bin"/><Relationship Id="rId121" Type="http://schemas.openxmlformats.org/officeDocument/2006/relationships/image" Target="media/image59.wmf"/><Relationship Id="rId122" Type="http://schemas.openxmlformats.org/officeDocument/2006/relationships/oleObject" Target="embeddings/Microsoft_Equation58.bin"/><Relationship Id="rId123" Type="http://schemas.openxmlformats.org/officeDocument/2006/relationships/image" Target="media/image60.wmf"/><Relationship Id="rId124" Type="http://schemas.openxmlformats.org/officeDocument/2006/relationships/oleObject" Target="embeddings/Microsoft_Equation59.bin"/><Relationship Id="rId125" Type="http://schemas.openxmlformats.org/officeDocument/2006/relationships/image" Target="media/image61.wmf"/><Relationship Id="rId126" Type="http://schemas.openxmlformats.org/officeDocument/2006/relationships/oleObject" Target="embeddings/Microsoft_Equation60.bin"/><Relationship Id="rId127" Type="http://schemas.openxmlformats.org/officeDocument/2006/relationships/image" Target="media/image62.wmf"/><Relationship Id="rId128" Type="http://schemas.openxmlformats.org/officeDocument/2006/relationships/oleObject" Target="embeddings/Microsoft_Equation61.bin"/><Relationship Id="rId129" Type="http://schemas.openxmlformats.org/officeDocument/2006/relationships/fontTable" Target="fontTable.xml"/><Relationship Id="rId40" Type="http://schemas.openxmlformats.org/officeDocument/2006/relationships/oleObject" Target="embeddings/Microsoft_Equation17.bin"/><Relationship Id="rId41" Type="http://schemas.openxmlformats.org/officeDocument/2006/relationships/image" Target="media/image19.wmf"/><Relationship Id="rId42" Type="http://schemas.openxmlformats.org/officeDocument/2006/relationships/oleObject" Target="embeddings/Microsoft_Equation18.bin"/><Relationship Id="rId90" Type="http://schemas.openxmlformats.org/officeDocument/2006/relationships/oleObject" Target="embeddings/Microsoft_Equation42.bin"/><Relationship Id="rId91" Type="http://schemas.openxmlformats.org/officeDocument/2006/relationships/image" Target="media/image44.wmf"/><Relationship Id="rId92" Type="http://schemas.openxmlformats.org/officeDocument/2006/relationships/oleObject" Target="embeddings/Microsoft_Equation43.bin"/><Relationship Id="rId93" Type="http://schemas.openxmlformats.org/officeDocument/2006/relationships/image" Target="media/image45.wmf"/><Relationship Id="rId94" Type="http://schemas.openxmlformats.org/officeDocument/2006/relationships/oleObject" Target="embeddings/Microsoft_Equation44.bin"/><Relationship Id="rId95" Type="http://schemas.openxmlformats.org/officeDocument/2006/relationships/image" Target="media/image46.wmf"/><Relationship Id="rId96" Type="http://schemas.openxmlformats.org/officeDocument/2006/relationships/oleObject" Target="embeddings/Microsoft_Equation45.bin"/><Relationship Id="rId101" Type="http://schemas.openxmlformats.org/officeDocument/2006/relationships/image" Target="media/image49.wmf"/><Relationship Id="rId102" Type="http://schemas.openxmlformats.org/officeDocument/2006/relationships/oleObject" Target="embeddings/Microsoft_Equation48.bin"/><Relationship Id="rId103" Type="http://schemas.openxmlformats.org/officeDocument/2006/relationships/image" Target="media/image50.wmf"/><Relationship Id="rId104" Type="http://schemas.openxmlformats.org/officeDocument/2006/relationships/oleObject" Target="embeddings/Microsoft_Equation49.bin"/><Relationship Id="rId105" Type="http://schemas.openxmlformats.org/officeDocument/2006/relationships/image" Target="media/image51.wmf"/><Relationship Id="rId106" Type="http://schemas.openxmlformats.org/officeDocument/2006/relationships/oleObject" Target="embeddings/Microsoft_Equation50.bin"/><Relationship Id="rId107" Type="http://schemas.openxmlformats.org/officeDocument/2006/relationships/image" Target="media/image52.wmf"/><Relationship Id="rId108" Type="http://schemas.openxmlformats.org/officeDocument/2006/relationships/oleObject" Target="embeddings/Microsoft_Equation51.bin"/><Relationship Id="rId109" Type="http://schemas.openxmlformats.org/officeDocument/2006/relationships/image" Target="media/image53.wmf"/><Relationship Id="rId97" Type="http://schemas.openxmlformats.org/officeDocument/2006/relationships/image" Target="media/image47.wmf"/><Relationship Id="rId98" Type="http://schemas.openxmlformats.org/officeDocument/2006/relationships/oleObject" Target="embeddings/Microsoft_Equation46.bin"/><Relationship Id="rId99" Type="http://schemas.openxmlformats.org/officeDocument/2006/relationships/image" Target="media/image48.wmf"/><Relationship Id="rId43" Type="http://schemas.openxmlformats.org/officeDocument/2006/relationships/image" Target="media/image20.wmf"/><Relationship Id="rId44" Type="http://schemas.openxmlformats.org/officeDocument/2006/relationships/oleObject" Target="embeddings/Microsoft_Equation19.bin"/><Relationship Id="rId45" Type="http://schemas.openxmlformats.org/officeDocument/2006/relationships/image" Target="media/image21.wmf"/><Relationship Id="rId46" Type="http://schemas.openxmlformats.org/officeDocument/2006/relationships/oleObject" Target="embeddings/Microsoft_Equation20.bin"/><Relationship Id="rId47" Type="http://schemas.openxmlformats.org/officeDocument/2006/relationships/image" Target="media/image22.wmf"/><Relationship Id="rId48" Type="http://schemas.openxmlformats.org/officeDocument/2006/relationships/oleObject" Target="embeddings/Microsoft_Equation21.bin"/><Relationship Id="rId49" Type="http://schemas.openxmlformats.org/officeDocument/2006/relationships/image" Target="media/image23.wmf"/><Relationship Id="rId100" Type="http://schemas.openxmlformats.org/officeDocument/2006/relationships/oleObject" Target="embeddings/Microsoft_Equation47.bin"/><Relationship Id="rId20" Type="http://schemas.openxmlformats.org/officeDocument/2006/relationships/oleObject" Target="embeddings/Microsoft_Equation7.bin"/><Relationship Id="rId21" Type="http://schemas.openxmlformats.org/officeDocument/2006/relationships/image" Target="media/image9.wmf"/><Relationship Id="rId22" Type="http://schemas.openxmlformats.org/officeDocument/2006/relationships/oleObject" Target="embeddings/Microsoft_Equation8.bin"/><Relationship Id="rId70" Type="http://schemas.openxmlformats.org/officeDocument/2006/relationships/oleObject" Target="embeddings/Microsoft_Equation32.bin"/><Relationship Id="rId71" Type="http://schemas.openxmlformats.org/officeDocument/2006/relationships/image" Target="media/image34.wmf"/><Relationship Id="rId72" Type="http://schemas.openxmlformats.org/officeDocument/2006/relationships/oleObject" Target="embeddings/Microsoft_Equation33.bin"/><Relationship Id="rId73" Type="http://schemas.openxmlformats.org/officeDocument/2006/relationships/image" Target="media/image35.wmf"/><Relationship Id="rId74" Type="http://schemas.openxmlformats.org/officeDocument/2006/relationships/oleObject" Target="embeddings/Microsoft_Equation34.bin"/><Relationship Id="rId75" Type="http://schemas.openxmlformats.org/officeDocument/2006/relationships/image" Target="media/image36.wmf"/><Relationship Id="rId76" Type="http://schemas.openxmlformats.org/officeDocument/2006/relationships/oleObject" Target="embeddings/Microsoft_Equation35.bin"/><Relationship Id="rId77" Type="http://schemas.openxmlformats.org/officeDocument/2006/relationships/image" Target="media/image37.wmf"/><Relationship Id="rId78" Type="http://schemas.openxmlformats.org/officeDocument/2006/relationships/oleObject" Target="embeddings/Microsoft_Equation36.bin"/><Relationship Id="rId79" Type="http://schemas.openxmlformats.org/officeDocument/2006/relationships/image" Target="media/image38.wmf"/><Relationship Id="rId23" Type="http://schemas.openxmlformats.org/officeDocument/2006/relationships/image" Target="media/image10.wmf"/><Relationship Id="rId24" Type="http://schemas.openxmlformats.org/officeDocument/2006/relationships/oleObject" Target="embeddings/Microsoft_Equation9.bin"/><Relationship Id="rId25" Type="http://schemas.openxmlformats.org/officeDocument/2006/relationships/image" Target="media/image11.wmf"/><Relationship Id="rId26" Type="http://schemas.openxmlformats.org/officeDocument/2006/relationships/oleObject" Target="embeddings/Microsoft_Equation10.bin"/><Relationship Id="rId27" Type="http://schemas.openxmlformats.org/officeDocument/2006/relationships/image" Target="media/image12.wmf"/><Relationship Id="rId28" Type="http://schemas.openxmlformats.org/officeDocument/2006/relationships/oleObject" Target="embeddings/Microsoft_Equation11.bin"/><Relationship Id="rId29" Type="http://schemas.openxmlformats.org/officeDocument/2006/relationships/image" Target="media/image13.wmf"/><Relationship Id="rId130"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image" Target="media/image1.wmf"/><Relationship Id="rId7" Type="http://schemas.openxmlformats.org/officeDocument/2006/relationships/oleObject" Target="embeddings/Microsoft_Equation1.bin"/><Relationship Id="rId8" Type="http://schemas.openxmlformats.org/officeDocument/2006/relationships/image" Target="media/image2.wmf"/><Relationship Id="rId9" Type="http://schemas.openxmlformats.org/officeDocument/2006/relationships/oleObject" Target="embeddings/Microsoft_Equation2.bin"/><Relationship Id="rId50" Type="http://schemas.openxmlformats.org/officeDocument/2006/relationships/oleObject" Target="embeddings/Microsoft_Equation22.bin"/><Relationship Id="rId51" Type="http://schemas.openxmlformats.org/officeDocument/2006/relationships/image" Target="media/image24.wmf"/><Relationship Id="rId52" Type="http://schemas.openxmlformats.org/officeDocument/2006/relationships/oleObject" Target="embeddings/Microsoft_Equation23.bin"/><Relationship Id="rId53" Type="http://schemas.openxmlformats.org/officeDocument/2006/relationships/image" Target="media/image25.wmf"/><Relationship Id="rId54" Type="http://schemas.openxmlformats.org/officeDocument/2006/relationships/oleObject" Target="embeddings/Microsoft_Equation24.bin"/><Relationship Id="rId55" Type="http://schemas.openxmlformats.org/officeDocument/2006/relationships/image" Target="media/image26.wmf"/><Relationship Id="rId56" Type="http://schemas.openxmlformats.org/officeDocument/2006/relationships/oleObject" Target="embeddings/Microsoft_Equation25.bin"/><Relationship Id="rId57" Type="http://schemas.openxmlformats.org/officeDocument/2006/relationships/image" Target="media/image27.wmf"/><Relationship Id="rId58" Type="http://schemas.openxmlformats.org/officeDocument/2006/relationships/oleObject" Target="embeddings/Microsoft_Equation26.bin"/><Relationship Id="rId59" Type="http://schemas.openxmlformats.org/officeDocument/2006/relationships/image" Target="media/image28.wmf"/><Relationship Id="rId110" Type="http://schemas.openxmlformats.org/officeDocument/2006/relationships/oleObject" Target="embeddings/Microsoft_Equation52.bin"/><Relationship Id="rId111" Type="http://schemas.openxmlformats.org/officeDocument/2006/relationships/image" Target="media/image54.wmf"/><Relationship Id="rId112" Type="http://schemas.openxmlformats.org/officeDocument/2006/relationships/oleObject" Target="embeddings/Microsoft_Equation53.bin"/><Relationship Id="rId113" Type="http://schemas.openxmlformats.org/officeDocument/2006/relationships/image" Target="media/image55.wmf"/><Relationship Id="rId114" Type="http://schemas.openxmlformats.org/officeDocument/2006/relationships/oleObject" Target="embeddings/Microsoft_Equation54.bin"/><Relationship Id="rId115" Type="http://schemas.openxmlformats.org/officeDocument/2006/relationships/image" Target="media/image56.wmf"/><Relationship Id="rId116" Type="http://schemas.openxmlformats.org/officeDocument/2006/relationships/oleObject" Target="embeddings/Microsoft_Equation55.bin"/><Relationship Id="rId117" Type="http://schemas.openxmlformats.org/officeDocument/2006/relationships/image" Target="media/image57.wmf"/><Relationship Id="rId118" Type="http://schemas.openxmlformats.org/officeDocument/2006/relationships/oleObject" Target="embeddings/Microsoft_Equation56.bin"/><Relationship Id="rId119" Type="http://schemas.openxmlformats.org/officeDocument/2006/relationships/image" Target="media/image58.wmf"/><Relationship Id="rId30" Type="http://schemas.openxmlformats.org/officeDocument/2006/relationships/oleObject" Target="embeddings/Microsoft_Equation12.bin"/><Relationship Id="rId31" Type="http://schemas.openxmlformats.org/officeDocument/2006/relationships/image" Target="media/image14.wmf"/><Relationship Id="rId32" Type="http://schemas.openxmlformats.org/officeDocument/2006/relationships/oleObject" Target="embeddings/Microsoft_Equation13.bin"/><Relationship Id="rId33" Type="http://schemas.openxmlformats.org/officeDocument/2006/relationships/image" Target="media/image15.wmf"/><Relationship Id="rId34" Type="http://schemas.openxmlformats.org/officeDocument/2006/relationships/oleObject" Target="embeddings/Microsoft_Equation14.bin"/><Relationship Id="rId35" Type="http://schemas.openxmlformats.org/officeDocument/2006/relationships/image" Target="media/image16.wmf"/><Relationship Id="rId36" Type="http://schemas.openxmlformats.org/officeDocument/2006/relationships/oleObject" Target="embeddings/Microsoft_Equation15.bin"/><Relationship Id="rId37" Type="http://schemas.openxmlformats.org/officeDocument/2006/relationships/image" Target="media/image17.wmf"/><Relationship Id="rId38" Type="http://schemas.openxmlformats.org/officeDocument/2006/relationships/oleObject" Target="embeddings/Microsoft_Equation16.bin"/><Relationship Id="rId39" Type="http://schemas.openxmlformats.org/officeDocument/2006/relationships/image" Target="media/image18.wmf"/><Relationship Id="rId80" Type="http://schemas.openxmlformats.org/officeDocument/2006/relationships/oleObject" Target="embeddings/Microsoft_Equation37.bin"/><Relationship Id="rId81" Type="http://schemas.openxmlformats.org/officeDocument/2006/relationships/image" Target="media/image39.wmf"/><Relationship Id="rId82" Type="http://schemas.openxmlformats.org/officeDocument/2006/relationships/oleObject" Target="embeddings/Microsoft_Equation38.bin"/><Relationship Id="rId83" Type="http://schemas.openxmlformats.org/officeDocument/2006/relationships/image" Target="media/image40.wmf"/><Relationship Id="rId84" Type="http://schemas.openxmlformats.org/officeDocument/2006/relationships/oleObject" Target="embeddings/Microsoft_Equation39.bin"/><Relationship Id="rId85" Type="http://schemas.openxmlformats.org/officeDocument/2006/relationships/image" Target="media/image41.wmf"/><Relationship Id="rId86" Type="http://schemas.openxmlformats.org/officeDocument/2006/relationships/oleObject" Target="embeddings/Microsoft_Equation40.bin"/><Relationship Id="rId87" Type="http://schemas.openxmlformats.org/officeDocument/2006/relationships/image" Target="media/image42.wmf"/><Relationship Id="rId88" Type="http://schemas.openxmlformats.org/officeDocument/2006/relationships/oleObject" Target="embeddings/Microsoft_Equation41.bin"/><Relationship Id="rId89" Type="http://schemas.openxmlformats.org/officeDocument/2006/relationships/image" Target="media/image43.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6044</Words>
  <Characters>34454</Characters>
  <Application>Microsoft Macintosh Word</Application>
  <DocSecurity>0</DocSecurity>
  <Lines>287</Lines>
  <Paragraphs>80</Paragraphs>
  <ScaleCrop>false</ScaleCrop>
  <Company/>
  <LinksUpToDate>false</LinksUpToDate>
  <CharactersWithSpaces>40418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2016-11-08T20:18:00Z</dcterms:created>
  <dcterms:modified xsi:type="dcterms:W3CDTF">2016-11-09T00:07:00Z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User Name_1">
    <vt:lpwstr>dc.erazo170@uniandes.edu.co@www.mendeley.com</vt:lpwstr>
  </property>
  <property fmtid="{D5CDD505-2E9C-101B-9397-08002B2CF9AE}" pid="4" name="Mendeley Citation Style_1">
    <vt:lpwstr>http://www.zotero.org/styles/parasites-and-vectors</vt:lpwstr>
  </property>
  <property fmtid="{D5CDD505-2E9C-101B-9397-08002B2CF9AE}" pid="5" name="Mendeley Recent Style Id 0_1">
    <vt:lpwstr>http://www.zotero.org/styles/american-medical-association</vt:lpwstr>
  </property>
  <property fmtid="{D5CDD505-2E9C-101B-9397-08002B2CF9AE}" pid="6" name="Mendeley Recent Style Name 0_1">
    <vt:lpwstr>American Medical Association</vt:lpwstr>
  </property>
  <property fmtid="{D5CDD505-2E9C-101B-9397-08002B2CF9AE}" pid="7" name="Mendeley Recent Style Id 1_1">
    <vt:lpwstr>http://www.zotero.org/styles/american-political-science-association</vt:lpwstr>
  </property>
  <property fmtid="{D5CDD505-2E9C-101B-9397-08002B2CF9AE}" pid="8" name="Mendeley Recent Style Name 1_1">
    <vt:lpwstr>American Political Science Association</vt:lpwstr>
  </property>
  <property fmtid="{D5CDD505-2E9C-101B-9397-08002B2CF9AE}" pid="9" name="Mendeley Recent Style Id 2_1">
    <vt:lpwstr>http://www.zotero.org/styles/apa</vt:lpwstr>
  </property>
  <property fmtid="{D5CDD505-2E9C-101B-9397-08002B2CF9AE}" pid="10" name="Mendeley Recent Style Name 2_1">
    <vt:lpwstr>American Psychological Association 6th edition</vt:lpwstr>
  </property>
  <property fmtid="{D5CDD505-2E9C-101B-9397-08002B2CF9AE}" pid="11" name="Mendeley Recent Style Id 3_1">
    <vt:lpwstr>http://www.zotero.org/styles/american-sociological-association</vt:lpwstr>
  </property>
  <property fmtid="{D5CDD505-2E9C-101B-9397-08002B2CF9AE}" pid="12" name="Mendeley Recent Style Name 3_1">
    <vt:lpwstr>American Sociological Association</vt:lpwstr>
  </property>
  <property fmtid="{D5CDD505-2E9C-101B-9397-08002B2CF9AE}" pid="13" name="Mendeley Recent Style Id 4_1">
    <vt:lpwstr>http://www.zotero.org/styles/chicago-author-date</vt:lpwstr>
  </property>
  <property fmtid="{D5CDD505-2E9C-101B-9397-08002B2CF9AE}" pid="14" name="Mendeley Recent Style Name 4_1">
    <vt:lpwstr>Chicago Manual of Style 16th edition (author-date)</vt:lpwstr>
  </property>
  <property fmtid="{D5CDD505-2E9C-101B-9397-08002B2CF9AE}" pid="15" name="Mendeley Recent Style Id 5_1">
    <vt:lpwstr>http://www.zotero.org/styles/harvard1</vt:lpwstr>
  </property>
  <property fmtid="{D5CDD505-2E9C-101B-9397-08002B2CF9AE}" pid="16" name="Mendeley Recent Style Name 5_1">
    <vt:lpwstr>Harvard Reference format 1 (author-date)</vt:lpwstr>
  </property>
  <property fmtid="{D5CDD505-2E9C-101B-9397-08002B2CF9AE}" pid="17" name="Mendeley Recent Style Id 6_1">
    <vt:lpwstr>http://www.zotero.org/styles/ieee</vt:lpwstr>
  </property>
  <property fmtid="{D5CDD505-2E9C-101B-9397-08002B2CF9AE}" pid="18" name="Mendeley Recent Style Name 6_1">
    <vt:lpwstr>IEEE</vt:lpwstr>
  </property>
  <property fmtid="{D5CDD505-2E9C-101B-9397-08002B2CF9AE}" pid="19" name="Mendeley Recent Style Id 7_1">
    <vt:lpwstr>http://www.zotero.org/styles/modern-humanities-research-association</vt:lpwstr>
  </property>
  <property fmtid="{D5CDD505-2E9C-101B-9397-08002B2CF9AE}" pid="20" name="Mendeley Recent Style Name 7_1">
    <vt:lpwstr>Modern Humanities Research Association 3rd edition (note with bibliography)</vt:lpwstr>
  </property>
  <property fmtid="{D5CDD505-2E9C-101B-9397-08002B2CF9AE}" pid="21" name="Mendeley Recent Style Id 8_1">
    <vt:lpwstr>http://www.zotero.org/styles/modern-language-association</vt:lpwstr>
  </property>
  <property fmtid="{D5CDD505-2E9C-101B-9397-08002B2CF9AE}" pid="22" name="Mendeley Recent Style Name 8_1">
    <vt:lpwstr>Modern Language Association 7th edition</vt:lpwstr>
  </property>
  <property fmtid="{D5CDD505-2E9C-101B-9397-08002B2CF9AE}" pid="23" name="Mendeley Recent Style Id 9_1">
    <vt:lpwstr>http://www.zotero.org/styles/parasites-and-vectors</vt:lpwstr>
  </property>
  <property fmtid="{D5CDD505-2E9C-101B-9397-08002B2CF9AE}" pid="24" name="Mendeley Recent Style Name 9_1">
    <vt:lpwstr>Parasites &amp; Vectors</vt:lpwstr>
  </property>
</Properties>
</file>