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98" w:rsidRPr="00646DC2" w:rsidRDefault="000E2A45" w:rsidP="00F77D9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 </w:t>
      </w:r>
    </w:p>
    <w:p w:rsidR="00F77D98" w:rsidRPr="00646DC2" w:rsidRDefault="005D61B8" w:rsidP="00646DC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701203" w:rsidRPr="00646DC2">
        <w:rPr>
          <w:rFonts w:ascii="Times New Roman" w:hAnsi="Times New Roman" w:cs="Times New Roman"/>
          <w:b/>
          <w:sz w:val="24"/>
          <w:szCs w:val="24"/>
        </w:rPr>
        <w:t>.</w:t>
      </w:r>
      <w:r w:rsidR="00701203" w:rsidRPr="00646DC2">
        <w:rPr>
          <w:rFonts w:ascii="Times New Roman" w:hAnsi="Times New Roman" w:cs="Times New Roman"/>
          <w:sz w:val="24"/>
          <w:szCs w:val="24"/>
        </w:rPr>
        <w:t xml:space="preserve"> An overview over the various samples and analysis met</w:t>
      </w:r>
      <w:r w:rsidR="00655731" w:rsidRPr="00646DC2">
        <w:rPr>
          <w:rFonts w:ascii="Times New Roman" w:hAnsi="Times New Roman" w:cs="Times New Roman"/>
          <w:sz w:val="24"/>
          <w:szCs w:val="24"/>
        </w:rPr>
        <w:t>hods applied in Trial 1,</w:t>
      </w:r>
      <w:r w:rsidR="00646DC2">
        <w:rPr>
          <w:rFonts w:ascii="Times New Roman" w:hAnsi="Times New Roman" w:cs="Times New Roman"/>
          <w:sz w:val="24"/>
          <w:szCs w:val="24"/>
        </w:rPr>
        <w:t xml:space="preserve"> </w:t>
      </w:r>
      <w:r w:rsidR="00701203" w:rsidRPr="00646DC2">
        <w:rPr>
          <w:rFonts w:ascii="Times New Roman" w:hAnsi="Times New Roman" w:cs="Times New Roman"/>
          <w:sz w:val="24"/>
          <w:szCs w:val="24"/>
        </w:rPr>
        <w:t>2</w:t>
      </w:r>
      <w:r w:rsidR="00655731" w:rsidRPr="00646DC2">
        <w:rPr>
          <w:rFonts w:ascii="Times New Roman" w:hAnsi="Times New Roman" w:cs="Times New Roman"/>
          <w:sz w:val="24"/>
          <w:szCs w:val="24"/>
        </w:rPr>
        <w:t xml:space="preserve"> and 3</w:t>
      </w:r>
      <w:r w:rsidR="00701203" w:rsidRPr="00646DC2">
        <w:rPr>
          <w:rFonts w:ascii="Times New Roman" w:hAnsi="Times New Roman" w:cs="Times New Roman"/>
          <w:sz w:val="24"/>
          <w:szCs w:val="24"/>
        </w:rPr>
        <w:t>. Blank spaces indicates that the analysis</w:t>
      </w:r>
      <w:r w:rsidR="00646DC2">
        <w:rPr>
          <w:rFonts w:ascii="Times New Roman" w:hAnsi="Times New Roman" w:cs="Times New Roman"/>
          <w:sz w:val="24"/>
          <w:szCs w:val="24"/>
        </w:rPr>
        <w:t xml:space="preserve"> were not included in the trial.</w:t>
      </w:r>
    </w:p>
    <w:tbl>
      <w:tblPr>
        <w:tblStyle w:val="Tabellrutenett"/>
        <w:tblW w:w="13320" w:type="dxa"/>
        <w:tblLayout w:type="fixed"/>
        <w:tblLook w:val="04A0" w:firstRow="1" w:lastRow="0" w:firstColumn="1" w:lastColumn="0" w:noHBand="0" w:noVBand="1"/>
      </w:tblPr>
      <w:tblGrid>
        <w:gridCol w:w="4390"/>
        <w:gridCol w:w="2976"/>
        <w:gridCol w:w="2977"/>
        <w:gridCol w:w="2977"/>
      </w:tblGrid>
      <w:tr w:rsidR="00701203" w:rsidRPr="00646DC2" w:rsidTr="00646DC2">
        <w:trPr>
          <w:trHeight w:val="528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Trial/analysis method</w:t>
            </w:r>
          </w:p>
        </w:tc>
        <w:tc>
          <w:tcPr>
            <w:tcW w:w="2976" w:type="dxa"/>
            <w:vAlign w:val="center"/>
          </w:tcPr>
          <w:p w:rsidR="00701203" w:rsidRPr="00646DC2" w:rsidRDefault="00701203" w:rsidP="00D808AD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Trial 1</w:t>
            </w:r>
          </w:p>
        </w:tc>
        <w:tc>
          <w:tcPr>
            <w:tcW w:w="2977" w:type="dxa"/>
            <w:vAlign w:val="center"/>
          </w:tcPr>
          <w:p w:rsidR="00701203" w:rsidRPr="00646DC2" w:rsidRDefault="00D808AD" w:rsidP="00D808AD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Trial 2</w:t>
            </w:r>
          </w:p>
        </w:tc>
        <w:tc>
          <w:tcPr>
            <w:tcW w:w="2977" w:type="dxa"/>
            <w:vAlign w:val="center"/>
          </w:tcPr>
          <w:p w:rsidR="00701203" w:rsidRPr="00646DC2" w:rsidRDefault="00D808AD" w:rsidP="00303A27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6D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Trial 3</w:t>
            </w:r>
          </w:p>
        </w:tc>
      </w:tr>
      <w:tr w:rsidR="00701203" w:rsidRPr="00646DC2" w:rsidTr="00646DC2">
        <w:trPr>
          <w:trHeight w:val="1076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Groups</w:t>
            </w:r>
          </w:p>
        </w:tc>
        <w:tc>
          <w:tcPr>
            <w:tcW w:w="2976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Not infected control (NI-C)</w:t>
            </w:r>
          </w:p>
          <w:p w:rsidR="00701203" w:rsidRPr="00646DC2" w:rsidRDefault="00701203" w:rsidP="0090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Not infected </w:t>
            </w:r>
            <w:r w:rsidR="00903303"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(NI-13)</w:t>
            </w: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Infected control (I-C)</w:t>
            </w:r>
          </w:p>
          <w:p w:rsidR="00903303" w:rsidRPr="00646DC2" w:rsidRDefault="00903303" w:rsidP="0090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Infected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3.6 %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(I-3.6)</w:t>
            </w:r>
          </w:p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Infected </w:t>
            </w:r>
            <w:r w:rsidR="00903303"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(I-13)</w:t>
            </w:r>
          </w:p>
          <w:p w:rsidR="00701203" w:rsidRPr="00646DC2" w:rsidRDefault="00701203" w:rsidP="0090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Infected control (I-C)</w:t>
            </w:r>
          </w:p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Infected </w:t>
            </w:r>
            <w:r w:rsidR="00903303">
              <w:rPr>
                <w:rFonts w:ascii="Times New Roman" w:hAnsi="Times New Roman" w:cs="Times New Roman"/>
                <w:sz w:val="24"/>
                <w:szCs w:val="24"/>
              </w:rPr>
              <w:t>0.5 %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(I-0.5)</w:t>
            </w:r>
          </w:p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Infected </w:t>
            </w:r>
            <w:r w:rsidR="00903303"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(I-1)</w:t>
            </w:r>
          </w:p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Infected </w:t>
            </w:r>
            <w:r w:rsidR="00903303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(I-2)</w:t>
            </w:r>
          </w:p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203" w:rsidRPr="00646DC2" w:rsidTr="00646DC2">
        <w:trPr>
          <w:trHeight w:val="499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Microarray</w:t>
            </w:r>
          </w:p>
        </w:tc>
        <w:tc>
          <w:tcPr>
            <w:tcW w:w="2976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Liver, distal kidney, muscle</w:t>
            </w: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203" w:rsidRPr="00646DC2" w:rsidTr="00646DC2">
        <w:trPr>
          <w:trHeight w:val="528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qPCR</w:t>
            </w:r>
          </w:p>
        </w:tc>
        <w:tc>
          <w:tcPr>
            <w:tcW w:w="2976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Liver, distal kidney</w:t>
            </w: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Liver, distal kidney</w:t>
            </w: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203" w:rsidRPr="00646DC2" w:rsidTr="00646DC2">
        <w:trPr>
          <w:trHeight w:val="499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Weights/condition factor</w:t>
            </w:r>
          </w:p>
        </w:tc>
        <w:tc>
          <w:tcPr>
            <w:tcW w:w="2976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01203" w:rsidRPr="00646DC2" w:rsidTr="00646DC2">
        <w:trPr>
          <w:trHeight w:val="528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Organo</w:t>
            </w:r>
            <w:proofErr w:type="spellEnd"/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-somatic indices</w:t>
            </w:r>
          </w:p>
        </w:tc>
        <w:tc>
          <w:tcPr>
            <w:tcW w:w="2976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Hepato</w:t>
            </w:r>
            <w:proofErr w:type="spellEnd"/>
            <w:r w:rsidR="00D808AD" w:rsidRPr="00646D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somatic index</w:t>
            </w:r>
            <w:r w:rsidR="00903303">
              <w:rPr>
                <w:rFonts w:ascii="Times New Roman" w:hAnsi="Times New Roman" w:cs="Times New Roman"/>
                <w:sz w:val="24"/>
                <w:szCs w:val="24"/>
              </w:rPr>
              <w:t xml:space="preserve"> (H</w:t>
            </w:r>
            <w:r w:rsidR="00D808AD" w:rsidRPr="00646DC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0330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808AD"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Intestinal</w:t>
            </w:r>
            <w:r w:rsidR="00D808AD" w:rsidRPr="00646D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somatic index</w:t>
            </w:r>
            <w:r w:rsidR="00D808AD"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(ISI)</w:t>
            </w:r>
          </w:p>
        </w:tc>
      </w:tr>
      <w:tr w:rsidR="00701203" w:rsidRPr="00646DC2" w:rsidTr="00646DC2">
        <w:trPr>
          <w:trHeight w:val="499"/>
        </w:trPr>
        <w:tc>
          <w:tcPr>
            <w:tcW w:w="4390" w:type="dxa"/>
            <w:vAlign w:val="center"/>
          </w:tcPr>
          <w:p w:rsidR="00701203" w:rsidRPr="00646DC2" w:rsidRDefault="00D808AD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701203"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iver steatosis scoring</w:t>
            </w:r>
          </w:p>
        </w:tc>
        <w:tc>
          <w:tcPr>
            <w:tcW w:w="2976" w:type="dxa"/>
            <w:vAlign w:val="center"/>
          </w:tcPr>
          <w:p w:rsidR="00701203" w:rsidRPr="00646DC2" w:rsidRDefault="00D808AD" w:rsidP="00D8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  <w:vAlign w:val="center"/>
          </w:tcPr>
          <w:p w:rsidR="00701203" w:rsidRPr="00646DC2" w:rsidRDefault="00D808AD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  <w:vAlign w:val="center"/>
          </w:tcPr>
          <w:p w:rsidR="00701203" w:rsidRPr="00646DC2" w:rsidRDefault="00D808AD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701203" w:rsidRPr="00646DC2" w:rsidTr="00646DC2">
        <w:trPr>
          <w:trHeight w:val="528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D808AD"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ear infrared spectroscopy (N</w:t>
            </w: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r w:rsidR="00D808AD"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Norwegian quality cut</w:t>
            </w:r>
            <w:r w:rsidR="00D808AD"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(NQC)</w:t>
            </w:r>
          </w:p>
        </w:tc>
      </w:tr>
      <w:tr w:rsidR="00701203" w:rsidRPr="00646DC2" w:rsidTr="00646DC2">
        <w:trPr>
          <w:trHeight w:val="499"/>
        </w:trPr>
        <w:tc>
          <w:tcPr>
            <w:tcW w:w="4390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sz w:val="24"/>
                <w:szCs w:val="24"/>
              </w:rPr>
              <w:t>Biochemical and enzyme plasma profiling</w:t>
            </w:r>
          </w:p>
        </w:tc>
        <w:tc>
          <w:tcPr>
            <w:tcW w:w="2976" w:type="dxa"/>
            <w:vAlign w:val="center"/>
          </w:tcPr>
          <w:p w:rsidR="00701203" w:rsidRPr="00646DC2" w:rsidRDefault="00B5204D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  <w:vAlign w:val="center"/>
          </w:tcPr>
          <w:p w:rsidR="00701203" w:rsidRPr="00646DC2" w:rsidRDefault="00B5204D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977" w:type="dxa"/>
            <w:vAlign w:val="center"/>
          </w:tcPr>
          <w:p w:rsidR="00701203" w:rsidRPr="00646DC2" w:rsidRDefault="00701203" w:rsidP="00303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04D" w:rsidRPr="00646DC2" w:rsidRDefault="00B5204D" w:rsidP="00B5204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lang w:val="nb-NO"/>
        </w:rPr>
      </w:pPr>
    </w:p>
    <w:p w:rsidR="00903303" w:rsidRDefault="00903303" w:rsidP="00B5204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303" w:rsidRDefault="00903303" w:rsidP="00B5204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04B" w:rsidRPr="00646DC2" w:rsidRDefault="005D61B8" w:rsidP="00B5204D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B5204D" w:rsidRPr="00646DC2">
        <w:rPr>
          <w:rFonts w:ascii="Times New Roman" w:hAnsi="Times New Roman" w:cs="Times New Roman"/>
          <w:b/>
          <w:sz w:val="24"/>
          <w:szCs w:val="24"/>
        </w:rPr>
        <w:t>.</w:t>
      </w:r>
      <w:r w:rsidR="00B5204D" w:rsidRPr="00646DC2">
        <w:rPr>
          <w:rFonts w:ascii="Times New Roman" w:hAnsi="Times New Roman" w:cs="Times New Roman"/>
          <w:sz w:val="24"/>
          <w:szCs w:val="24"/>
        </w:rPr>
        <w:t xml:space="preserve"> Scoring of liver steatosis in individual sections</w:t>
      </w:r>
      <w:r w:rsidR="00714E8E">
        <w:rPr>
          <w:rFonts w:ascii="Times New Roman" w:hAnsi="Times New Roman" w:cs="Times New Roman"/>
          <w:sz w:val="24"/>
          <w:szCs w:val="24"/>
        </w:rPr>
        <w:t xml:space="preserve"> based on the following system described in Martinez-Rubio </w:t>
      </w:r>
      <w:r w:rsidR="00714E8E" w:rsidRPr="00C91A2F">
        <w:rPr>
          <w:rFonts w:ascii="Times New Roman" w:hAnsi="Times New Roman" w:cs="Times New Roman"/>
          <w:i/>
          <w:sz w:val="24"/>
          <w:szCs w:val="24"/>
        </w:rPr>
        <w:t>et al</w:t>
      </w:r>
      <w:r w:rsidR="00714E8E">
        <w:rPr>
          <w:rFonts w:ascii="Times New Roman" w:hAnsi="Times New Roman" w:cs="Times New Roman"/>
          <w:sz w:val="24"/>
          <w:szCs w:val="24"/>
        </w:rPr>
        <w:t>. 2013</w:t>
      </w:r>
      <w:r w:rsidR="00C91A2F">
        <w:rPr>
          <w:rFonts w:ascii="Times New Roman" w:hAnsi="Times New Roman" w:cs="Times New Roman"/>
          <w:sz w:val="24"/>
          <w:szCs w:val="24"/>
        </w:rPr>
        <w:t xml:space="preserve"> [88]</w:t>
      </w:r>
    </w:p>
    <w:p w:rsidR="00B5204D" w:rsidRPr="00646DC2" w:rsidRDefault="00B5204D">
      <w:pPr>
        <w:rPr>
          <w:rFonts w:ascii="Times New Roman" w:hAnsi="Times New Roman" w:cs="Times New Roman"/>
        </w:rPr>
      </w:pPr>
      <w:r w:rsidRPr="00646DC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54552" wp14:editId="07410EC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8534400" cy="3087015"/>
                <wp:effectExtent l="0" t="0" r="19050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0" cy="308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6D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 Formation of vacuoles in the cytoplasm, involving less than 10% of the hepatocytes and including less than 25% of the area of the individual hepatocytes</w:t>
                            </w: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6D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6D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 Formation of vacuoles in the cytoplasm, involving less than 25% of the hepatocytes and including less than 25% of the area of the individual hepatocytes </w:t>
                            </w: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6D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 Formation of vacuoles in the cytoplasm, involving less than 50% of the hepatocytes and including less than 50% of the area of the individual hepatocytes </w:t>
                            </w: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6D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 Formation of vacuoles in the cytoplasm, involving less than 75% of the hepatocytes and including less than 75% of the area of the individual hepatocytes </w:t>
                            </w: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6D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 Formation of vacuoles in the cytoplasm, involving less than 90% of the hepatocytes and including less than 80% of the area of the individual hepatocytes </w:t>
                            </w: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204D" w:rsidRPr="00646DC2" w:rsidRDefault="00B5204D" w:rsidP="00B5204D">
                            <w:pPr>
                              <w:pStyle w:val="Ingenmellomrom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46D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 Formation of vacuoles in the cytoplasm, involving more than 90% of the hepatocytes and including more than 80% of the area of the individual hepatocytes</w:t>
                            </w:r>
                          </w:p>
                          <w:p w:rsidR="00B5204D" w:rsidRPr="008115C9" w:rsidRDefault="00B5204D" w:rsidP="00B5204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545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pt;width:672pt;height:243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">
                <v:textbox>
                  <w:txbxContent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6D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 Formation of vacuoles in the cytoplasm, involving less than 10% of the hepatocytes and including less than 25% of the area of the individual hepatocytes</w:t>
                      </w: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6D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6D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 Formation of vacuoles in the cytoplasm, involving less than 25% of the hepatocytes and including less than 25% of the area of the individual hepatocytes </w:t>
                      </w: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6D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 Formation of vacuoles in the cytoplasm, involving less than 50% of the hepatocytes and including less than 50% of the area of the individual hepatocytes </w:t>
                      </w: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6D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 Formation of vacuoles in the cytoplasm, involving less than 75% of the hepatocytes and including less than 75% of the area of the individual hepatocytes </w:t>
                      </w: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6D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 Formation of vacuoles in the cytoplasm, involving less than 90% of the hepatocytes and including less than 80% of the area of the individual hepatocytes </w:t>
                      </w: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204D" w:rsidRPr="00646DC2" w:rsidRDefault="00B5204D" w:rsidP="00B5204D">
                      <w:pPr>
                        <w:pStyle w:val="Ingenmellomrom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46D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 Formation of vacuoles in the cytoplasm, involving more than 90% of the hepatocytes and including more than 80% of the area of the individual hepatocytes</w:t>
                      </w:r>
                    </w:p>
                    <w:p w:rsidR="00B5204D" w:rsidRPr="008115C9" w:rsidRDefault="00B5204D" w:rsidP="00B5204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204D" w:rsidRPr="00646DC2" w:rsidRDefault="00B5204D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8D1D09" w:rsidRPr="00646DC2" w:rsidRDefault="008D1D09">
      <w:pPr>
        <w:rPr>
          <w:rFonts w:ascii="Times New Roman" w:hAnsi="Times New Roman" w:cs="Times New Roman"/>
        </w:rPr>
      </w:pPr>
    </w:p>
    <w:p w:rsidR="00714E8E" w:rsidRDefault="00714E8E" w:rsidP="00646DC2">
      <w:pPr>
        <w:rPr>
          <w:rFonts w:ascii="Times New Roman" w:hAnsi="Times New Roman" w:cs="Times New Roman"/>
          <w:b/>
          <w:sz w:val="24"/>
          <w:szCs w:val="24"/>
        </w:rPr>
      </w:pPr>
    </w:p>
    <w:p w:rsidR="006F49E2" w:rsidRDefault="006F49E2" w:rsidP="006F49E2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Table S3</w:t>
      </w:r>
      <w:r w:rsidRPr="00BB7756">
        <w:rPr>
          <w:rFonts w:ascii="Times New Roman" w:hAnsi="Times New Roman" w:cs="Times New Roman"/>
          <w:b/>
          <w:sz w:val="24"/>
          <w:szCs w:val="24"/>
          <w:lang w:val="en"/>
        </w:rPr>
        <w:t>.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Primers used for qPCR analyses</w:t>
      </w:r>
    </w:p>
    <w:tbl>
      <w:tblPr>
        <w:tblStyle w:val="Tabellrutenett"/>
        <w:tblW w:w="5000" w:type="pct"/>
        <w:jc w:val="center"/>
        <w:tblLayout w:type="fixed"/>
        <w:tblCellMar>
          <w:top w:w="142" w:type="dxa"/>
        </w:tblCellMar>
        <w:tblLook w:val="04A0" w:firstRow="1" w:lastRow="0" w:firstColumn="1" w:lastColumn="0" w:noHBand="0" w:noVBand="1"/>
      </w:tblPr>
      <w:tblGrid>
        <w:gridCol w:w="4705"/>
        <w:gridCol w:w="2749"/>
        <w:gridCol w:w="982"/>
        <w:gridCol w:w="4514"/>
      </w:tblGrid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name and symbol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Accession </w:t>
            </w:r>
          </w:p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Arylamine</w:t>
            </w:r>
            <w:proofErr w:type="spellEnd"/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N-acetyltransferase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ary1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BT046633.1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F:GCTTGGGTGCTAAAAGAGA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R:CTGGTTGATGGTGTTGTTGT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Abhydrolase</w:t>
            </w:r>
            <w:proofErr w:type="spellEnd"/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-domain containing protein 6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abhd6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001140355.1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F:ATCCCTCTGATCCCCTCTAC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R:CTCGAACATCCACCAATCCC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Complement factor H-like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cfh</w:t>
            </w:r>
            <w:proofErr w:type="spellEnd"/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XM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014123545.1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TGCCGAACATAAGGATCACA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 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ATTGGCAATGAGGCAAGTTC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Complement component 1Q binding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c1qbp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CA387557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pStyle w:val="simplepara"/>
              <w:rPr>
                <w:color w:val="000000"/>
              </w:rPr>
            </w:pPr>
            <w:r w:rsidRPr="00646DC2">
              <w:rPr>
                <w:color w:val="000000"/>
              </w:rPr>
              <w:t>F:CGGTCTCTCTGGATGATGAGCCATA</w:t>
            </w:r>
          </w:p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pStyle w:val="simplepara"/>
              <w:rPr>
                <w:color w:val="000000"/>
              </w:rPr>
            </w:pPr>
            <w:r w:rsidRPr="00646DC2">
              <w:rPr>
                <w:color w:val="000000"/>
              </w:rPr>
              <w:t>R:CCACATCCACACGACACAGGAGTA</w:t>
            </w:r>
          </w:p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Cytochrome P450 24A1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cyp24a1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BT059557.1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F:ACATCTACCGCCACAGTCA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 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nb-NO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R:TCTCCACTCCTCCGATCT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46DC2" w:rsidRDefault="006F49E2" w:rsidP="00B13F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Complement </w:t>
            </w:r>
            <w:r w:rsidR="00B13F98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bookmarkStart w:id="0" w:name="_GoBack"/>
            <w:bookmarkEnd w:id="0"/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c3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L24433.1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F:GAGGAAAGGTGAGCCAGATG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R:TGTGTGTGTCGTCAGCTTCG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13F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Complement </w:t>
            </w:r>
            <w:r w:rsidR="00B13F98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c5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XM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014174798.1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AAGGCCAGTTGCAGTTCTGT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CCTGGGAATCCAAAGGGTAT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4-hydroxyphenylpyruvate dioxygenase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hpd</w:t>
            </w:r>
            <w:proofErr w:type="spellEnd"/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001140426.1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TTGATGAAGCATGGGGATGGG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TGAGAGTGTGTGTTGTATCGCC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Elongation factor 1 alpha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ef1α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BT072490.1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GCTGTGCGTGACATGAGG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proofErr w:type="gramStart"/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R:ACTTTGTGACCTTGCCGC</w:t>
            </w:r>
            <w:proofErr w:type="gramEnd"/>
          </w:p>
          <w:p w:rsidR="006F49E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Interferon γ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ifnγ</w:t>
            </w:r>
            <w:proofErr w:type="spellEnd"/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AY795563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F:CTAAAGAAGGACAACCGCAG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R:CACCGTTAGAGGGAGAAATG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Integrator complex subunit 7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ints7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XM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014204660.1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ACAACCAGCAGCAGCAACA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GCTCCAGTCCAGTCTTTTCAAA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Leptin 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FJ830677.1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59" w:type="dxa"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CTCCTGTTGTCCTCTCTGT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 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ATGGTTTGAGCAAGGTCTTT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</w:pPr>
            <w:bookmarkStart w:id="1" w:name="OLE_LINK8"/>
            <w:proofErr w:type="spellStart"/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Py</w:t>
            </w:r>
            <w:r w:rsidR="00BC4AAA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ruvate</w:t>
            </w:r>
            <w:proofErr w:type="spellEnd"/>
            <w:r w:rsidR="00BC4AAA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 xml:space="preserve"> dehydrogenase </w:t>
            </w:r>
            <w:proofErr w:type="spellStart"/>
            <w:r w:rsidR="00BC4AAA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kinase</w:t>
            </w:r>
            <w:proofErr w:type="spellEnd"/>
            <w:r w:rsidR="00BC4AAA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 xml:space="preserve"> </w:t>
            </w:r>
            <w:proofErr w:type="spellStart"/>
            <w:r w:rsidR="00BC4AAA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isozy</w:t>
            </w:r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me</w:t>
            </w:r>
            <w:proofErr w:type="spellEnd"/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 xml:space="preserve"> 2 </w:t>
            </w:r>
            <w:bookmarkEnd w:id="1"/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pdk2</w:t>
            </w:r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)</w:t>
            </w:r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 xml:space="preserve"> 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BT059601.1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151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AAGGTGATGGATAGGGGTG</w:t>
            </w:r>
            <w:proofErr w:type="gramEnd"/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  <w:lang w:val="nb-NO"/>
              </w:rPr>
              <w:t> 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R:</w:t>
            </w:r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AGAGGCGTGAAATGGGA</w:t>
            </w:r>
            <w:proofErr w:type="gramEnd"/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  <w:hideMark/>
          </w:tcPr>
          <w:p w:rsidR="006F49E2" w:rsidRPr="006C441C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Solute carrier family 13 member 3-like 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2ED8" w:rsidRPr="00646DC2">
              <w:rPr>
                <w:rFonts w:ascii="Times New Roman" w:hAnsi="Times New Roman" w:cs="Times New Roman"/>
                <w:i/>
                <w:sz w:val="24"/>
                <w:szCs w:val="24"/>
              </w:rPr>
              <w:t>slc13a3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BT058859.1</w:t>
            </w: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646DC2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130</w:t>
            </w: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ACAGGACGAAAGAGCACAA</w:t>
            </w:r>
          </w:p>
        </w:tc>
      </w:tr>
      <w:tr w:rsidR="006F49E2" w:rsidRPr="00646DC2" w:rsidTr="00BB6DE0">
        <w:trPr>
          <w:trHeight w:hRule="exact" w:val="851"/>
          <w:jc w:val="center"/>
        </w:trPr>
        <w:tc>
          <w:tcPr>
            <w:tcW w:w="3397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6F49E2" w:rsidRPr="00646DC2" w:rsidRDefault="006F49E2" w:rsidP="00BB6D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noWrap/>
          </w:tcPr>
          <w:p w:rsidR="006F49E2" w:rsidRPr="00646DC2" w:rsidRDefault="006F49E2" w:rsidP="00BB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646DC2">
              <w:rPr>
                <w:rFonts w:ascii="Times New Roman" w:hAnsi="Times New Roman" w:cs="Times New Roman"/>
                <w:sz w:val="24"/>
                <w:szCs w:val="24"/>
              </w:rPr>
              <w:t>CAGGAGAACGGCAAACAAAA</w:t>
            </w:r>
          </w:p>
        </w:tc>
      </w:tr>
    </w:tbl>
    <w:p w:rsidR="006F49E2" w:rsidRPr="00A50970" w:rsidRDefault="006F49E2" w:rsidP="006F49E2">
      <w:pPr>
        <w:spacing w:line="48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B20DB">
        <w:rPr>
          <w:rFonts w:ascii="Times New Roman" w:hAnsi="Times New Roman" w:cs="Times New Roman"/>
        </w:rPr>
        <w:fldChar w:fldCharType="begin"/>
      </w:r>
      <w:r w:rsidRPr="009B20DB">
        <w:rPr>
          <w:rFonts w:ascii="Times New Roman" w:hAnsi="Times New Roman" w:cs="Times New Roman"/>
        </w:rPr>
        <w:instrText xml:space="preserve"> ADDIN </w:instrText>
      </w:r>
      <w:r w:rsidRPr="009B20DB">
        <w:rPr>
          <w:rFonts w:ascii="Times New Roman" w:hAnsi="Times New Roman" w:cs="Times New Roman"/>
        </w:rPr>
        <w:fldChar w:fldCharType="end"/>
      </w:r>
    </w:p>
    <w:p w:rsidR="00714E8E" w:rsidRDefault="00714E8E" w:rsidP="00714E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DC2" w:rsidRPr="002E104B" w:rsidRDefault="00714E8E" w:rsidP="00163B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646DC2" w:rsidRPr="002E104B" w:rsidSect="00DC77C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mmu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aarpdfqv0w05edrdo55z5m0a02spdevxd2&quot;&gt;Avhandling&lt;record-ids&gt;&lt;item&gt;2649&lt;/item&gt;&lt;/record-ids&gt;&lt;/item&gt;&lt;/Libraries&gt;"/>
  </w:docVars>
  <w:rsids>
    <w:rsidRoot w:val="00F77D98"/>
    <w:rsid w:val="0007489C"/>
    <w:rsid w:val="000C4689"/>
    <w:rsid w:val="000E2A45"/>
    <w:rsid w:val="000F5C6B"/>
    <w:rsid w:val="00114324"/>
    <w:rsid w:val="00163B27"/>
    <w:rsid w:val="001B646A"/>
    <w:rsid w:val="001E745C"/>
    <w:rsid w:val="0024302C"/>
    <w:rsid w:val="00281FC2"/>
    <w:rsid w:val="002C38FA"/>
    <w:rsid w:val="002E104B"/>
    <w:rsid w:val="00327D82"/>
    <w:rsid w:val="00344EB1"/>
    <w:rsid w:val="003500ED"/>
    <w:rsid w:val="00451A43"/>
    <w:rsid w:val="00460D44"/>
    <w:rsid w:val="005A4F9A"/>
    <w:rsid w:val="005A6624"/>
    <w:rsid w:val="005D61B8"/>
    <w:rsid w:val="00606D59"/>
    <w:rsid w:val="0062749D"/>
    <w:rsid w:val="00646DC2"/>
    <w:rsid w:val="00655731"/>
    <w:rsid w:val="00677C01"/>
    <w:rsid w:val="006B4442"/>
    <w:rsid w:val="006F49E2"/>
    <w:rsid w:val="00701203"/>
    <w:rsid w:val="0070593C"/>
    <w:rsid w:val="00714E8E"/>
    <w:rsid w:val="00765768"/>
    <w:rsid w:val="008115C9"/>
    <w:rsid w:val="0086122E"/>
    <w:rsid w:val="0087073D"/>
    <w:rsid w:val="008B20DC"/>
    <w:rsid w:val="008C13EE"/>
    <w:rsid w:val="008D1D09"/>
    <w:rsid w:val="00903303"/>
    <w:rsid w:val="009252BA"/>
    <w:rsid w:val="00960F10"/>
    <w:rsid w:val="00B13F98"/>
    <w:rsid w:val="00B5204D"/>
    <w:rsid w:val="00B545A8"/>
    <w:rsid w:val="00BB1FD1"/>
    <w:rsid w:val="00BC4AAA"/>
    <w:rsid w:val="00BD61D6"/>
    <w:rsid w:val="00C169A0"/>
    <w:rsid w:val="00C91A2F"/>
    <w:rsid w:val="00CF5701"/>
    <w:rsid w:val="00D10FCE"/>
    <w:rsid w:val="00D808AD"/>
    <w:rsid w:val="00DB412F"/>
    <w:rsid w:val="00DC77C9"/>
    <w:rsid w:val="00DE2F87"/>
    <w:rsid w:val="00E055B0"/>
    <w:rsid w:val="00E1225F"/>
    <w:rsid w:val="00E32ED8"/>
    <w:rsid w:val="00E56D07"/>
    <w:rsid w:val="00E92F87"/>
    <w:rsid w:val="00E95C2D"/>
    <w:rsid w:val="00EC57E7"/>
    <w:rsid w:val="00F14827"/>
    <w:rsid w:val="00F77D98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625D7-20E0-4B70-B3BF-A84119E2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0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B5204D"/>
    <w:pPr>
      <w:spacing w:after="0" w:line="240" w:lineRule="auto"/>
    </w:pPr>
    <w:rPr>
      <w:lang w:val="en-GB"/>
    </w:rPr>
  </w:style>
  <w:style w:type="table" w:styleId="Lysskyggelegging">
    <w:name w:val="Light Shading"/>
    <w:basedOn w:val="Vanligtabell"/>
    <w:uiPriority w:val="60"/>
    <w:rsid w:val="005A4F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implepara">
    <w:name w:val="simplepara"/>
    <w:basedOn w:val="Normal"/>
    <w:rsid w:val="008B20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Tegn"/>
    <w:rsid w:val="00714E8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714E8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Tegn"/>
    <w:rsid w:val="00714E8E"/>
    <w:pPr>
      <w:spacing w:line="240" w:lineRule="auto"/>
    </w:pPr>
    <w:rPr>
      <w:rFonts w:ascii="Calibri" w:hAnsi="Calibri"/>
      <w:noProof/>
    </w:rPr>
  </w:style>
  <w:style w:type="character" w:customStyle="1" w:styleId="EndNoteBibliographyTegn">
    <w:name w:val="EndNote Bibliography Tegn"/>
    <w:basedOn w:val="Standardskriftforavsnitt"/>
    <w:link w:val="EndNoteBibliography"/>
    <w:rsid w:val="00714E8E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 Skugor</dc:creator>
  <cp:keywords/>
  <dc:description/>
  <cp:lastModifiedBy>Helle Jodaa Holm</cp:lastModifiedBy>
  <cp:revision>2</cp:revision>
  <dcterms:created xsi:type="dcterms:W3CDTF">2016-12-02T12:18:00Z</dcterms:created>
  <dcterms:modified xsi:type="dcterms:W3CDTF">2016-12-02T12:18:00Z</dcterms:modified>
</cp:coreProperties>
</file>